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9C900" w14:textId="637919FA" w:rsidR="0024494C" w:rsidRPr="0024494C" w:rsidRDefault="0024494C" w:rsidP="0024494C">
      <w:pPr>
        <w:pStyle w:val="TOCHeading"/>
      </w:pPr>
      <w:r w:rsidRPr="0024494C">
        <w:drawing>
          <wp:inline distT="0" distB="0" distL="0" distR="0" wp14:anchorId="24D6AF24" wp14:editId="3491CC48">
            <wp:extent cx="6858000" cy="8877935"/>
            <wp:effectExtent l="0" t="0" r="0" b="0"/>
            <wp:docPr id="99031967" name="Picture 9" descr="Cover page for the Oklahoma State Department of Education, Special Education Services, General Supervision System Manual, October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31967" name="Picture 9" descr="Cover page for the Oklahoma State Department of Education, Special Education Services, General Supervision System Manual, October 20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0" cy="8877935"/>
                    </a:xfrm>
                    <a:prstGeom prst="rect">
                      <a:avLst/>
                    </a:prstGeom>
                    <a:noFill/>
                    <a:ln>
                      <a:noFill/>
                    </a:ln>
                  </pic:spPr>
                </pic:pic>
              </a:graphicData>
            </a:graphic>
          </wp:inline>
        </w:drawing>
      </w:r>
    </w:p>
    <w:p w14:paraId="3D89A779" w14:textId="77777777" w:rsidR="0024494C" w:rsidRDefault="0024494C">
      <w:pPr>
        <w:pStyle w:val="TOCHeading"/>
        <w:rPr>
          <w:rFonts w:asciiTheme="minorHAnsi" w:eastAsiaTheme="minorEastAsia" w:hAnsiTheme="minorHAnsi" w:cstheme="minorBidi"/>
          <w:color w:val="auto"/>
          <w:sz w:val="24"/>
          <w:szCs w:val="24"/>
        </w:rPr>
      </w:pPr>
    </w:p>
    <w:sdt>
      <w:sdtPr>
        <w:rPr>
          <w:rFonts w:asciiTheme="minorHAnsi" w:eastAsiaTheme="minorEastAsia" w:hAnsiTheme="minorHAnsi" w:cstheme="minorBidi"/>
          <w:color w:val="auto"/>
          <w:sz w:val="24"/>
          <w:szCs w:val="24"/>
        </w:rPr>
        <w:id w:val="2122339543"/>
        <w:docPartObj>
          <w:docPartGallery w:val="Table of Contents"/>
          <w:docPartUnique/>
        </w:docPartObj>
      </w:sdtPr>
      <w:sdtEndPr>
        <w:rPr>
          <w:b/>
          <w:bCs/>
          <w:noProof/>
          <w:sz w:val="28"/>
          <w:szCs w:val="28"/>
        </w:rPr>
      </w:sdtEndPr>
      <w:sdtContent>
        <w:p w14:paraId="4CC09602" w14:textId="4708F41C" w:rsidR="001742CB" w:rsidRDefault="001742CB">
          <w:pPr>
            <w:pStyle w:val="TOCHeading"/>
          </w:pPr>
          <w:r>
            <w:t>Table of Contents</w:t>
          </w:r>
        </w:p>
        <w:p w14:paraId="13953DB7" w14:textId="5678AAA7" w:rsidR="00247A83" w:rsidRDefault="00B00D26">
          <w:pPr>
            <w:pStyle w:val="TOC1"/>
            <w:rPr>
              <w:rStyle w:val="Hyperlink"/>
            </w:rPr>
          </w:pPr>
          <w:r w:rsidRPr="00B00D26">
            <w:rPr>
              <w:b w:val="0"/>
              <w:bCs w:val="0"/>
              <w:sz w:val="28"/>
              <w:szCs w:val="28"/>
            </w:rPr>
            <w:fldChar w:fldCharType="begin"/>
          </w:r>
          <w:r w:rsidRPr="00B00D26">
            <w:rPr>
              <w:b w:val="0"/>
              <w:bCs w:val="0"/>
              <w:sz w:val="28"/>
              <w:szCs w:val="28"/>
            </w:rPr>
            <w:instrText xml:space="preserve"> TOC \o "1-1" \h \z \u </w:instrText>
          </w:r>
          <w:r w:rsidRPr="00B00D26">
            <w:rPr>
              <w:b w:val="0"/>
              <w:bCs w:val="0"/>
              <w:sz w:val="28"/>
              <w:szCs w:val="28"/>
            </w:rPr>
            <w:fldChar w:fldCharType="separate"/>
          </w:r>
          <w:hyperlink w:anchor="_Toc238561208" w:history="1">
            <w:r w:rsidR="00247A83" w:rsidRPr="00B37785">
              <w:rPr>
                <w:rStyle w:val="Hyperlink"/>
                <w:color w:val="auto"/>
              </w:rPr>
              <w:t>Overview</w:t>
            </w:r>
            <w:r w:rsidR="00247A83">
              <w:rPr>
                <w:webHidden/>
              </w:rPr>
              <w:tab/>
            </w:r>
            <w:r w:rsidR="00247A83">
              <w:rPr>
                <w:webHidden/>
              </w:rPr>
              <w:fldChar w:fldCharType="begin"/>
            </w:r>
            <w:r w:rsidR="00247A83">
              <w:rPr>
                <w:webHidden/>
              </w:rPr>
              <w:instrText xml:space="preserve"> PAGEREF _Toc238561208 \h </w:instrText>
            </w:r>
            <w:r w:rsidR="00247A83">
              <w:rPr>
                <w:webHidden/>
              </w:rPr>
            </w:r>
            <w:r w:rsidR="00247A83">
              <w:rPr>
                <w:webHidden/>
              </w:rPr>
              <w:fldChar w:fldCharType="separate"/>
            </w:r>
            <w:r w:rsidR="00247A83">
              <w:rPr>
                <w:webHidden/>
              </w:rPr>
              <w:t>1</w:t>
            </w:r>
            <w:r w:rsidR="00247A83">
              <w:rPr>
                <w:webHidden/>
              </w:rPr>
              <w:fldChar w:fldCharType="end"/>
            </w:r>
          </w:hyperlink>
        </w:p>
        <w:p w14:paraId="4435E918" w14:textId="77777777" w:rsidR="009A2DE2" w:rsidRPr="009A2DE2" w:rsidRDefault="009A2DE2" w:rsidP="009A2DE2"/>
        <w:p w14:paraId="5F6D523F" w14:textId="678A6516" w:rsidR="00247A83" w:rsidRDefault="00247A83">
          <w:pPr>
            <w:pStyle w:val="TOC1"/>
            <w:rPr>
              <w:rStyle w:val="Hyperlink"/>
            </w:rPr>
          </w:pPr>
          <w:hyperlink w:anchor="_Toc238561209" w:history="1">
            <w:r w:rsidRPr="00B37785">
              <w:rPr>
                <w:rStyle w:val="Hyperlink"/>
                <w:color w:val="auto"/>
              </w:rPr>
              <w:t>IDEA State Performance Plan and Annual Performance Report</w:t>
            </w:r>
            <w:r>
              <w:rPr>
                <w:webHidden/>
              </w:rPr>
              <w:tab/>
            </w:r>
            <w:r>
              <w:rPr>
                <w:webHidden/>
              </w:rPr>
              <w:fldChar w:fldCharType="begin"/>
            </w:r>
            <w:r>
              <w:rPr>
                <w:webHidden/>
              </w:rPr>
              <w:instrText xml:space="preserve"> PAGEREF _Toc238561209 \h </w:instrText>
            </w:r>
            <w:r>
              <w:rPr>
                <w:webHidden/>
              </w:rPr>
            </w:r>
            <w:r>
              <w:rPr>
                <w:webHidden/>
              </w:rPr>
              <w:fldChar w:fldCharType="separate"/>
            </w:r>
            <w:r>
              <w:rPr>
                <w:webHidden/>
              </w:rPr>
              <w:t>2</w:t>
            </w:r>
            <w:r>
              <w:rPr>
                <w:webHidden/>
              </w:rPr>
              <w:fldChar w:fldCharType="end"/>
            </w:r>
          </w:hyperlink>
        </w:p>
        <w:p w14:paraId="114432F0" w14:textId="77777777" w:rsidR="009A2DE2" w:rsidRPr="009A2DE2" w:rsidRDefault="009A2DE2" w:rsidP="009A2DE2"/>
        <w:p w14:paraId="7FF920A3" w14:textId="2B8B5AFB" w:rsidR="00247A83" w:rsidRDefault="00247A83">
          <w:pPr>
            <w:pStyle w:val="TOC1"/>
            <w:rPr>
              <w:rStyle w:val="Hyperlink"/>
            </w:rPr>
          </w:pPr>
          <w:hyperlink w:anchor="_Toc238561210" w:history="1">
            <w:r w:rsidRPr="00B37785">
              <w:rPr>
                <w:rStyle w:val="Hyperlink"/>
                <w:color w:val="auto"/>
              </w:rPr>
              <w:t>Policies, Procedures &amp; Effective Instruction</w:t>
            </w:r>
            <w:r>
              <w:rPr>
                <w:webHidden/>
              </w:rPr>
              <w:tab/>
            </w:r>
            <w:r>
              <w:rPr>
                <w:webHidden/>
              </w:rPr>
              <w:fldChar w:fldCharType="begin"/>
            </w:r>
            <w:r>
              <w:rPr>
                <w:webHidden/>
              </w:rPr>
              <w:instrText xml:space="preserve"> PAGEREF _Toc238561210 \h </w:instrText>
            </w:r>
            <w:r>
              <w:rPr>
                <w:webHidden/>
              </w:rPr>
            </w:r>
            <w:r>
              <w:rPr>
                <w:webHidden/>
              </w:rPr>
              <w:fldChar w:fldCharType="separate"/>
            </w:r>
            <w:r>
              <w:rPr>
                <w:webHidden/>
              </w:rPr>
              <w:t>3</w:t>
            </w:r>
            <w:r>
              <w:rPr>
                <w:webHidden/>
              </w:rPr>
              <w:fldChar w:fldCharType="end"/>
            </w:r>
          </w:hyperlink>
        </w:p>
        <w:p w14:paraId="6B938345" w14:textId="77777777" w:rsidR="009A2DE2" w:rsidRPr="009A2DE2" w:rsidRDefault="009A2DE2" w:rsidP="009A2DE2"/>
        <w:p w14:paraId="136600AF" w14:textId="2E28880C" w:rsidR="00247A83" w:rsidRDefault="00247A83">
          <w:pPr>
            <w:pStyle w:val="TOC1"/>
            <w:rPr>
              <w:rStyle w:val="Hyperlink"/>
            </w:rPr>
          </w:pPr>
          <w:hyperlink w:anchor="_Toc238561211" w:history="1">
            <w:r w:rsidRPr="00B37785">
              <w:rPr>
                <w:rStyle w:val="Hyperlink"/>
                <w:color w:val="auto"/>
              </w:rPr>
              <w:t>Fiscal Management</w:t>
            </w:r>
            <w:r>
              <w:rPr>
                <w:webHidden/>
              </w:rPr>
              <w:tab/>
            </w:r>
            <w:r>
              <w:rPr>
                <w:webHidden/>
              </w:rPr>
              <w:fldChar w:fldCharType="begin"/>
            </w:r>
            <w:r>
              <w:rPr>
                <w:webHidden/>
              </w:rPr>
              <w:instrText xml:space="preserve"> PAGEREF _Toc238561211 \h </w:instrText>
            </w:r>
            <w:r>
              <w:rPr>
                <w:webHidden/>
              </w:rPr>
            </w:r>
            <w:r>
              <w:rPr>
                <w:webHidden/>
              </w:rPr>
              <w:fldChar w:fldCharType="separate"/>
            </w:r>
            <w:r>
              <w:rPr>
                <w:webHidden/>
              </w:rPr>
              <w:t>4</w:t>
            </w:r>
            <w:r>
              <w:rPr>
                <w:webHidden/>
              </w:rPr>
              <w:fldChar w:fldCharType="end"/>
            </w:r>
          </w:hyperlink>
        </w:p>
        <w:p w14:paraId="0463B472" w14:textId="77777777" w:rsidR="009A2DE2" w:rsidRPr="009A2DE2" w:rsidRDefault="009A2DE2" w:rsidP="009A2DE2"/>
        <w:p w14:paraId="4B34E99A" w14:textId="3D8214FE" w:rsidR="00247A83" w:rsidRDefault="00247A83">
          <w:pPr>
            <w:pStyle w:val="TOC1"/>
            <w:rPr>
              <w:rStyle w:val="Hyperlink"/>
            </w:rPr>
          </w:pPr>
          <w:hyperlink w:anchor="_Toc238561212" w:history="1">
            <w:r w:rsidRPr="00B37785">
              <w:rPr>
                <w:rStyle w:val="Hyperlink"/>
                <w:color w:val="auto"/>
              </w:rPr>
              <w:t>Effective Dispute Resolution</w:t>
            </w:r>
            <w:r>
              <w:rPr>
                <w:webHidden/>
              </w:rPr>
              <w:tab/>
            </w:r>
            <w:r>
              <w:rPr>
                <w:webHidden/>
              </w:rPr>
              <w:fldChar w:fldCharType="begin"/>
            </w:r>
            <w:r>
              <w:rPr>
                <w:webHidden/>
              </w:rPr>
              <w:instrText xml:space="preserve"> PAGEREF _Toc238561212 \h </w:instrText>
            </w:r>
            <w:r>
              <w:rPr>
                <w:webHidden/>
              </w:rPr>
            </w:r>
            <w:r>
              <w:rPr>
                <w:webHidden/>
              </w:rPr>
              <w:fldChar w:fldCharType="separate"/>
            </w:r>
            <w:r>
              <w:rPr>
                <w:webHidden/>
              </w:rPr>
              <w:t>7</w:t>
            </w:r>
            <w:r>
              <w:rPr>
                <w:webHidden/>
              </w:rPr>
              <w:fldChar w:fldCharType="end"/>
            </w:r>
          </w:hyperlink>
        </w:p>
        <w:p w14:paraId="3B36147E" w14:textId="77777777" w:rsidR="009A2DE2" w:rsidRPr="009A2DE2" w:rsidRDefault="009A2DE2" w:rsidP="009A2DE2"/>
        <w:p w14:paraId="47F2A358" w14:textId="4CE10CCF" w:rsidR="00247A83" w:rsidRDefault="00247A83">
          <w:pPr>
            <w:pStyle w:val="TOC1"/>
            <w:rPr>
              <w:rStyle w:val="Hyperlink"/>
            </w:rPr>
          </w:pPr>
          <w:hyperlink w:anchor="_Toc238561213" w:history="1">
            <w:r w:rsidRPr="00B37785">
              <w:rPr>
                <w:rStyle w:val="Hyperlink"/>
                <w:color w:val="auto"/>
              </w:rPr>
              <w:t>Data on Processes and Results</w:t>
            </w:r>
            <w:r>
              <w:rPr>
                <w:webHidden/>
              </w:rPr>
              <w:tab/>
            </w:r>
            <w:r>
              <w:rPr>
                <w:webHidden/>
              </w:rPr>
              <w:fldChar w:fldCharType="begin"/>
            </w:r>
            <w:r>
              <w:rPr>
                <w:webHidden/>
              </w:rPr>
              <w:instrText xml:space="preserve"> PAGEREF _Toc238561213 \h </w:instrText>
            </w:r>
            <w:r>
              <w:rPr>
                <w:webHidden/>
              </w:rPr>
            </w:r>
            <w:r>
              <w:rPr>
                <w:webHidden/>
              </w:rPr>
              <w:fldChar w:fldCharType="separate"/>
            </w:r>
            <w:r>
              <w:rPr>
                <w:webHidden/>
              </w:rPr>
              <w:t>8</w:t>
            </w:r>
            <w:r>
              <w:rPr>
                <w:webHidden/>
              </w:rPr>
              <w:fldChar w:fldCharType="end"/>
            </w:r>
          </w:hyperlink>
        </w:p>
        <w:p w14:paraId="7FAFFFF9" w14:textId="77777777" w:rsidR="009A2DE2" w:rsidRPr="009A2DE2" w:rsidRDefault="009A2DE2" w:rsidP="009A2DE2"/>
        <w:p w14:paraId="42713E1C" w14:textId="72EEC894" w:rsidR="00247A83" w:rsidRDefault="00247A83">
          <w:pPr>
            <w:pStyle w:val="TOC1"/>
            <w:rPr>
              <w:rStyle w:val="Hyperlink"/>
            </w:rPr>
          </w:pPr>
          <w:hyperlink w:anchor="_Toc238561214" w:history="1">
            <w:r w:rsidRPr="00B37785">
              <w:rPr>
                <w:rStyle w:val="Hyperlink"/>
                <w:color w:val="auto"/>
              </w:rPr>
              <w:t>Integrated Monitoring Activities</w:t>
            </w:r>
            <w:r>
              <w:rPr>
                <w:webHidden/>
              </w:rPr>
              <w:tab/>
            </w:r>
            <w:r>
              <w:rPr>
                <w:webHidden/>
              </w:rPr>
              <w:fldChar w:fldCharType="begin"/>
            </w:r>
            <w:r>
              <w:rPr>
                <w:webHidden/>
              </w:rPr>
              <w:instrText xml:space="preserve"> PAGEREF _Toc238561214 \h </w:instrText>
            </w:r>
            <w:r>
              <w:rPr>
                <w:webHidden/>
              </w:rPr>
            </w:r>
            <w:r>
              <w:rPr>
                <w:webHidden/>
              </w:rPr>
              <w:fldChar w:fldCharType="separate"/>
            </w:r>
            <w:r>
              <w:rPr>
                <w:webHidden/>
              </w:rPr>
              <w:t>8</w:t>
            </w:r>
            <w:r>
              <w:rPr>
                <w:webHidden/>
              </w:rPr>
              <w:fldChar w:fldCharType="end"/>
            </w:r>
          </w:hyperlink>
        </w:p>
        <w:p w14:paraId="64DC5648" w14:textId="77777777" w:rsidR="009A2DE2" w:rsidRPr="009A2DE2" w:rsidRDefault="009A2DE2" w:rsidP="009A2DE2"/>
        <w:p w14:paraId="0D689B88" w14:textId="6E06E5A2" w:rsidR="00247A83" w:rsidRDefault="00247A83">
          <w:pPr>
            <w:pStyle w:val="TOC1"/>
            <w:rPr>
              <w:rStyle w:val="Hyperlink"/>
            </w:rPr>
          </w:pPr>
          <w:hyperlink w:anchor="_Toc238561215" w:history="1">
            <w:r w:rsidRPr="00B37785">
              <w:rPr>
                <w:rStyle w:val="Hyperlink"/>
                <w:color w:val="auto"/>
              </w:rPr>
              <w:t>Targeted Technical Assistance and Professional Development</w:t>
            </w:r>
            <w:r>
              <w:rPr>
                <w:webHidden/>
              </w:rPr>
              <w:tab/>
            </w:r>
            <w:r>
              <w:rPr>
                <w:webHidden/>
              </w:rPr>
              <w:fldChar w:fldCharType="begin"/>
            </w:r>
            <w:r>
              <w:rPr>
                <w:webHidden/>
              </w:rPr>
              <w:instrText xml:space="preserve"> PAGEREF _Toc238561215 \h </w:instrText>
            </w:r>
            <w:r>
              <w:rPr>
                <w:webHidden/>
              </w:rPr>
            </w:r>
            <w:r>
              <w:rPr>
                <w:webHidden/>
              </w:rPr>
              <w:fldChar w:fldCharType="separate"/>
            </w:r>
            <w:r>
              <w:rPr>
                <w:webHidden/>
              </w:rPr>
              <w:t>22</w:t>
            </w:r>
            <w:r>
              <w:rPr>
                <w:webHidden/>
              </w:rPr>
              <w:fldChar w:fldCharType="end"/>
            </w:r>
          </w:hyperlink>
        </w:p>
        <w:p w14:paraId="7E3345E1" w14:textId="77777777" w:rsidR="009A2DE2" w:rsidRPr="009A2DE2" w:rsidRDefault="009A2DE2" w:rsidP="009A2DE2"/>
        <w:p w14:paraId="01235E57" w14:textId="529945B2" w:rsidR="00247A83" w:rsidRDefault="00247A83">
          <w:pPr>
            <w:pStyle w:val="TOC1"/>
            <w:rPr>
              <w:rStyle w:val="Hyperlink"/>
            </w:rPr>
          </w:pPr>
          <w:hyperlink w:anchor="_Toc238561216" w:history="1">
            <w:r w:rsidRPr="00B37785">
              <w:rPr>
                <w:rStyle w:val="Hyperlink"/>
                <w:color w:val="auto"/>
              </w:rPr>
              <w:t>Improvement, Corrections, Incentives &amp; Sanctions</w:t>
            </w:r>
            <w:r>
              <w:rPr>
                <w:webHidden/>
              </w:rPr>
              <w:tab/>
            </w:r>
            <w:r>
              <w:rPr>
                <w:webHidden/>
              </w:rPr>
              <w:fldChar w:fldCharType="begin"/>
            </w:r>
            <w:r>
              <w:rPr>
                <w:webHidden/>
              </w:rPr>
              <w:instrText xml:space="preserve"> PAGEREF _Toc238561216 \h </w:instrText>
            </w:r>
            <w:r>
              <w:rPr>
                <w:webHidden/>
              </w:rPr>
            </w:r>
            <w:r>
              <w:rPr>
                <w:webHidden/>
              </w:rPr>
              <w:fldChar w:fldCharType="separate"/>
            </w:r>
            <w:r>
              <w:rPr>
                <w:webHidden/>
              </w:rPr>
              <w:t>23</w:t>
            </w:r>
            <w:r>
              <w:rPr>
                <w:webHidden/>
              </w:rPr>
              <w:fldChar w:fldCharType="end"/>
            </w:r>
          </w:hyperlink>
        </w:p>
        <w:p w14:paraId="54DEDECC" w14:textId="77777777" w:rsidR="009A2DE2" w:rsidRPr="009A2DE2" w:rsidRDefault="009A2DE2" w:rsidP="009A2DE2"/>
        <w:p w14:paraId="44E6F058" w14:textId="5515111C" w:rsidR="00247A83" w:rsidRDefault="00247A83">
          <w:pPr>
            <w:pStyle w:val="TOC1"/>
            <w:rPr>
              <w:rStyle w:val="Hyperlink"/>
            </w:rPr>
          </w:pPr>
          <w:hyperlink w:anchor="_Toc238561217" w:history="1">
            <w:r w:rsidRPr="00B37785">
              <w:rPr>
                <w:rStyle w:val="Hyperlink"/>
                <w:rFonts w:ascii="Tw Cen MT" w:eastAsia="Tw Cen MT" w:hAnsi="Tw Cen MT" w:cs="Tw Cen MT"/>
                <w:color w:val="auto"/>
              </w:rPr>
              <w:t>Notifications of Withholding IDEA Funds</w:t>
            </w:r>
            <w:r>
              <w:rPr>
                <w:webHidden/>
              </w:rPr>
              <w:tab/>
            </w:r>
            <w:r>
              <w:rPr>
                <w:webHidden/>
              </w:rPr>
              <w:fldChar w:fldCharType="begin"/>
            </w:r>
            <w:r>
              <w:rPr>
                <w:webHidden/>
              </w:rPr>
              <w:instrText xml:space="preserve"> PAGEREF _Toc238561217 \h </w:instrText>
            </w:r>
            <w:r>
              <w:rPr>
                <w:webHidden/>
              </w:rPr>
            </w:r>
            <w:r>
              <w:rPr>
                <w:webHidden/>
              </w:rPr>
              <w:fldChar w:fldCharType="separate"/>
            </w:r>
            <w:r>
              <w:rPr>
                <w:webHidden/>
              </w:rPr>
              <w:t>28</w:t>
            </w:r>
            <w:r>
              <w:rPr>
                <w:webHidden/>
              </w:rPr>
              <w:fldChar w:fldCharType="end"/>
            </w:r>
          </w:hyperlink>
        </w:p>
        <w:p w14:paraId="3D08AE70" w14:textId="77777777" w:rsidR="009A2DE2" w:rsidRPr="009A2DE2" w:rsidRDefault="009A2DE2" w:rsidP="009A2DE2"/>
        <w:p w14:paraId="6A9F3769" w14:textId="041AC2E0" w:rsidR="00247A83" w:rsidRDefault="00247A83">
          <w:pPr>
            <w:pStyle w:val="TOC1"/>
            <w:rPr>
              <w:rStyle w:val="Hyperlink"/>
            </w:rPr>
          </w:pPr>
          <w:hyperlink w:anchor="_Toc238561218" w:history="1">
            <w:r w:rsidRPr="00B37785">
              <w:rPr>
                <w:rStyle w:val="Hyperlink"/>
                <w:color w:val="auto"/>
              </w:rPr>
              <w:t xml:space="preserve">Appendix A: FY 2027 District Risk Score </w:t>
            </w:r>
            <w:r w:rsidRPr="00B37785">
              <w:rPr>
                <w:rStyle w:val="Hyperlink"/>
                <w:i/>
                <w:iCs/>
                <w:color w:val="auto"/>
              </w:rPr>
              <w:t>Example</w:t>
            </w:r>
            <w:r>
              <w:rPr>
                <w:webHidden/>
              </w:rPr>
              <w:tab/>
            </w:r>
            <w:r>
              <w:rPr>
                <w:webHidden/>
              </w:rPr>
              <w:fldChar w:fldCharType="begin"/>
            </w:r>
            <w:r>
              <w:rPr>
                <w:webHidden/>
              </w:rPr>
              <w:instrText xml:space="preserve"> PAGEREF _Toc238561218 \h </w:instrText>
            </w:r>
            <w:r>
              <w:rPr>
                <w:webHidden/>
              </w:rPr>
            </w:r>
            <w:r>
              <w:rPr>
                <w:webHidden/>
              </w:rPr>
              <w:fldChar w:fldCharType="separate"/>
            </w:r>
            <w:r>
              <w:rPr>
                <w:webHidden/>
              </w:rPr>
              <w:t>31</w:t>
            </w:r>
            <w:r>
              <w:rPr>
                <w:webHidden/>
              </w:rPr>
              <w:fldChar w:fldCharType="end"/>
            </w:r>
          </w:hyperlink>
        </w:p>
        <w:p w14:paraId="0106A6EB" w14:textId="77777777" w:rsidR="009A2DE2" w:rsidRPr="009A2DE2" w:rsidRDefault="009A2DE2" w:rsidP="009A2DE2"/>
        <w:p w14:paraId="791D9B78" w14:textId="112B248D" w:rsidR="00247A83" w:rsidRDefault="00247A83">
          <w:pPr>
            <w:pStyle w:val="TOC1"/>
            <w:rPr>
              <w:b w:val="0"/>
              <w:bCs w:val="0"/>
              <w:kern w:val="2"/>
              <w14:ligatures w14:val="standardContextual"/>
            </w:rPr>
          </w:pPr>
          <w:hyperlink w:anchor="_Toc238561219" w:history="1">
            <w:r w:rsidRPr="00B37785">
              <w:rPr>
                <w:rStyle w:val="Hyperlink"/>
                <w:rFonts w:eastAsia="Times New Roman"/>
                <w:color w:val="auto"/>
              </w:rPr>
              <w:t xml:space="preserve">Appendix B: FY 2027 District Determination </w:t>
            </w:r>
            <w:r w:rsidRPr="00B37785">
              <w:rPr>
                <w:rStyle w:val="Hyperlink"/>
                <w:rFonts w:eastAsia="Times New Roman"/>
                <w:i/>
                <w:iCs/>
                <w:color w:val="auto"/>
              </w:rPr>
              <w:t>Example</w:t>
            </w:r>
            <w:r>
              <w:rPr>
                <w:webHidden/>
              </w:rPr>
              <w:tab/>
            </w:r>
            <w:r>
              <w:rPr>
                <w:webHidden/>
              </w:rPr>
              <w:fldChar w:fldCharType="begin"/>
            </w:r>
            <w:r>
              <w:rPr>
                <w:webHidden/>
              </w:rPr>
              <w:instrText xml:space="preserve"> PAGEREF _Toc238561219 \h </w:instrText>
            </w:r>
            <w:r>
              <w:rPr>
                <w:webHidden/>
              </w:rPr>
            </w:r>
            <w:r>
              <w:rPr>
                <w:webHidden/>
              </w:rPr>
              <w:fldChar w:fldCharType="separate"/>
            </w:r>
            <w:r>
              <w:rPr>
                <w:webHidden/>
              </w:rPr>
              <w:t>32</w:t>
            </w:r>
            <w:r>
              <w:rPr>
                <w:webHidden/>
              </w:rPr>
              <w:fldChar w:fldCharType="end"/>
            </w:r>
          </w:hyperlink>
        </w:p>
        <w:p w14:paraId="1347B9EC" w14:textId="7FE2531C" w:rsidR="001742CB" w:rsidRPr="00B00D26" w:rsidRDefault="00B00D26">
          <w:pPr>
            <w:rPr>
              <w:sz w:val="28"/>
              <w:szCs w:val="28"/>
            </w:rPr>
          </w:pPr>
          <w:r w:rsidRPr="00B00D26">
            <w:rPr>
              <w:b/>
              <w:bCs/>
              <w:noProof/>
              <w:sz w:val="28"/>
              <w:szCs w:val="28"/>
            </w:rPr>
            <w:fldChar w:fldCharType="end"/>
          </w:r>
        </w:p>
      </w:sdtContent>
    </w:sdt>
    <w:p w14:paraId="41AA91EF" w14:textId="77777777" w:rsidR="007E5CC2" w:rsidRDefault="007E5CC2" w:rsidP="007E5CC2"/>
    <w:p w14:paraId="60762183" w14:textId="77777777" w:rsidR="007E5CC2" w:rsidRDefault="007E5CC2" w:rsidP="007E5CC2"/>
    <w:p w14:paraId="5F7EA9A0" w14:textId="77777777" w:rsidR="007E5CC2" w:rsidRDefault="007E5CC2" w:rsidP="007E5CC2"/>
    <w:p w14:paraId="03F0E3D6" w14:textId="77777777" w:rsidR="007E5CC2" w:rsidRDefault="007E5CC2" w:rsidP="007E5CC2"/>
    <w:p w14:paraId="28069ACB" w14:textId="77777777" w:rsidR="009A2DE2" w:rsidRDefault="009A2DE2" w:rsidP="007E5CC2"/>
    <w:p w14:paraId="1614A888" w14:textId="77777777" w:rsidR="009A2DE2" w:rsidRDefault="009A2DE2" w:rsidP="007E5CC2"/>
    <w:p w14:paraId="5175AD37" w14:textId="77777777" w:rsidR="009A2DE2" w:rsidRDefault="009A2DE2" w:rsidP="007E5CC2"/>
    <w:p w14:paraId="7E2F2502" w14:textId="77777777" w:rsidR="009A2DE2" w:rsidRDefault="009A2DE2" w:rsidP="007E5CC2"/>
    <w:p w14:paraId="311D74A1" w14:textId="77777777" w:rsidR="007E5CC2" w:rsidRDefault="007E5CC2" w:rsidP="007E5CC2"/>
    <w:p w14:paraId="239569FB" w14:textId="193E3E83" w:rsidR="00DA2A87" w:rsidRDefault="00A1338B" w:rsidP="00F06163">
      <w:pPr>
        <w:pStyle w:val="Heading1"/>
        <w:spacing w:before="120"/>
      </w:pPr>
      <w:bookmarkStart w:id="0" w:name="_Toc238561208"/>
      <w:r>
        <w:lastRenderedPageBreak/>
        <w:t>O</w:t>
      </w:r>
      <w:r w:rsidR="00FA193F">
        <w:t>verview</w:t>
      </w:r>
      <w:bookmarkEnd w:id="0"/>
    </w:p>
    <w:p w14:paraId="360F8E9D" w14:textId="4E6A562B" w:rsidR="00FA193F" w:rsidRPr="004E0238" w:rsidRDefault="00FA193F" w:rsidP="00FA193F">
      <w:r>
        <w:t>States have a responsibility under federal law to have a system of general supervision to monitor the implementation of the Individuals with Disabilities Education Improvement Act (IDEA) of 2004</w:t>
      </w:r>
      <w:r w:rsidR="00E25C5B">
        <w:t xml:space="preserve"> IDEA 34 CFR § 300.60</w:t>
      </w:r>
      <w:r w:rsidR="1B570D21">
        <w:t>0.</w:t>
      </w:r>
      <w:r>
        <w:t xml:space="preserve"> The purpose of the </w:t>
      </w:r>
      <w:r w:rsidR="4960C5F6">
        <w:t>g</w:t>
      </w:r>
      <w:r w:rsidR="00E25C5B">
        <w:t xml:space="preserve">eneral </w:t>
      </w:r>
      <w:r w:rsidR="603E873F">
        <w:t>s</w:t>
      </w:r>
      <w:r w:rsidR="4B6FAB53">
        <w:t>u</w:t>
      </w:r>
      <w:r w:rsidR="00E25C5B">
        <w:t xml:space="preserve">pervision </w:t>
      </w:r>
      <w:r w:rsidR="6CCB39CA">
        <w:t>s</w:t>
      </w:r>
      <w:r w:rsidR="00E25C5B">
        <w:t xml:space="preserve">ystem </w:t>
      </w:r>
      <w:r>
        <w:t xml:space="preserve">is </w:t>
      </w:r>
      <w:r w:rsidR="573CE6EF">
        <w:t xml:space="preserve">to </w:t>
      </w:r>
      <w:r w:rsidR="60D38C45">
        <w:t xml:space="preserve">supervise the implementation of IDEA by local education agencies (LEAs). </w:t>
      </w:r>
      <w:r>
        <w:t xml:space="preserve">Using this system, states are accountable for enforcing </w:t>
      </w:r>
      <w:r w:rsidR="00E25C5B">
        <w:t>compliance</w:t>
      </w:r>
      <w:r>
        <w:t xml:space="preserve"> and ensuring continuous improvement. This system is designed to: a) ensure compliance with federal and state regulations and b) improve services and results for students with disabilities.</w:t>
      </w:r>
      <w:r w:rsidR="0072032A">
        <w:t xml:space="preserve"> These correspond to the monitoring and results-based accountability elements of the General Supervision System in Oklahoma.</w:t>
      </w:r>
    </w:p>
    <w:p w14:paraId="24C80B4F" w14:textId="01635494" w:rsidR="00AF6699" w:rsidRPr="004E0238" w:rsidRDefault="00FA193F" w:rsidP="61A7976D">
      <w:r>
        <w:t>The Oklahoma General Supervision System (GSS) consists of</w:t>
      </w:r>
      <w:r w:rsidR="4D1B7342">
        <w:t xml:space="preserve"> eight components</w:t>
      </w:r>
      <w:r w:rsidR="00A004AF">
        <w:t xml:space="preserve"> focused on improved outcomes for students with disabilities.</w:t>
      </w:r>
    </w:p>
    <w:p w14:paraId="0AA22477" w14:textId="7786BF4B" w:rsidR="00AF6699" w:rsidRPr="004E0238" w:rsidRDefault="4D1B7342" w:rsidP="00B70782">
      <w:pPr>
        <w:pStyle w:val="ListParagraph"/>
        <w:numPr>
          <w:ilvl w:val="0"/>
          <w:numId w:val="21"/>
        </w:numPr>
      </w:pPr>
      <w:r>
        <w:t>State Performance Plan and Annual Performance Report</w:t>
      </w:r>
    </w:p>
    <w:p w14:paraId="7F402AD6" w14:textId="5B0F5545" w:rsidR="00AF6699" w:rsidRPr="004E0238" w:rsidRDefault="4D1B7342" w:rsidP="00B70782">
      <w:pPr>
        <w:pStyle w:val="ListParagraph"/>
        <w:numPr>
          <w:ilvl w:val="0"/>
          <w:numId w:val="21"/>
        </w:numPr>
      </w:pPr>
      <w:r>
        <w:t>Policies, Procedures &amp; Effective Instruction</w:t>
      </w:r>
    </w:p>
    <w:p w14:paraId="10EFBCF9" w14:textId="12F3EC72" w:rsidR="00AF6699" w:rsidRPr="004E0238" w:rsidRDefault="4D1B7342" w:rsidP="00B70782">
      <w:pPr>
        <w:pStyle w:val="ListParagraph"/>
        <w:numPr>
          <w:ilvl w:val="0"/>
          <w:numId w:val="21"/>
        </w:numPr>
      </w:pPr>
      <w:r>
        <w:t>Fiscal Management</w:t>
      </w:r>
    </w:p>
    <w:p w14:paraId="26EBC4D3" w14:textId="37AE81DA" w:rsidR="00AF6699" w:rsidRPr="004E0238" w:rsidRDefault="4D1B7342" w:rsidP="00B70782">
      <w:pPr>
        <w:pStyle w:val="ListParagraph"/>
        <w:numPr>
          <w:ilvl w:val="0"/>
          <w:numId w:val="21"/>
        </w:numPr>
      </w:pPr>
      <w:r>
        <w:t>Effective Dispute Resolution</w:t>
      </w:r>
    </w:p>
    <w:p w14:paraId="608F233D" w14:textId="2125397E" w:rsidR="00AF6699" w:rsidRPr="004E0238" w:rsidRDefault="4D1B7342" w:rsidP="00B70782">
      <w:pPr>
        <w:pStyle w:val="ListParagraph"/>
        <w:numPr>
          <w:ilvl w:val="0"/>
          <w:numId w:val="21"/>
        </w:numPr>
      </w:pPr>
      <w:r>
        <w:t>Data on Processes and Results</w:t>
      </w:r>
    </w:p>
    <w:p w14:paraId="1A5F8B2F" w14:textId="61DF1CC1" w:rsidR="00AF6699" w:rsidRPr="004E0238" w:rsidRDefault="4D1B7342" w:rsidP="00B70782">
      <w:pPr>
        <w:pStyle w:val="ListParagraph"/>
        <w:numPr>
          <w:ilvl w:val="0"/>
          <w:numId w:val="21"/>
        </w:numPr>
      </w:pPr>
      <w:r>
        <w:t>Integrated Monitoring Activities</w:t>
      </w:r>
    </w:p>
    <w:p w14:paraId="0F93B574" w14:textId="036DC1C7" w:rsidR="00AF6699" w:rsidRPr="004E0238" w:rsidRDefault="4D1B7342" w:rsidP="00B70782">
      <w:pPr>
        <w:pStyle w:val="ListParagraph"/>
        <w:numPr>
          <w:ilvl w:val="0"/>
          <w:numId w:val="21"/>
        </w:numPr>
      </w:pPr>
      <w:r>
        <w:t>Targeted Technical Assistance and Professional Development</w:t>
      </w:r>
    </w:p>
    <w:p w14:paraId="03170B40" w14:textId="150E9B94" w:rsidR="00AF6699" w:rsidRDefault="4D1B7342" w:rsidP="00B70782">
      <w:pPr>
        <w:pStyle w:val="ListParagraph"/>
        <w:numPr>
          <w:ilvl w:val="0"/>
          <w:numId w:val="21"/>
        </w:numPr>
      </w:pPr>
      <w:r>
        <w:t>Improvement, Corrections, Incentives &amp; Sanctions</w:t>
      </w:r>
    </w:p>
    <w:p w14:paraId="6C73425F" w14:textId="3B5B6DE2" w:rsidR="007F5067" w:rsidRDefault="007F5067" w:rsidP="007F5067">
      <w:pPr>
        <w:pStyle w:val="ListParagraph"/>
      </w:pPr>
    </w:p>
    <w:p w14:paraId="3D933AC3" w14:textId="54422581" w:rsidR="007F5067" w:rsidRDefault="007F5067" w:rsidP="007F5067">
      <w:pPr>
        <w:pStyle w:val="ListParagraph"/>
      </w:pPr>
    </w:p>
    <w:p w14:paraId="08A59777" w14:textId="53B05C4A" w:rsidR="007F5067" w:rsidRDefault="007F5067" w:rsidP="007F5067">
      <w:pPr>
        <w:pStyle w:val="ListParagraph"/>
      </w:pPr>
    </w:p>
    <w:p w14:paraId="2FD1553B" w14:textId="37AB3F08" w:rsidR="007F5067" w:rsidRDefault="007F5067" w:rsidP="007F5067">
      <w:pPr>
        <w:pStyle w:val="ListParagraph"/>
      </w:pPr>
      <w:r>
        <w:rPr>
          <w:noProof/>
        </w:rPr>
        <w:drawing>
          <wp:inline distT="0" distB="0" distL="0" distR="0" wp14:anchorId="3F9DEF12" wp14:editId="2C6E93F0">
            <wp:extent cx="5772150" cy="3635391"/>
            <wp:effectExtent l="0" t="0" r="0" b="3175"/>
            <wp:docPr id="3" name="Picture 3" descr="Improved Outcomes Inforgraphic; Integrated Monitoring Actvities &gt; Data on Processes and Results &gt; SPP/APR &gt; Fiscal Managment &gt; Improvement, Correction, Incentives, and Sanctions &gt; Policies, Procedures, &amp; Effective Implementation &gt; Targeted TA &amp; Professional Development &gt; Effection Dispute Resolution &gt; Integrated Monitoring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proved Outcomes Inforgraphic; Integrated Monitoring Actvities &gt; Data on Processes and Results &gt; SPP/APR &gt; Fiscal Managment &gt; Improvement, Correction, Incentives, and Sanctions &gt; Policies, Procedures, &amp; Effective Implementation &gt; Targeted TA &amp; Professional Development &gt; Effection Dispute Resolution &gt; Integrated Monitoring Activities"/>
                    <pic:cNvPicPr/>
                  </pic:nvPicPr>
                  <pic:blipFill>
                    <a:blip r:embed="rId12">
                      <a:extLst>
                        <a:ext uri="{28A0092B-C50C-407E-A947-70E740481C1C}">
                          <a14:useLocalDpi xmlns:a14="http://schemas.microsoft.com/office/drawing/2010/main" val="0"/>
                        </a:ext>
                      </a:extLst>
                    </a:blip>
                    <a:stretch>
                      <a:fillRect/>
                    </a:stretch>
                  </pic:blipFill>
                  <pic:spPr>
                    <a:xfrm>
                      <a:off x="0" y="0"/>
                      <a:ext cx="5772150" cy="3635391"/>
                    </a:xfrm>
                    <a:prstGeom prst="rect">
                      <a:avLst/>
                    </a:prstGeom>
                  </pic:spPr>
                </pic:pic>
              </a:graphicData>
            </a:graphic>
          </wp:inline>
        </w:drawing>
      </w:r>
    </w:p>
    <w:p w14:paraId="1EF0126B" w14:textId="08998B7F" w:rsidR="00AF6699" w:rsidRPr="004E0238" w:rsidRDefault="00FA193F" w:rsidP="61A7976D">
      <w:r>
        <w:t xml:space="preserve">All components have been developed according to the high standards set by </w:t>
      </w:r>
      <w:r w:rsidR="00591CE3">
        <w:t xml:space="preserve">the </w:t>
      </w:r>
      <w:r w:rsidR="4DC928D9">
        <w:t>F</w:t>
      </w:r>
      <w:r w:rsidR="00591CE3">
        <w:t>ederal Office of Special Education Programs (</w:t>
      </w:r>
      <w:r>
        <w:t>OSEP</w:t>
      </w:r>
      <w:r w:rsidR="00591CE3">
        <w:t>)</w:t>
      </w:r>
      <w:r>
        <w:t>. Please refer to the Oklahom</w:t>
      </w:r>
      <w:r w:rsidR="00591CE3">
        <w:t>a State Department of Education Office of</w:t>
      </w:r>
      <w:r>
        <w:t xml:space="preserve"> Special Education Services (OSDE-SES) website at </w:t>
      </w:r>
      <w:hyperlink r:id="rId13">
        <w:r w:rsidRPr="00B37785">
          <w:rPr>
            <w:rStyle w:val="Hyperlink"/>
            <w:color w:val="auto"/>
          </w:rPr>
          <w:t>http://ok.gov/sde/special-education</w:t>
        </w:r>
      </w:hyperlink>
      <w:r>
        <w:t xml:space="preserve"> for </w:t>
      </w:r>
      <w:r w:rsidR="00F1283E">
        <w:t>associated documents.</w:t>
      </w:r>
    </w:p>
    <w:p w14:paraId="76E8B046" w14:textId="2F1443FF" w:rsidR="00AF6699" w:rsidRPr="004E0238" w:rsidRDefault="00AF6699" w:rsidP="61A7976D">
      <w:bookmarkStart w:id="1" w:name="_Toc238561209"/>
      <w:r w:rsidRPr="5EF294CC">
        <w:rPr>
          <w:rStyle w:val="Heading1Char"/>
        </w:rPr>
        <w:lastRenderedPageBreak/>
        <w:t>IDEA State Performance Plan and An</w:t>
      </w:r>
      <w:r w:rsidR="004F699D" w:rsidRPr="5EF294CC">
        <w:rPr>
          <w:rStyle w:val="Heading1Char"/>
        </w:rPr>
        <w:t>nual Performance Report</w:t>
      </w:r>
      <w:bookmarkEnd w:id="1"/>
    </w:p>
    <w:p w14:paraId="2DAFD6FA" w14:textId="5D8B5595" w:rsidR="00AF6699" w:rsidRDefault="00AF6699">
      <w:r>
        <w:t xml:space="preserve">In accordance </w:t>
      </w:r>
      <w:r w:rsidR="00001BCC">
        <w:t xml:space="preserve">with the </w:t>
      </w:r>
      <w:r>
        <w:t xml:space="preserve">IDEA, states are required to </w:t>
      </w:r>
      <w:r w:rsidR="5C4D683E">
        <w:t xml:space="preserve">develop a </w:t>
      </w:r>
      <w:r>
        <w:t>performance plan</w:t>
      </w:r>
      <w:r w:rsidR="004F699D">
        <w:t xml:space="preserve"> that evaluates </w:t>
      </w:r>
      <w:r>
        <w:t>the state's impleme</w:t>
      </w:r>
      <w:r w:rsidR="004F699D">
        <w:t>ntation of Part B and describes</w:t>
      </w:r>
      <w:r>
        <w:t xml:space="preserve"> how the state will improve </w:t>
      </w:r>
      <w:r w:rsidR="00001BCC">
        <w:t>its</w:t>
      </w:r>
      <w:r w:rsidR="00DF6991">
        <w:t xml:space="preserve"> implementation. This plan</w:t>
      </w:r>
      <w:r w:rsidR="00001BCC">
        <w:t>,</w:t>
      </w:r>
      <w:r w:rsidR="00DF6991">
        <w:t xml:space="preserve"> </w:t>
      </w:r>
      <w:r>
        <w:t>called the Part B State Performance Plan (SPP)</w:t>
      </w:r>
      <w:r w:rsidR="00DF6991">
        <w:t xml:space="preserve">, </w:t>
      </w:r>
      <w:r w:rsidR="00001BCC">
        <w:t xml:space="preserve">is </w:t>
      </w:r>
      <w:r w:rsidR="00DF6991">
        <w:t>incorporated into the Annual Performance Report (APR)</w:t>
      </w:r>
      <w:r w:rsidR="004F699D">
        <w:t xml:space="preserve">. </w:t>
      </w:r>
      <w:r w:rsidR="00001BCC">
        <w:t>Each February,</w:t>
      </w:r>
      <w:r w:rsidR="004F699D">
        <w:t xml:space="preserve"> </w:t>
      </w:r>
      <w:r>
        <w:t>state</w:t>
      </w:r>
      <w:r w:rsidR="004F699D">
        <w:t>s</w:t>
      </w:r>
      <w:r w:rsidR="00001BCC">
        <w:t xml:space="preserve"> must</w:t>
      </w:r>
      <w:r>
        <w:t xml:space="preserve"> report to the public</w:t>
      </w:r>
      <w:r w:rsidR="00372D61">
        <w:t xml:space="preserve"> and OSEP</w:t>
      </w:r>
      <w:r>
        <w:t xml:space="preserve"> the</w:t>
      </w:r>
      <w:r w:rsidR="00001BCC">
        <w:t xml:space="preserve"> performance of the</w:t>
      </w:r>
      <w:r>
        <w:t xml:space="preserve"> </w:t>
      </w:r>
      <w:r w:rsidR="004F699D">
        <w:t>state</w:t>
      </w:r>
      <w:r w:rsidR="00EC34F1">
        <w:t xml:space="preserve"> educational agency (SEA)</w:t>
      </w:r>
      <w:r w:rsidR="004F699D">
        <w:t xml:space="preserve"> </w:t>
      </w:r>
      <w:r w:rsidR="006F53FE">
        <w:t xml:space="preserve">and </w:t>
      </w:r>
      <w:r w:rsidR="00001BCC">
        <w:t xml:space="preserve">the state’s </w:t>
      </w:r>
      <w:r w:rsidR="00EC34F1">
        <w:t>local educational agencies</w:t>
      </w:r>
      <w:r w:rsidR="00DB4387">
        <w:t xml:space="preserve"> </w:t>
      </w:r>
      <w:r w:rsidR="00EC34F1">
        <w:t>(LEAs)</w:t>
      </w:r>
      <w:r w:rsidR="006F53FE">
        <w:t xml:space="preserve"> </w:t>
      </w:r>
      <w:r w:rsidR="004F699D">
        <w:t xml:space="preserve">on a set of </w:t>
      </w:r>
      <w:r w:rsidR="00A004AF">
        <w:t xml:space="preserve">Federal </w:t>
      </w:r>
      <w:r w:rsidR="004F699D">
        <w:t>compliance and performance indicators</w:t>
      </w:r>
      <w:r w:rsidR="00372D61">
        <w:t xml:space="preserve"> through the </w:t>
      </w:r>
      <w:hyperlink r:id="rId14">
        <w:hyperlink r:id="rId15">
          <w:r w:rsidR="00372D61" w:rsidRPr="00B37785">
            <w:rPr>
              <w:rStyle w:val="Hyperlink"/>
              <w:color w:val="auto"/>
            </w:rPr>
            <w:t>APR</w:t>
          </w:r>
          <w:r w:rsidR="00001BCC" w:rsidRPr="00B37785">
            <w:rPr>
              <w:rStyle w:val="Hyperlink"/>
              <w:color w:val="auto"/>
            </w:rPr>
            <w:t xml:space="preserve"> report</w:t>
          </w:r>
        </w:hyperlink>
      </w:hyperlink>
      <w:r w:rsidR="006F53FE">
        <w:t xml:space="preserve">. </w:t>
      </w:r>
    </w:p>
    <w:p w14:paraId="0861F96D" w14:textId="263D904B" w:rsidR="2436A155" w:rsidRDefault="2436A155" w:rsidP="00B70782">
      <w:pPr>
        <w:pStyle w:val="ListParagraph"/>
        <w:numPr>
          <w:ilvl w:val="0"/>
          <w:numId w:val="20"/>
        </w:numPr>
      </w:pPr>
      <w:r w:rsidRPr="61A7976D">
        <w:rPr>
          <w:b/>
          <w:bCs/>
        </w:rPr>
        <w:t>Graduation</w:t>
      </w:r>
      <w:r>
        <w:t xml:space="preserve"> - % of youth with IEPs graduating with a regular diploma</w:t>
      </w:r>
    </w:p>
    <w:p w14:paraId="00D05143" w14:textId="46B5B7E5" w:rsidR="2436A155" w:rsidRDefault="2436A155" w:rsidP="00B70782">
      <w:pPr>
        <w:pStyle w:val="ListParagraph"/>
        <w:numPr>
          <w:ilvl w:val="0"/>
          <w:numId w:val="20"/>
        </w:numPr>
      </w:pPr>
      <w:r w:rsidRPr="61A7976D">
        <w:rPr>
          <w:b/>
          <w:bCs/>
        </w:rPr>
        <w:t>Dropout</w:t>
      </w:r>
      <w:r>
        <w:t xml:space="preserve"> - % of youth with IEPs dropping out (ages 14-21)</w:t>
      </w:r>
    </w:p>
    <w:p w14:paraId="6CC675CF" w14:textId="0307E910" w:rsidR="2436A155" w:rsidRDefault="2436A155" w:rsidP="00B70782">
      <w:pPr>
        <w:pStyle w:val="ListParagraph"/>
        <w:numPr>
          <w:ilvl w:val="0"/>
          <w:numId w:val="20"/>
        </w:numPr>
      </w:pPr>
      <w:r w:rsidRPr="5EF294CC">
        <w:rPr>
          <w:b/>
          <w:bCs/>
        </w:rPr>
        <w:t>Assessment</w:t>
      </w:r>
      <w:r>
        <w:t xml:space="preserve"> - </w:t>
      </w:r>
    </w:p>
    <w:p w14:paraId="28B858AF" w14:textId="42D1F0D2" w:rsidR="61A7976D" w:rsidRDefault="61A7976D" w:rsidP="61A7976D">
      <w:pPr>
        <w:ind w:left="720"/>
      </w:pPr>
      <w:r>
        <w:t xml:space="preserve">(A) </w:t>
      </w:r>
      <w:r w:rsidR="6C4948AC">
        <w:t>Participation rate for children with IEPs</w:t>
      </w:r>
    </w:p>
    <w:p w14:paraId="1BEAEEC8" w14:textId="45193BD4" w:rsidR="6C4948AC" w:rsidRDefault="6C4948AC" w:rsidP="61A7976D">
      <w:pPr>
        <w:ind w:left="720"/>
      </w:pPr>
      <w:r>
        <w:t>(B) Proficiency rate for children with IEPs against grade-level academic achievement standards</w:t>
      </w:r>
    </w:p>
    <w:p w14:paraId="41F3D588" w14:textId="495D3E34" w:rsidR="6C4948AC" w:rsidRDefault="6C4948AC" w:rsidP="61A7976D">
      <w:pPr>
        <w:ind w:left="720"/>
      </w:pPr>
      <w:r>
        <w:t>(C) Proficiency rate for children with IEPs against alternate academic achievement standards</w:t>
      </w:r>
    </w:p>
    <w:p w14:paraId="1E74BA9B" w14:textId="2EF94FC6" w:rsidR="6C4948AC" w:rsidRDefault="6C4948AC" w:rsidP="61A7976D">
      <w:pPr>
        <w:ind w:left="720"/>
      </w:pPr>
      <w:r>
        <w:t>(D) Gap in proficiency rates for children with IEPs and for all students against grade-level academic achievement standards</w:t>
      </w:r>
    </w:p>
    <w:p w14:paraId="2EEC174B" w14:textId="772DCBA7" w:rsidR="2436A155" w:rsidRDefault="2436A155" w:rsidP="00B70782">
      <w:pPr>
        <w:pStyle w:val="ListParagraph"/>
        <w:numPr>
          <w:ilvl w:val="0"/>
          <w:numId w:val="20"/>
        </w:numPr>
      </w:pPr>
      <w:r w:rsidRPr="61A7976D">
        <w:rPr>
          <w:b/>
          <w:bCs/>
        </w:rPr>
        <w:t>Suspension and Expulsion</w:t>
      </w:r>
    </w:p>
    <w:p w14:paraId="4135607B" w14:textId="6643F227" w:rsidR="61A7976D" w:rsidRDefault="61A7976D" w:rsidP="61A7976D">
      <w:pPr>
        <w:ind w:left="720"/>
      </w:pPr>
      <w:r>
        <w:t xml:space="preserve">(A) </w:t>
      </w:r>
      <w:r w:rsidR="12689B74">
        <w:t>% of LEAs with significant discrepancy</w:t>
      </w:r>
    </w:p>
    <w:p w14:paraId="6957135E" w14:textId="10844A19" w:rsidR="12689B74" w:rsidRDefault="12689B74" w:rsidP="61A7976D">
      <w:pPr>
        <w:ind w:left="720"/>
      </w:pPr>
      <w:r>
        <w:t>(B) % of LEAs with significant discrepancy by race/ethnicity</w:t>
      </w:r>
    </w:p>
    <w:p w14:paraId="7D8E3771" w14:textId="24DE24A2" w:rsidR="2436A155" w:rsidRDefault="2436A155" w:rsidP="00B70782">
      <w:pPr>
        <w:pStyle w:val="ListParagraph"/>
        <w:numPr>
          <w:ilvl w:val="0"/>
          <w:numId w:val="20"/>
        </w:numPr>
        <w:spacing w:after="160"/>
        <w:jc w:val="left"/>
      </w:pPr>
      <w:r w:rsidRPr="5EF294CC">
        <w:rPr>
          <w:b/>
          <w:bCs/>
        </w:rPr>
        <w:t>Educational Environments</w:t>
      </w:r>
      <w:r w:rsidR="5B867DD7">
        <w:t xml:space="preserve"> - %</w:t>
      </w:r>
      <w:r w:rsidR="00DB4387">
        <w:t xml:space="preserve"> </w:t>
      </w:r>
      <w:r w:rsidR="5B867DD7">
        <w:t xml:space="preserve">of children with IEPs, age 5 and enrolled in </w:t>
      </w:r>
      <w:r w:rsidR="5F453902">
        <w:t>k</w:t>
      </w:r>
      <w:r w:rsidR="4F5FB194">
        <w:t>indergarten</w:t>
      </w:r>
      <w:r w:rsidR="5B867DD7">
        <w:t xml:space="preserve"> and ages 6-21, served</w:t>
      </w:r>
    </w:p>
    <w:p w14:paraId="4F8E733B" w14:textId="78AAAFEA" w:rsidR="61A7976D" w:rsidRDefault="61A7976D" w:rsidP="61A7976D">
      <w:pPr>
        <w:ind w:left="720"/>
      </w:pPr>
      <w:r>
        <w:t xml:space="preserve">(A) </w:t>
      </w:r>
      <w:r w:rsidR="0CE795EE">
        <w:t>Inside regular class 80% or more of day</w:t>
      </w:r>
    </w:p>
    <w:p w14:paraId="3D092FE4" w14:textId="703B2FCF" w:rsidR="0CE795EE" w:rsidRDefault="0CE795EE" w:rsidP="61A7976D">
      <w:pPr>
        <w:ind w:left="720"/>
      </w:pPr>
      <w:r>
        <w:t>(B) Inside regular class less than 40% of day</w:t>
      </w:r>
    </w:p>
    <w:p w14:paraId="3087D107" w14:textId="3611DA72" w:rsidR="0CE795EE" w:rsidRDefault="0CE795EE" w:rsidP="61A7976D">
      <w:pPr>
        <w:ind w:left="720"/>
      </w:pPr>
      <w:r>
        <w:t>(C) In separate schools, residential facilities, or homebound/hospital placements</w:t>
      </w:r>
    </w:p>
    <w:p w14:paraId="55D43554" w14:textId="1C7A8D13" w:rsidR="2436A155" w:rsidRDefault="2436A155" w:rsidP="00B70782">
      <w:pPr>
        <w:pStyle w:val="ListParagraph"/>
        <w:numPr>
          <w:ilvl w:val="0"/>
          <w:numId w:val="20"/>
        </w:numPr>
        <w:rPr>
          <w:b/>
          <w:bCs/>
        </w:rPr>
      </w:pPr>
      <w:r w:rsidRPr="5EF294CC">
        <w:rPr>
          <w:b/>
          <w:bCs/>
        </w:rPr>
        <w:t>Preschool Environments</w:t>
      </w:r>
      <w:r w:rsidR="451961FE" w:rsidRPr="5EF294CC">
        <w:rPr>
          <w:b/>
          <w:bCs/>
        </w:rPr>
        <w:t xml:space="preserve"> </w:t>
      </w:r>
      <w:r w:rsidR="451961FE">
        <w:t>- % of children with IEPs ages 3, 4, and 5 who are enrolled in a preschool program</w:t>
      </w:r>
    </w:p>
    <w:p w14:paraId="25D2C37F" w14:textId="793017C4" w:rsidR="007F5067" w:rsidRDefault="00A004AF" w:rsidP="007F5067">
      <w:pPr>
        <w:ind w:left="720"/>
      </w:pPr>
      <w:r>
        <w:t>(A)</w:t>
      </w:r>
      <w:r w:rsidR="00DB4387">
        <w:t xml:space="preserve"> </w:t>
      </w:r>
      <w:r w:rsidR="451961FE">
        <w:t>Receiving majority of special education and related services in regular early childhood</w:t>
      </w:r>
      <w:r>
        <w:t xml:space="preserve">   program</w:t>
      </w:r>
    </w:p>
    <w:p w14:paraId="3F3AE171" w14:textId="450CADE4" w:rsidR="451961FE" w:rsidRDefault="451961FE" w:rsidP="007F5067">
      <w:pPr>
        <w:ind w:left="720"/>
      </w:pPr>
      <w:r>
        <w:t>(B) Attending separate special education class, separate school, or residential facility</w:t>
      </w:r>
    </w:p>
    <w:p w14:paraId="1313DA26" w14:textId="0FE53741" w:rsidR="451961FE" w:rsidRDefault="451961FE" w:rsidP="00A004AF">
      <w:pPr>
        <w:ind w:firstLine="720"/>
      </w:pPr>
      <w:r>
        <w:t>(C) Receiving special education and related services in the home</w:t>
      </w:r>
    </w:p>
    <w:p w14:paraId="0DDC22B6" w14:textId="0F5E5225" w:rsidR="2436A155" w:rsidRDefault="2436A155" w:rsidP="00B70782">
      <w:pPr>
        <w:pStyle w:val="ListParagraph"/>
        <w:numPr>
          <w:ilvl w:val="0"/>
          <w:numId w:val="20"/>
        </w:numPr>
      </w:pPr>
      <w:r w:rsidRPr="5EF294CC">
        <w:rPr>
          <w:b/>
          <w:bCs/>
        </w:rPr>
        <w:t>Preschool Outcomes</w:t>
      </w:r>
      <w:r w:rsidR="48A3A94B">
        <w:t xml:space="preserve"> - % of preschool children ages 3-5 with IEPs with improved</w:t>
      </w:r>
    </w:p>
    <w:p w14:paraId="60AF6AC3" w14:textId="5C0260A3" w:rsidR="61A7976D" w:rsidRDefault="61A7976D" w:rsidP="61A7976D">
      <w:pPr>
        <w:ind w:left="720"/>
      </w:pPr>
      <w:r>
        <w:t xml:space="preserve">(A) </w:t>
      </w:r>
      <w:r w:rsidR="5DAC90BB">
        <w:t>Positive social-emotional skills</w:t>
      </w:r>
    </w:p>
    <w:p w14:paraId="4C0965D6" w14:textId="00478F39" w:rsidR="5DAC90BB" w:rsidRDefault="5DAC90BB" w:rsidP="61A7976D">
      <w:pPr>
        <w:ind w:left="720"/>
      </w:pPr>
      <w:r>
        <w:t>(B) Acquisition and use of knowledge and skills</w:t>
      </w:r>
    </w:p>
    <w:p w14:paraId="1189E00B" w14:textId="1F573A48" w:rsidR="5DAC90BB" w:rsidRDefault="5DAC90BB" w:rsidP="61A7976D">
      <w:pPr>
        <w:ind w:left="720"/>
      </w:pPr>
      <w:r>
        <w:t>(C) Use of appropriate behaviors to meet their needs</w:t>
      </w:r>
    </w:p>
    <w:p w14:paraId="5C510909" w14:textId="33B7D177" w:rsidR="2436A155" w:rsidRDefault="2436A155" w:rsidP="00B70782">
      <w:pPr>
        <w:pStyle w:val="ListParagraph"/>
        <w:numPr>
          <w:ilvl w:val="0"/>
          <w:numId w:val="20"/>
        </w:numPr>
      </w:pPr>
      <w:r w:rsidRPr="5EF294CC">
        <w:rPr>
          <w:b/>
          <w:bCs/>
        </w:rPr>
        <w:t>Parent Involvement</w:t>
      </w:r>
      <w:r>
        <w:t xml:space="preserve"> - % of parents who report that the school facilitated parent involvement</w:t>
      </w:r>
    </w:p>
    <w:p w14:paraId="33E02214" w14:textId="15C5C254" w:rsidR="2436A155" w:rsidRDefault="2436A155" w:rsidP="00B70782">
      <w:pPr>
        <w:pStyle w:val="ListParagraph"/>
        <w:numPr>
          <w:ilvl w:val="0"/>
          <w:numId w:val="20"/>
        </w:numPr>
      </w:pPr>
      <w:r w:rsidRPr="5ADE30B1">
        <w:rPr>
          <w:b/>
          <w:bCs/>
        </w:rPr>
        <w:t>Disproportionate Representation</w:t>
      </w:r>
      <w:r>
        <w:t xml:space="preserve"> - % of districts</w:t>
      </w:r>
      <w:r w:rsidR="607C7D95">
        <w:t xml:space="preserve"> with disproportionate representation of racial/ethnic groups in special education and related services due to inappropriate identification.</w:t>
      </w:r>
    </w:p>
    <w:p w14:paraId="643EC5F4" w14:textId="67366371" w:rsidR="2436A155" w:rsidRDefault="2436A155" w:rsidP="00B70782">
      <w:pPr>
        <w:pStyle w:val="ListParagraph"/>
        <w:numPr>
          <w:ilvl w:val="0"/>
          <w:numId w:val="20"/>
        </w:numPr>
      </w:pPr>
      <w:r w:rsidRPr="5EF294CC">
        <w:rPr>
          <w:b/>
          <w:bCs/>
        </w:rPr>
        <w:t>Disproportionate Representation in Specific Disability Category</w:t>
      </w:r>
      <w:r>
        <w:t xml:space="preserve"> - %</w:t>
      </w:r>
      <w:r w:rsidR="00DB4387">
        <w:t xml:space="preserve"> of districts with disproportionate representation of racial/ethnic groups in specific disability categories due to inappropriate identification.</w:t>
      </w:r>
    </w:p>
    <w:p w14:paraId="1CBA36A5" w14:textId="74A03FBF" w:rsidR="2436A155" w:rsidRDefault="2436A155" w:rsidP="00B70782">
      <w:pPr>
        <w:pStyle w:val="ListParagraph"/>
        <w:numPr>
          <w:ilvl w:val="0"/>
          <w:numId w:val="20"/>
        </w:numPr>
      </w:pPr>
      <w:r w:rsidRPr="5EF294CC">
        <w:rPr>
          <w:b/>
          <w:bCs/>
        </w:rPr>
        <w:t xml:space="preserve">Child Find </w:t>
      </w:r>
      <w:r>
        <w:t>- % of children evaluated within 45 school days of parental consent for initial evaluation.</w:t>
      </w:r>
    </w:p>
    <w:p w14:paraId="08AD83FA" w14:textId="707B087A" w:rsidR="2436A155" w:rsidRDefault="2436A155" w:rsidP="00B70782">
      <w:pPr>
        <w:pStyle w:val="ListParagraph"/>
        <w:numPr>
          <w:ilvl w:val="0"/>
          <w:numId w:val="20"/>
        </w:numPr>
      </w:pPr>
      <w:r w:rsidRPr="5EF294CC">
        <w:rPr>
          <w:b/>
          <w:bCs/>
        </w:rPr>
        <w:lastRenderedPageBreak/>
        <w:t>Early Childhood Transition</w:t>
      </w:r>
      <w:r>
        <w:t xml:space="preserve"> - % of </w:t>
      </w:r>
      <w:r w:rsidR="007F5067">
        <w:t>Part C referrals for which Part B eligibility and IEP’s</w:t>
      </w:r>
      <w:r w:rsidR="00DB4387">
        <w:t>,</w:t>
      </w:r>
      <w:r w:rsidR="007F5067">
        <w:t xml:space="preserve"> if needed, were completed on or before the child’s 3</w:t>
      </w:r>
      <w:r w:rsidR="007F5067" w:rsidRPr="5EF294CC">
        <w:rPr>
          <w:vertAlign w:val="superscript"/>
        </w:rPr>
        <w:t>rd</w:t>
      </w:r>
      <w:r w:rsidR="007F5067">
        <w:t xml:space="preserve"> birthday</w:t>
      </w:r>
      <w:r>
        <w:t xml:space="preserve">. </w:t>
      </w:r>
    </w:p>
    <w:p w14:paraId="343CC8C2" w14:textId="46404927" w:rsidR="27A696CB" w:rsidRDefault="27A696CB" w:rsidP="00B70782">
      <w:pPr>
        <w:pStyle w:val="ListParagraph"/>
        <w:numPr>
          <w:ilvl w:val="0"/>
          <w:numId w:val="20"/>
        </w:numPr>
      </w:pPr>
      <w:r w:rsidRPr="5EF294CC">
        <w:rPr>
          <w:b/>
          <w:bCs/>
        </w:rPr>
        <w:t>Secondary Transition</w:t>
      </w:r>
      <w:r>
        <w:t xml:space="preserve"> - % of you</w:t>
      </w:r>
      <w:r w:rsidR="00A004AF">
        <w:t xml:space="preserve">th </w:t>
      </w:r>
      <w:r>
        <w:t>ages 15+ with measurable, annually updated IEP goals and appropriate transition assessment, services and courses.</w:t>
      </w:r>
    </w:p>
    <w:p w14:paraId="04C2D60F" w14:textId="50A06C5E" w:rsidR="2436A155" w:rsidRDefault="2436A155" w:rsidP="00B70782">
      <w:pPr>
        <w:pStyle w:val="ListParagraph"/>
        <w:numPr>
          <w:ilvl w:val="0"/>
          <w:numId w:val="20"/>
        </w:numPr>
      </w:pPr>
      <w:r w:rsidRPr="5ADE30B1">
        <w:rPr>
          <w:b/>
          <w:bCs/>
        </w:rPr>
        <w:t>Post-School Outcomes</w:t>
      </w:r>
      <w:r>
        <w:t xml:space="preserve"> - % of youth with IEPs, no longer in school</w:t>
      </w:r>
    </w:p>
    <w:p w14:paraId="2EC98660" w14:textId="06F326C3" w:rsidR="5ADE30B1" w:rsidRDefault="5ADE30B1" w:rsidP="5ADE30B1">
      <w:pPr>
        <w:ind w:left="720"/>
      </w:pPr>
      <w:r>
        <w:t xml:space="preserve">(A) </w:t>
      </w:r>
      <w:r w:rsidR="536FF977">
        <w:t>Enrolled in higher education</w:t>
      </w:r>
    </w:p>
    <w:p w14:paraId="494C8581" w14:textId="324F5677" w:rsidR="536FF977" w:rsidRDefault="536FF977" w:rsidP="5ADE30B1">
      <w:pPr>
        <w:ind w:left="720"/>
      </w:pPr>
      <w:r>
        <w:t>(B) Enrolled in higher education or competitively employed</w:t>
      </w:r>
    </w:p>
    <w:p w14:paraId="41D17C97" w14:textId="04C0688C" w:rsidR="536FF977" w:rsidRDefault="536FF977" w:rsidP="5ADE30B1">
      <w:pPr>
        <w:ind w:left="720"/>
      </w:pPr>
      <w:r>
        <w:t>(C) Enrolled in higher education, other postsecondary education, or training program or competitively employed or in some other employment, within one year of leaving high school.</w:t>
      </w:r>
    </w:p>
    <w:p w14:paraId="2474B70F" w14:textId="1B40A3BF" w:rsidR="2436A155" w:rsidRDefault="2436A155" w:rsidP="00B70782">
      <w:pPr>
        <w:pStyle w:val="ListParagraph"/>
        <w:numPr>
          <w:ilvl w:val="0"/>
          <w:numId w:val="20"/>
        </w:numPr>
      </w:pPr>
      <w:r w:rsidRPr="5ADE30B1">
        <w:rPr>
          <w:b/>
          <w:bCs/>
        </w:rPr>
        <w:t>Resolution Sessions</w:t>
      </w:r>
      <w:r>
        <w:t xml:space="preserve"> - % of hearing requests that went </w:t>
      </w:r>
      <w:r w:rsidR="72C1201B">
        <w:t>to</w:t>
      </w:r>
      <w:r>
        <w:t xml:space="preserve"> resolution sessions that were resolved through resolution session settlement agreements.</w:t>
      </w:r>
    </w:p>
    <w:p w14:paraId="1281675C" w14:textId="5693FA9F" w:rsidR="2436A155" w:rsidRDefault="2436A155" w:rsidP="00B70782">
      <w:pPr>
        <w:pStyle w:val="ListParagraph"/>
        <w:numPr>
          <w:ilvl w:val="0"/>
          <w:numId w:val="20"/>
        </w:numPr>
      </w:pPr>
      <w:r w:rsidRPr="5ADE30B1">
        <w:rPr>
          <w:b/>
          <w:bCs/>
        </w:rPr>
        <w:t>Mediation</w:t>
      </w:r>
      <w:r>
        <w:t xml:space="preserve"> - % of mediations held resulting in mediation agreements. </w:t>
      </w:r>
    </w:p>
    <w:p w14:paraId="38289F53" w14:textId="6864E9DD" w:rsidR="2436A155" w:rsidRDefault="2436A155" w:rsidP="00B70782">
      <w:pPr>
        <w:pStyle w:val="ListParagraph"/>
        <w:numPr>
          <w:ilvl w:val="0"/>
          <w:numId w:val="20"/>
        </w:numPr>
      </w:pPr>
      <w:r w:rsidRPr="5EF294CC">
        <w:rPr>
          <w:b/>
          <w:bCs/>
        </w:rPr>
        <w:t xml:space="preserve">State Systemic </w:t>
      </w:r>
      <w:r w:rsidR="59CEA632" w:rsidRPr="5EF294CC">
        <w:rPr>
          <w:b/>
          <w:bCs/>
        </w:rPr>
        <w:t>I</w:t>
      </w:r>
      <w:r w:rsidRPr="5EF294CC">
        <w:rPr>
          <w:b/>
          <w:bCs/>
        </w:rPr>
        <w:t>mprovement Plan (SSIP)</w:t>
      </w:r>
      <w:r w:rsidR="2B4849E5" w:rsidRPr="5EF294CC">
        <w:rPr>
          <w:b/>
          <w:bCs/>
        </w:rPr>
        <w:t xml:space="preserve"> </w:t>
      </w:r>
      <w:r w:rsidR="2B4849E5">
        <w:t xml:space="preserve">- </w:t>
      </w:r>
      <w:r>
        <w:t>SPP/</w:t>
      </w:r>
      <w:r w:rsidR="00A004AF">
        <w:t>APR</w:t>
      </w:r>
      <w:r>
        <w:t xml:space="preserve"> includes comprehensive, ambitious, yet achievable multi-year SSIP, with stakeholder engagement in al</w:t>
      </w:r>
      <w:r w:rsidR="00A004AF">
        <w:t>l</w:t>
      </w:r>
      <w:r>
        <w:t xml:space="preserve"> phases, for improving results for children with disabilities.</w:t>
      </w:r>
    </w:p>
    <w:p w14:paraId="50BA3770" w14:textId="21B7EFB4" w:rsidR="2436A155" w:rsidRDefault="2436A155" w:rsidP="00B70782">
      <w:pPr>
        <w:pStyle w:val="ListParagraph"/>
        <w:numPr>
          <w:ilvl w:val="0"/>
          <w:numId w:val="20"/>
        </w:numPr>
      </w:pPr>
      <w:r w:rsidRPr="61A7976D">
        <w:rPr>
          <w:b/>
          <w:bCs/>
        </w:rPr>
        <w:t>General Supervision</w:t>
      </w:r>
      <w:r>
        <w:t xml:space="preserve"> - % of findings of noncompliance corrected within one year of identification. </w:t>
      </w:r>
    </w:p>
    <w:p w14:paraId="317E5851" w14:textId="77777777" w:rsidR="00B00D26" w:rsidRDefault="00B00D26" w:rsidP="61A7976D"/>
    <w:p w14:paraId="715A685D" w14:textId="46C7293F" w:rsidR="61A7976D" w:rsidRDefault="56EDAC2C" w:rsidP="61A7976D">
      <w:bookmarkStart w:id="2" w:name="_Toc238561210"/>
      <w:r w:rsidRPr="5EF294CC">
        <w:rPr>
          <w:rStyle w:val="Heading1Char"/>
        </w:rPr>
        <w:t>Policies, Procedures &amp; Effective Instruction</w:t>
      </w:r>
      <w:bookmarkEnd w:id="2"/>
      <w:r>
        <w:t xml:space="preserve"> </w:t>
      </w:r>
    </w:p>
    <w:p w14:paraId="3CD462E5" w14:textId="35A936CF" w:rsidR="56EDAC2C" w:rsidRDefault="56EDAC2C" w:rsidP="5ADE30B1">
      <w:pPr>
        <w:pStyle w:val="Heading2"/>
      </w:pPr>
      <w:r>
        <w:t>Policies and Procedures</w:t>
      </w:r>
    </w:p>
    <w:p w14:paraId="1D43A01C" w14:textId="6211B9B7" w:rsidR="49E79768" w:rsidRDefault="49E79768" w:rsidP="5EF294CC">
      <w:pPr>
        <w:spacing w:line="257" w:lineRule="auto"/>
        <w:rPr>
          <w:rFonts w:ascii="Tw Cen MT" w:eastAsia="Tw Cen MT" w:hAnsi="Tw Cen MT" w:cs="Tw Cen MT"/>
        </w:rPr>
      </w:pPr>
      <w:r>
        <w:t xml:space="preserve">The Oklahoma Special Education Policies and Procedures are in alignment with the IDEA and Federal and State regulations. </w:t>
      </w:r>
      <w:r w:rsidRPr="2469CE08">
        <w:rPr>
          <w:rFonts w:ascii="Tw Cen MT" w:eastAsia="Tw Cen MT" w:hAnsi="Tw Cen MT" w:cs="Tw Cen MT"/>
        </w:rPr>
        <w:t>In an effort to assist LEAs and other entities providing special education and related services in Oklahoma, the OSDE-SES has outlined specific procedures for implementation of the IDEA in the Oklahoma</w:t>
      </w:r>
      <w:r w:rsidR="00DB4387" w:rsidRPr="2469CE08">
        <w:rPr>
          <w:rFonts w:ascii="Tw Cen MT" w:eastAsia="Tw Cen MT" w:hAnsi="Tw Cen MT" w:cs="Tw Cen MT"/>
        </w:rPr>
        <w:t xml:space="preserve"> Special Education</w:t>
      </w:r>
      <w:r w:rsidRPr="2469CE08">
        <w:rPr>
          <w:rFonts w:ascii="Tw Cen MT" w:eastAsia="Tw Cen MT" w:hAnsi="Tw Cen MT" w:cs="Tw Cen MT"/>
        </w:rPr>
        <w:t xml:space="preserve"> Policy and Procedures Manual, available on the OSDE-SES </w:t>
      </w:r>
      <w:hyperlink r:id="rId16">
        <w:r w:rsidRPr="00B37785">
          <w:rPr>
            <w:rStyle w:val="Hyperlink"/>
            <w:rFonts w:ascii="Tw Cen MT" w:eastAsia="Tw Cen MT" w:hAnsi="Tw Cen MT" w:cs="Tw Cen MT"/>
            <w:color w:val="auto"/>
          </w:rPr>
          <w:t>website</w:t>
        </w:r>
        <w:r w:rsidR="0DC711FE" w:rsidRPr="00B37785">
          <w:rPr>
            <w:rStyle w:val="Hyperlink"/>
            <w:rFonts w:ascii="Tw Cen MT" w:eastAsia="Tw Cen MT" w:hAnsi="Tw Cen MT" w:cs="Tw Cen MT"/>
            <w:color w:val="auto"/>
          </w:rPr>
          <w:t>.</w:t>
        </w:r>
      </w:hyperlink>
    </w:p>
    <w:p w14:paraId="408C0D41" w14:textId="4CC16020" w:rsidR="52223342" w:rsidRDefault="52223342" w:rsidP="5ADE30B1">
      <w:pPr>
        <w:spacing w:line="257" w:lineRule="auto"/>
        <w:rPr>
          <w:rFonts w:ascii="Tw Cen MT" w:eastAsia="Tw Cen MT" w:hAnsi="Tw Cen MT" w:cs="Tw Cen MT"/>
        </w:rPr>
      </w:pPr>
      <w:r w:rsidRPr="6952A7C3">
        <w:rPr>
          <w:rFonts w:ascii="Tw Cen MT" w:eastAsia="Tw Cen MT" w:hAnsi="Tw Cen MT" w:cs="Tw Cen MT"/>
        </w:rPr>
        <w:t xml:space="preserve">Local Education Agencies are responsible for the </w:t>
      </w:r>
      <w:r w:rsidR="070587AF" w:rsidRPr="6952A7C3">
        <w:rPr>
          <w:rFonts w:ascii="Tw Cen MT" w:eastAsia="Tw Cen MT" w:hAnsi="Tw Cen MT" w:cs="Tw Cen MT"/>
        </w:rPr>
        <w:t>provision</w:t>
      </w:r>
      <w:r w:rsidRPr="6952A7C3">
        <w:rPr>
          <w:rFonts w:ascii="Tw Cen MT" w:eastAsia="Tw Cen MT" w:hAnsi="Tw Cen MT" w:cs="Tw Cen MT"/>
        </w:rPr>
        <w:t xml:space="preserve"> of special </w:t>
      </w:r>
      <w:r w:rsidR="3B9D54FA" w:rsidRPr="6952A7C3">
        <w:rPr>
          <w:rFonts w:ascii="Tw Cen MT" w:eastAsia="Tw Cen MT" w:hAnsi="Tw Cen MT" w:cs="Tw Cen MT"/>
        </w:rPr>
        <w:t>educat</w:t>
      </w:r>
      <w:r w:rsidR="338F2BF3" w:rsidRPr="6952A7C3">
        <w:rPr>
          <w:rFonts w:ascii="Tw Cen MT" w:eastAsia="Tw Cen MT" w:hAnsi="Tw Cen MT" w:cs="Tw Cen MT"/>
        </w:rPr>
        <w:t>i</w:t>
      </w:r>
      <w:r w:rsidR="3B9D54FA" w:rsidRPr="6952A7C3">
        <w:rPr>
          <w:rFonts w:ascii="Tw Cen MT" w:eastAsia="Tw Cen MT" w:hAnsi="Tw Cen MT" w:cs="Tw Cen MT"/>
        </w:rPr>
        <w:t>on</w:t>
      </w:r>
      <w:r w:rsidRPr="6952A7C3">
        <w:rPr>
          <w:rFonts w:ascii="Tw Cen MT" w:eastAsia="Tw Cen MT" w:hAnsi="Tw Cen MT" w:cs="Tw Cen MT"/>
        </w:rPr>
        <w:t xml:space="preserve"> and related services and must abide by Oklahoma State law, policies, procedures, and the </w:t>
      </w:r>
      <w:r w:rsidR="00DB4387" w:rsidRPr="6952A7C3">
        <w:rPr>
          <w:rFonts w:ascii="Tw Cen MT" w:eastAsia="Tw Cen MT" w:hAnsi="Tw Cen MT" w:cs="Tw Cen MT"/>
        </w:rPr>
        <w:t>F</w:t>
      </w:r>
      <w:r w:rsidRPr="6952A7C3">
        <w:rPr>
          <w:rFonts w:ascii="Tw Cen MT" w:eastAsia="Tw Cen MT" w:hAnsi="Tw Cen MT" w:cs="Tw Cen MT"/>
        </w:rPr>
        <w:t>ederal regulations for the IDEA Part B.  Agencies h</w:t>
      </w:r>
      <w:r w:rsidR="6F068A52" w:rsidRPr="6952A7C3">
        <w:rPr>
          <w:rFonts w:ascii="Tw Cen MT" w:eastAsia="Tw Cen MT" w:hAnsi="Tw Cen MT" w:cs="Tw Cen MT"/>
        </w:rPr>
        <w:t xml:space="preserve">aving these responsibilities </w:t>
      </w:r>
      <w:r w:rsidR="401A4025" w:rsidRPr="6952A7C3">
        <w:rPr>
          <w:rFonts w:ascii="Tw Cen MT" w:eastAsia="Tw Cen MT" w:hAnsi="Tw Cen MT" w:cs="Tw Cen MT"/>
        </w:rPr>
        <w:t>include</w:t>
      </w:r>
      <w:r w:rsidR="6F068A52" w:rsidRPr="6952A7C3">
        <w:rPr>
          <w:rFonts w:ascii="Tw Cen MT" w:eastAsia="Tw Cen MT" w:hAnsi="Tw Cen MT" w:cs="Tw Cen MT"/>
        </w:rPr>
        <w:t>: local education agencies (LEAs), public</w:t>
      </w:r>
      <w:r w:rsidR="2C2B8004" w:rsidRPr="6952A7C3">
        <w:rPr>
          <w:rFonts w:ascii="Tw Cen MT" w:eastAsia="Tw Cen MT" w:hAnsi="Tw Cen MT" w:cs="Tw Cen MT"/>
        </w:rPr>
        <w:t xml:space="preserve"> </w:t>
      </w:r>
      <w:r w:rsidR="6F068A52" w:rsidRPr="6952A7C3">
        <w:rPr>
          <w:rFonts w:ascii="Tw Cen MT" w:eastAsia="Tw Cen MT" w:hAnsi="Tw Cen MT" w:cs="Tw Cen MT"/>
        </w:rPr>
        <w:t xml:space="preserve">charter schools not otherwise included as LEAs, inter-locals and co-ops, other public </w:t>
      </w:r>
      <w:r w:rsidR="2A01547C" w:rsidRPr="6952A7C3">
        <w:rPr>
          <w:rFonts w:ascii="Tw Cen MT" w:eastAsia="Tw Cen MT" w:hAnsi="Tw Cen MT" w:cs="Tw Cen MT"/>
        </w:rPr>
        <w:t>agencies</w:t>
      </w:r>
      <w:r w:rsidR="6F068A52" w:rsidRPr="6952A7C3">
        <w:rPr>
          <w:rFonts w:ascii="Tw Cen MT" w:eastAsia="Tw Cen MT" w:hAnsi="Tw Cen MT" w:cs="Tw Cen MT"/>
        </w:rPr>
        <w:t xml:space="preserve"> (e.g.,</w:t>
      </w:r>
      <w:r w:rsidR="5E097B6E" w:rsidRPr="6952A7C3">
        <w:rPr>
          <w:rFonts w:ascii="Tw Cen MT" w:eastAsia="Tw Cen MT" w:hAnsi="Tw Cen MT" w:cs="Tw Cen MT"/>
        </w:rPr>
        <w:t xml:space="preserve"> </w:t>
      </w:r>
      <w:r w:rsidR="6F068A52" w:rsidRPr="6952A7C3">
        <w:rPr>
          <w:rFonts w:ascii="Tw Cen MT" w:eastAsia="Tw Cen MT" w:hAnsi="Tw Cen MT" w:cs="Tw Cen MT"/>
        </w:rPr>
        <w:t>State schools for students with d</w:t>
      </w:r>
      <w:r w:rsidR="3252C041" w:rsidRPr="6952A7C3">
        <w:rPr>
          <w:rFonts w:ascii="Tw Cen MT" w:eastAsia="Tw Cen MT" w:hAnsi="Tw Cen MT" w:cs="Tw Cen MT"/>
        </w:rPr>
        <w:t>ea</w:t>
      </w:r>
      <w:r w:rsidR="00DB4387" w:rsidRPr="6952A7C3">
        <w:rPr>
          <w:rFonts w:ascii="Tw Cen MT" w:eastAsia="Tw Cen MT" w:hAnsi="Tw Cen MT" w:cs="Tw Cen MT"/>
        </w:rPr>
        <w:t>f</w:t>
      </w:r>
      <w:r w:rsidR="3252C041" w:rsidRPr="6952A7C3">
        <w:rPr>
          <w:rFonts w:ascii="Tw Cen MT" w:eastAsia="Tw Cen MT" w:hAnsi="Tw Cen MT" w:cs="Tw Cen MT"/>
        </w:rPr>
        <w:t xml:space="preserve">ness and </w:t>
      </w:r>
      <w:r w:rsidR="1DA37F2B" w:rsidRPr="6952A7C3">
        <w:rPr>
          <w:rFonts w:ascii="Tw Cen MT" w:eastAsia="Tw Cen MT" w:hAnsi="Tw Cen MT" w:cs="Tw Cen MT"/>
        </w:rPr>
        <w:t>blindness</w:t>
      </w:r>
      <w:r w:rsidR="3252C041" w:rsidRPr="6952A7C3">
        <w:rPr>
          <w:rFonts w:ascii="Tw Cen MT" w:eastAsia="Tw Cen MT" w:hAnsi="Tw Cen MT" w:cs="Tw Cen MT"/>
        </w:rPr>
        <w:t xml:space="preserve"> and State and local juvenile and adult</w:t>
      </w:r>
      <w:r w:rsidR="47BC98BA" w:rsidRPr="6952A7C3">
        <w:rPr>
          <w:rFonts w:ascii="Tw Cen MT" w:eastAsia="Tw Cen MT" w:hAnsi="Tw Cen MT" w:cs="Tw Cen MT"/>
        </w:rPr>
        <w:t xml:space="preserve"> </w:t>
      </w:r>
      <w:r w:rsidR="3252C041" w:rsidRPr="6952A7C3">
        <w:rPr>
          <w:rFonts w:ascii="Tw Cen MT" w:eastAsia="Tw Cen MT" w:hAnsi="Tw Cen MT" w:cs="Tw Cen MT"/>
        </w:rPr>
        <w:t>correctional facilities)</w:t>
      </w:r>
      <w:commentRangeStart w:id="3"/>
      <w:r w:rsidR="3B579FA8" w:rsidRPr="6952A7C3">
        <w:rPr>
          <w:rFonts w:ascii="Tw Cen MT" w:eastAsia="Tw Cen MT" w:hAnsi="Tw Cen MT" w:cs="Tw Cen MT"/>
        </w:rPr>
        <w:t>.</w:t>
      </w:r>
      <w:commentRangeEnd w:id="3"/>
      <w:r w:rsidRPr="6952A7C3">
        <w:rPr>
          <w:rStyle w:val="CommentReference"/>
          <w:rFonts w:ascii="Tw Cen MT" w:eastAsia="Tw Cen MT" w:hAnsi="Tw Cen MT" w:cs="Tw Cen MT"/>
          <w:sz w:val="24"/>
          <w:szCs w:val="24"/>
        </w:rPr>
        <w:commentReference w:id="3"/>
      </w:r>
      <w:r w:rsidR="3B579FA8" w:rsidRPr="6952A7C3">
        <w:rPr>
          <w:rFonts w:ascii="Tw Cen MT" w:eastAsia="Tw Cen MT" w:hAnsi="Tw Cen MT" w:cs="Tw Cen MT"/>
        </w:rPr>
        <w:t xml:space="preserve"> </w:t>
      </w:r>
    </w:p>
    <w:p w14:paraId="14AE66A5" w14:textId="1DFC5201" w:rsidR="49E79768" w:rsidRDefault="00CA1C4E" w:rsidP="5EF294CC">
      <w:pPr>
        <w:spacing w:line="257" w:lineRule="auto"/>
        <w:rPr>
          <w:rFonts w:ascii="Tw Cen MT" w:eastAsia="Tw Cen MT" w:hAnsi="Tw Cen MT" w:cs="Tw Cen MT"/>
        </w:rPr>
      </w:pPr>
      <w:r w:rsidRPr="6952A7C3">
        <w:rPr>
          <w:rStyle w:val="CommentReference"/>
          <w:sz w:val="24"/>
          <w:szCs w:val="24"/>
        </w:rPr>
        <w:t>LE</w:t>
      </w:r>
      <w:r w:rsidR="0511A592" w:rsidRPr="6952A7C3">
        <w:rPr>
          <w:rFonts w:ascii="Tw Cen MT" w:eastAsia="Tw Cen MT" w:hAnsi="Tw Cen MT" w:cs="Tw Cen MT"/>
        </w:rPr>
        <w:t>As must develop policies and procedures (34 CFR §300.20</w:t>
      </w:r>
      <w:r w:rsidR="18BDE773" w:rsidRPr="6952A7C3">
        <w:rPr>
          <w:rFonts w:ascii="Tw Cen MT" w:eastAsia="Tw Cen MT" w:hAnsi="Tw Cen MT" w:cs="Tw Cen MT"/>
        </w:rPr>
        <w:t>1)</w:t>
      </w:r>
      <w:r w:rsidR="0511A592" w:rsidRPr="6952A7C3">
        <w:rPr>
          <w:rFonts w:ascii="Tw Cen MT" w:eastAsia="Tw Cen MT" w:hAnsi="Tw Cen MT" w:cs="Tw Cen MT"/>
        </w:rPr>
        <w:t xml:space="preserve"> at the local level to ensure effective implementation of the IDEA and the Oklahoma Policy and Procedures. LEAs are required annually to complete the </w:t>
      </w:r>
      <w:r w:rsidR="0511A592" w:rsidRPr="6952A7C3">
        <w:rPr>
          <w:rFonts w:ascii="Tw Cen MT" w:eastAsia="Tw Cen MT" w:hAnsi="Tw Cen MT" w:cs="Tw Cen MT"/>
          <w:i/>
          <w:iCs/>
        </w:rPr>
        <w:t xml:space="preserve">LEA Agreement </w:t>
      </w:r>
      <w:r w:rsidR="0511A592" w:rsidRPr="6952A7C3">
        <w:rPr>
          <w:rFonts w:ascii="Tw Cen MT" w:eastAsia="Tw Cen MT" w:hAnsi="Tw Cen MT" w:cs="Tw Cen MT"/>
        </w:rPr>
        <w:t xml:space="preserve">for Special Education </w:t>
      </w:r>
      <w:r w:rsidR="50C7632F" w:rsidRPr="6952A7C3">
        <w:rPr>
          <w:rFonts w:ascii="Tw Cen MT" w:eastAsia="Tw Cen MT" w:hAnsi="Tw Cen MT" w:cs="Tw Cen MT"/>
        </w:rPr>
        <w:t>(34 CFR § 300.200)</w:t>
      </w:r>
      <w:r w:rsidR="4CD2E559" w:rsidRPr="6952A7C3">
        <w:rPr>
          <w:rFonts w:ascii="Tw Cen MT" w:eastAsia="Tw Cen MT" w:hAnsi="Tw Cen MT" w:cs="Tw Cen MT"/>
        </w:rPr>
        <w:t xml:space="preserve"> in</w:t>
      </w:r>
      <w:r w:rsidR="50C7632F" w:rsidRPr="6952A7C3">
        <w:rPr>
          <w:rFonts w:ascii="Tw Cen MT" w:eastAsia="Tw Cen MT" w:hAnsi="Tw Cen MT" w:cs="Tw Cen MT"/>
        </w:rPr>
        <w:t xml:space="preserve"> the Grants management System (GMS)</w:t>
      </w:r>
      <w:r w:rsidRPr="6952A7C3">
        <w:rPr>
          <w:rFonts w:ascii="Tw Cen MT" w:eastAsia="Tw Cen MT" w:hAnsi="Tw Cen MT" w:cs="Tw Cen MT"/>
        </w:rPr>
        <w:t xml:space="preserve"> </w:t>
      </w:r>
      <w:r w:rsidR="50C7632F" w:rsidRPr="6952A7C3">
        <w:rPr>
          <w:rFonts w:ascii="Tw Cen MT" w:eastAsia="Tw Cen MT" w:hAnsi="Tw Cen MT" w:cs="Tw Cen MT"/>
        </w:rPr>
        <w:t xml:space="preserve">located in </w:t>
      </w:r>
      <w:r w:rsidRPr="6952A7C3">
        <w:rPr>
          <w:rFonts w:ascii="Tw Cen MT" w:eastAsia="Tw Cen MT" w:hAnsi="Tw Cen MT" w:cs="Tw Cen MT"/>
        </w:rPr>
        <w:t>S</w:t>
      </w:r>
      <w:r w:rsidR="50C7632F" w:rsidRPr="6952A7C3">
        <w:rPr>
          <w:rFonts w:ascii="Tw Cen MT" w:eastAsia="Tw Cen MT" w:hAnsi="Tw Cen MT" w:cs="Tw Cen MT"/>
        </w:rPr>
        <w:t xml:space="preserve">ingle </w:t>
      </w:r>
      <w:r w:rsidRPr="6952A7C3">
        <w:rPr>
          <w:rFonts w:ascii="Tw Cen MT" w:eastAsia="Tw Cen MT" w:hAnsi="Tw Cen MT" w:cs="Tw Cen MT"/>
        </w:rPr>
        <w:t>S</w:t>
      </w:r>
      <w:r w:rsidR="50C7632F" w:rsidRPr="6952A7C3">
        <w:rPr>
          <w:rFonts w:ascii="Tw Cen MT" w:eastAsia="Tw Cen MT" w:hAnsi="Tw Cen MT" w:cs="Tw Cen MT"/>
        </w:rPr>
        <w:t>ign-</w:t>
      </w:r>
      <w:r w:rsidRPr="6952A7C3">
        <w:rPr>
          <w:rFonts w:ascii="Tw Cen MT" w:eastAsia="Tw Cen MT" w:hAnsi="Tw Cen MT" w:cs="Tw Cen MT"/>
        </w:rPr>
        <w:t>O</w:t>
      </w:r>
      <w:r w:rsidR="50C7632F" w:rsidRPr="6952A7C3">
        <w:rPr>
          <w:rFonts w:ascii="Tw Cen MT" w:eastAsia="Tw Cen MT" w:hAnsi="Tw Cen MT" w:cs="Tw Cen MT"/>
        </w:rPr>
        <w:t xml:space="preserve">n. </w:t>
      </w:r>
      <w:r w:rsidR="0511A592" w:rsidRPr="6952A7C3">
        <w:rPr>
          <w:rFonts w:ascii="Tw Cen MT" w:eastAsia="Tw Cen MT" w:hAnsi="Tw Cen MT" w:cs="Tw Cen MT"/>
        </w:rPr>
        <w:t xml:space="preserve">Failure to complete these required </w:t>
      </w:r>
      <w:r w:rsidR="1759A170" w:rsidRPr="6952A7C3">
        <w:rPr>
          <w:rFonts w:ascii="Tw Cen MT" w:eastAsia="Tw Cen MT" w:hAnsi="Tw Cen MT" w:cs="Tw Cen MT"/>
        </w:rPr>
        <w:t>assurances</w:t>
      </w:r>
      <w:r w:rsidR="0511A592" w:rsidRPr="6952A7C3">
        <w:rPr>
          <w:rFonts w:ascii="Tw Cen MT" w:eastAsia="Tw Cen MT" w:hAnsi="Tw Cen MT" w:cs="Tw Cen MT"/>
        </w:rPr>
        <w:t xml:space="preserve"> and agreements in a timely manner can directly affect </w:t>
      </w:r>
      <w:r w:rsidR="01887F9D" w:rsidRPr="6952A7C3">
        <w:rPr>
          <w:rFonts w:ascii="Tw Cen MT" w:eastAsia="Tw Cen MT" w:hAnsi="Tw Cen MT" w:cs="Tw Cen MT"/>
        </w:rPr>
        <w:t>sub-recipient allocations</w:t>
      </w:r>
      <w:r w:rsidRPr="6952A7C3">
        <w:rPr>
          <w:rFonts w:ascii="Tw Cen MT" w:eastAsia="Tw Cen MT" w:hAnsi="Tw Cen MT" w:cs="Tw Cen MT"/>
        </w:rPr>
        <w:t xml:space="preserve">, </w:t>
      </w:r>
      <w:r w:rsidR="0511A592" w:rsidRPr="6952A7C3">
        <w:rPr>
          <w:rFonts w:ascii="Tw Cen MT" w:eastAsia="Tw Cen MT" w:hAnsi="Tw Cen MT" w:cs="Tw Cen MT"/>
        </w:rPr>
        <w:t>approval of budget applications</w:t>
      </w:r>
      <w:r w:rsidR="00DB4387" w:rsidRPr="6952A7C3">
        <w:rPr>
          <w:rFonts w:ascii="Tw Cen MT" w:eastAsia="Tw Cen MT" w:hAnsi="Tw Cen MT" w:cs="Tw Cen MT"/>
        </w:rPr>
        <w:t>,</w:t>
      </w:r>
      <w:r w:rsidR="0511A592" w:rsidRPr="6952A7C3">
        <w:rPr>
          <w:rFonts w:ascii="Tw Cen MT" w:eastAsia="Tw Cen MT" w:hAnsi="Tw Cen MT" w:cs="Tw Cen MT"/>
        </w:rPr>
        <w:t xml:space="preserve"> and other </w:t>
      </w:r>
      <w:r w:rsidR="181E667B" w:rsidRPr="6952A7C3">
        <w:rPr>
          <w:rFonts w:ascii="Tw Cen MT" w:eastAsia="Tw Cen MT" w:hAnsi="Tw Cen MT" w:cs="Tw Cen MT"/>
        </w:rPr>
        <w:t xml:space="preserve">fiscal-related </w:t>
      </w:r>
      <w:r w:rsidR="0511A592" w:rsidRPr="6952A7C3">
        <w:rPr>
          <w:rFonts w:ascii="Tw Cen MT" w:eastAsia="Tw Cen MT" w:hAnsi="Tw Cen MT" w:cs="Tw Cen MT"/>
        </w:rPr>
        <w:t>issues</w:t>
      </w:r>
      <w:r w:rsidRPr="6952A7C3">
        <w:rPr>
          <w:rFonts w:ascii="Tw Cen MT" w:eastAsia="Tw Cen MT" w:hAnsi="Tw Cen MT" w:cs="Tw Cen MT"/>
        </w:rPr>
        <w:t xml:space="preserve">.  Timeliness factors into District Determinations and </w:t>
      </w:r>
      <w:r w:rsidR="0511A592" w:rsidRPr="6952A7C3">
        <w:rPr>
          <w:rFonts w:ascii="Tw Cen MT" w:eastAsia="Tw Cen MT" w:hAnsi="Tw Cen MT" w:cs="Tw Cen MT"/>
        </w:rPr>
        <w:t>the level of support assigned an LEA</w:t>
      </w:r>
      <w:commentRangeStart w:id="4"/>
      <w:r w:rsidR="0511A592" w:rsidRPr="6952A7C3">
        <w:rPr>
          <w:rFonts w:ascii="Tw Cen MT" w:eastAsia="Tw Cen MT" w:hAnsi="Tw Cen MT" w:cs="Tw Cen MT"/>
        </w:rPr>
        <w:t xml:space="preserve"> through differential monitoring or selective reviews</w:t>
      </w:r>
      <w:commentRangeEnd w:id="4"/>
      <w:r w:rsidRPr="6952A7C3">
        <w:rPr>
          <w:rStyle w:val="CommentReference"/>
          <w:rFonts w:ascii="Tw Cen MT" w:eastAsia="Tw Cen MT" w:hAnsi="Tw Cen MT" w:cs="Tw Cen MT"/>
          <w:sz w:val="24"/>
          <w:szCs w:val="24"/>
        </w:rPr>
        <w:commentReference w:id="4"/>
      </w:r>
      <w:r w:rsidR="0511A592" w:rsidRPr="6952A7C3">
        <w:rPr>
          <w:rFonts w:ascii="Tw Cen MT" w:eastAsia="Tw Cen MT" w:hAnsi="Tw Cen MT" w:cs="Tw Cen MT"/>
        </w:rPr>
        <w:t>.</w:t>
      </w:r>
    </w:p>
    <w:p w14:paraId="2AF6CDCD" w14:textId="736CCB32" w:rsidR="56EDAC2C" w:rsidRDefault="56EDAC2C" w:rsidP="5ADE30B1">
      <w:pPr>
        <w:pStyle w:val="Heading2"/>
      </w:pPr>
      <w:r>
        <w:t xml:space="preserve">Effective Instruction </w:t>
      </w:r>
    </w:p>
    <w:p w14:paraId="5AAFDA5D" w14:textId="51C15995" w:rsidR="6825BCE2" w:rsidRDefault="6825BCE2" w:rsidP="6952A7C3">
      <w:pPr>
        <w:rPr>
          <w:rFonts w:ascii="Tw Cen MT" w:eastAsia="Tw Cen MT" w:hAnsi="Tw Cen MT" w:cs="Tw Cen MT"/>
        </w:rPr>
      </w:pPr>
      <w:r>
        <w:t xml:space="preserve">34 CFR </w:t>
      </w:r>
      <w:r w:rsidRPr="6952A7C3">
        <w:rPr>
          <w:rFonts w:ascii="Tw Cen MT" w:eastAsia="Tw Cen MT" w:hAnsi="Tw Cen MT" w:cs="Tw Cen MT"/>
        </w:rPr>
        <w:t xml:space="preserve">§300.1(d) identifies a key purpose of the IDEA is to </w:t>
      </w:r>
      <w:r w:rsidRPr="6952A7C3">
        <w:rPr>
          <w:rFonts w:ascii="Tw Cen MT" w:eastAsia="Tw Cen MT" w:hAnsi="Tw Cen MT" w:cs="Tw Cen MT"/>
          <w:b/>
          <w:bCs/>
        </w:rPr>
        <w:t>assess and ensure the effectiveness of efforts to educate</w:t>
      </w:r>
      <w:r w:rsidRPr="6952A7C3">
        <w:rPr>
          <w:rFonts w:ascii="Tw Cen MT" w:eastAsia="Tw Cen MT" w:hAnsi="Tw Cen MT" w:cs="Tw Cen MT"/>
        </w:rPr>
        <w:t xml:space="preserve"> children with disabilities.  </w:t>
      </w:r>
      <w:r w:rsidR="257BAE04" w:rsidRPr="6952A7C3">
        <w:rPr>
          <w:rFonts w:ascii="Tw Cen MT" w:eastAsia="Tw Cen MT" w:hAnsi="Tw Cen MT" w:cs="Tw Cen MT"/>
        </w:rPr>
        <w:t xml:space="preserve">The Oklahoma State Department of Education supports effective instruction through the use of an Oklahoma Multi-tiered System of Support (OKMTSS) framework </w:t>
      </w:r>
      <w:r w:rsidR="6EF3B479" w:rsidRPr="6952A7C3">
        <w:rPr>
          <w:rFonts w:ascii="Tw Cen MT" w:eastAsia="Tw Cen MT" w:hAnsi="Tw Cen MT" w:cs="Tw Cen MT"/>
        </w:rPr>
        <w:t>The Oklahoma Special Education Policies and Procedures manual includes chapter</w:t>
      </w:r>
      <w:r w:rsidR="097746C4" w:rsidRPr="6952A7C3">
        <w:rPr>
          <w:rFonts w:ascii="Tw Cen MT" w:eastAsia="Tw Cen MT" w:hAnsi="Tw Cen MT" w:cs="Tw Cen MT"/>
        </w:rPr>
        <w:t xml:space="preserve"> </w:t>
      </w:r>
      <w:r w:rsidR="00AC71DB" w:rsidRPr="6952A7C3">
        <w:rPr>
          <w:rFonts w:ascii="Tw Cen MT" w:eastAsia="Tw Cen MT" w:hAnsi="Tw Cen MT" w:cs="Tw Cen MT"/>
        </w:rPr>
        <w:t xml:space="preserve">3 </w:t>
      </w:r>
      <w:r w:rsidR="6EF3B479" w:rsidRPr="6952A7C3">
        <w:rPr>
          <w:rFonts w:ascii="Tw Cen MT" w:eastAsia="Tw Cen MT" w:hAnsi="Tw Cen MT" w:cs="Tw Cen MT"/>
        </w:rPr>
        <w:t>on effective instruction based on</w:t>
      </w:r>
      <w:r w:rsidR="00CA1C4E" w:rsidRPr="6952A7C3">
        <w:rPr>
          <w:rFonts w:ascii="Tw Cen MT" w:eastAsia="Tw Cen MT" w:hAnsi="Tw Cen MT" w:cs="Tw Cen MT"/>
        </w:rPr>
        <w:t xml:space="preserve"> a</w:t>
      </w:r>
      <w:r w:rsidR="6EF3B479" w:rsidRPr="6952A7C3">
        <w:rPr>
          <w:rFonts w:ascii="Tw Cen MT" w:eastAsia="Tw Cen MT" w:hAnsi="Tw Cen MT" w:cs="Tw Cen MT"/>
        </w:rPr>
        <w:t xml:space="preserve"> Multi-tiered System of Supports (MTSS).   MTSS is a</w:t>
      </w:r>
      <w:r w:rsidR="2DD93B84" w:rsidRPr="6952A7C3">
        <w:rPr>
          <w:rFonts w:ascii="Tw Cen MT" w:eastAsia="Tw Cen MT" w:hAnsi="Tw Cen MT" w:cs="Tw Cen MT"/>
        </w:rPr>
        <w:t xml:space="preserve"> system fram</w:t>
      </w:r>
      <w:r w:rsidR="66E47A23" w:rsidRPr="6952A7C3">
        <w:rPr>
          <w:rFonts w:ascii="Tw Cen MT" w:eastAsia="Tw Cen MT" w:hAnsi="Tw Cen MT" w:cs="Tw Cen MT"/>
        </w:rPr>
        <w:t>e</w:t>
      </w:r>
      <w:r w:rsidR="2DD93B84" w:rsidRPr="6952A7C3">
        <w:rPr>
          <w:rFonts w:ascii="Tw Cen MT" w:eastAsia="Tw Cen MT" w:hAnsi="Tw Cen MT" w:cs="Tw Cen MT"/>
        </w:rPr>
        <w:t xml:space="preserve">work to align evidence-based </w:t>
      </w:r>
      <w:r w:rsidR="763D978D" w:rsidRPr="6952A7C3">
        <w:rPr>
          <w:rFonts w:ascii="Tw Cen MT" w:eastAsia="Tw Cen MT" w:hAnsi="Tw Cen MT" w:cs="Tw Cen MT"/>
        </w:rPr>
        <w:t>instructional</w:t>
      </w:r>
      <w:r w:rsidR="2DD93B84" w:rsidRPr="6952A7C3">
        <w:rPr>
          <w:rFonts w:ascii="Tw Cen MT" w:eastAsia="Tw Cen MT" w:hAnsi="Tw Cen MT" w:cs="Tw Cen MT"/>
        </w:rPr>
        <w:t xml:space="preserve"> practices to address all </w:t>
      </w:r>
      <w:r w:rsidR="2DD93B84" w:rsidRPr="6952A7C3">
        <w:rPr>
          <w:rFonts w:ascii="Tw Cen MT" w:eastAsia="Tw Cen MT" w:hAnsi="Tw Cen MT" w:cs="Tw Cen MT"/>
        </w:rPr>
        <w:lastRenderedPageBreak/>
        <w:t>student</w:t>
      </w:r>
      <w:r w:rsidR="00CA1C4E" w:rsidRPr="6952A7C3">
        <w:rPr>
          <w:rFonts w:ascii="Tw Cen MT" w:eastAsia="Tw Cen MT" w:hAnsi="Tw Cen MT" w:cs="Tw Cen MT"/>
        </w:rPr>
        <w:t>s</w:t>
      </w:r>
      <w:r w:rsidR="00DB4387" w:rsidRPr="6952A7C3">
        <w:rPr>
          <w:rFonts w:ascii="Tw Cen MT" w:eastAsia="Tw Cen MT" w:hAnsi="Tw Cen MT" w:cs="Tw Cen MT"/>
        </w:rPr>
        <w:t>’</w:t>
      </w:r>
      <w:r w:rsidR="00AC71DB" w:rsidRPr="6952A7C3">
        <w:rPr>
          <w:rFonts w:ascii="Tw Cen MT" w:eastAsia="Tw Cen MT" w:hAnsi="Tw Cen MT" w:cs="Tw Cen MT"/>
        </w:rPr>
        <w:t xml:space="preserve"> </w:t>
      </w:r>
      <w:commentRangeStart w:id="5"/>
      <w:r w:rsidR="2DD93B84" w:rsidRPr="6952A7C3">
        <w:rPr>
          <w:rFonts w:ascii="Tw Cen MT" w:eastAsia="Tw Cen MT" w:hAnsi="Tw Cen MT" w:cs="Tw Cen MT"/>
        </w:rPr>
        <w:t xml:space="preserve">academic and social-emotional behavioral </w:t>
      </w:r>
      <w:r w:rsidR="5A2F5F12" w:rsidRPr="6952A7C3">
        <w:rPr>
          <w:rFonts w:ascii="Tw Cen MT" w:eastAsia="Tw Cen MT" w:hAnsi="Tw Cen MT" w:cs="Tw Cen MT"/>
        </w:rPr>
        <w:t>need</w:t>
      </w:r>
      <w:commentRangeStart w:id="6"/>
      <w:r w:rsidR="2DD93B84" w:rsidRPr="6952A7C3">
        <w:rPr>
          <w:rFonts w:ascii="Tw Cen MT" w:eastAsia="Tw Cen MT" w:hAnsi="Tw Cen MT" w:cs="Tw Cen MT"/>
        </w:rPr>
        <w:t>s</w:t>
      </w:r>
      <w:r w:rsidR="490AF933" w:rsidRPr="6952A7C3">
        <w:rPr>
          <w:rFonts w:ascii="Tw Cen MT" w:eastAsia="Tw Cen MT" w:hAnsi="Tw Cen MT" w:cs="Tw Cen MT"/>
        </w:rPr>
        <w:t>, and functional needs</w:t>
      </w:r>
      <w:commentRangeEnd w:id="5"/>
      <w:r w:rsidRPr="6952A7C3">
        <w:rPr>
          <w:rStyle w:val="CommentReference"/>
          <w:rFonts w:ascii="Tw Cen MT" w:eastAsia="Tw Cen MT" w:hAnsi="Tw Cen MT" w:cs="Tw Cen MT"/>
          <w:sz w:val="24"/>
          <w:szCs w:val="24"/>
        </w:rPr>
        <w:commentReference w:id="5"/>
      </w:r>
      <w:commentRangeEnd w:id="6"/>
      <w:r w:rsidRPr="6952A7C3">
        <w:rPr>
          <w:rStyle w:val="CommentReference"/>
          <w:rFonts w:ascii="Tw Cen MT" w:eastAsia="Tw Cen MT" w:hAnsi="Tw Cen MT" w:cs="Tw Cen MT"/>
          <w:sz w:val="24"/>
          <w:szCs w:val="24"/>
        </w:rPr>
        <w:commentReference w:id="6"/>
      </w:r>
      <w:r w:rsidR="2DD93B84" w:rsidRPr="6952A7C3">
        <w:rPr>
          <w:rFonts w:ascii="Tw Cen MT" w:eastAsia="Tw Cen MT" w:hAnsi="Tw Cen MT" w:cs="Tw Cen MT"/>
        </w:rPr>
        <w:t xml:space="preserve">, with regular data collection to </w:t>
      </w:r>
      <w:r w:rsidR="666D5396" w:rsidRPr="6952A7C3">
        <w:rPr>
          <w:rFonts w:ascii="Tw Cen MT" w:eastAsia="Tw Cen MT" w:hAnsi="Tw Cen MT" w:cs="Tw Cen MT"/>
        </w:rPr>
        <w:t>facilitate</w:t>
      </w:r>
      <w:r w:rsidR="2DD93B84" w:rsidRPr="6952A7C3">
        <w:rPr>
          <w:rFonts w:ascii="Tw Cen MT" w:eastAsia="Tw Cen MT" w:hAnsi="Tw Cen MT" w:cs="Tw Cen MT"/>
        </w:rPr>
        <w:t xml:space="preserve"> data-bas</w:t>
      </w:r>
      <w:r w:rsidR="32962AFE" w:rsidRPr="6952A7C3">
        <w:rPr>
          <w:rFonts w:ascii="Tw Cen MT" w:eastAsia="Tw Cen MT" w:hAnsi="Tw Cen MT" w:cs="Tw Cen MT"/>
        </w:rPr>
        <w:t xml:space="preserve">ed instructional decision making. </w:t>
      </w:r>
      <w:r w:rsidR="3BAA4770" w:rsidRPr="6952A7C3">
        <w:rPr>
          <w:rFonts w:ascii="Tw Cen MT" w:eastAsia="Tw Cen MT" w:hAnsi="Tw Cen MT" w:cs="Tw Cen MT"/>
        </w:rPr>
        <w:t xml:space="preserve">It is a multi-level, proactive, prevention system to maximize all student achievement and reduce </w:t>
      </w:r>
      <w:r w:rsidR="7A896EBE" w:rsidRPr="6952A7C3">
        <w:rPr>
          <w:rFonts w:ascii="Tw Cen MT" w:eastAsia="Tw Cen MT" w:hAnsi="Tw Cen MT" w:cs="Tw Cen MT"/>
        </w:rPr>
        <w:t>problem</w:t>
      </w:r>
      <w:r w:rsidR="3BAA4770" w:rsidRPr="6952A7C3">
        <w:rPr>
          <w:rFonts w:ascii="Tw Cen MT" w:eastAsia="Tw Cen MT" w:hAnsi="Tw Cen MT" w:cs="Tw Cen MT"/>
        </w:rPr>
        <w:t xml:space="preserve"> behaviors </w:t>
      </w:r>
      <w:r w:rsidR="55DC35EC" w:rsidRPr="6952A7C3">
        <w:rPr>
          <w:rFonts w:ascii="Tw Cen MT" w:eastAsia="Tw Cen MT" w:hAnsi="Tw Cen MT" w:cs="Tw Cen MT"/>
        </w:rPr>
        <w:t>throughout</w:t>
      </w:r>
      <w:r w:rsidR="3BAA4770" w:rsidRPr="6952A7C3">
        <w:rPr>
          <w:rFonts w:ascii="Tw Cen MT" w:eastAsia="Tw Cen MT" w:hAnsi="Tw Cen MT" w:cs="Tw Cen MT"/>
        </w:rPr>
        <w:t xml:space="preserve"> the school community.  The </w:t>
      </w:r>
      <w:r w:rsidR="656DB994" w:rsidRPr="6952A7C3">
        <w:rPr>
          <w:rFonts w:ascii="Tw Cen MT" w:eastAsia="Tw Cen MT" w:hAnsi="Tw Cen MT" w:cs="Tw Cen MT"/>
        </w:rPr>
        <w:t>Office</w:t>
      </w:r>
      <w:r w:rsidR="3BAA4770" w:rsidRPr="6952A7C3">
        <w:rPr>
          <w:rFonts w:ascii="Tw Cen MT" w:eastAsia="Tw Cen MT" w:hAnsi="Tw Cen MT" w:cs="Tw Cen MT"/>
        </w:rPr>
        <w:t xml:space="preserve"> of Special </w:t>
      </w:r>
      <w:r w:rsidR="55F89A8D" w:rsidRPr="6952A7C3">
        <w:rPr>
          <w:rFonts w:ascii="Tw Cen MT" w:eastAsia="Tw Cen MT" w:hAnsi="Tw Cen MT" w:cs="Tw Cen MT"/>
        </w:rPr>
        <w:t xml:space="preserve">Education </w:t>
      </w:r>
      <w:r w:rsidR="3BAA4770" w:rsidRPr="6952A7C3">
        <w:rPr>
          <w:rFonts w:ascii="Tw Cen MT" w:eastAsia="Tw Cen MT" w:hAnsi="Tw Cen MT" w:cs="Tw Cen MT"/>
        </w:rPr>
        <w:t>Ser</w:t>
      </w:r>
      <w:r w:rsidR="6CD28FFF" w:rsidRPr="6952A7C3">
        <w:rPr>
          <w:rFonts w:ascii="Tw Cen MT" w:eastAsia="Tw Cen MT" w:hAnsi="Tw Cen MT" w:cs="Tw Cen MT"/>
        </w:rPr>
        <w:t>vi</w:t>
      </w:r>
      <w:r w:rsidR="21603BF3" w:rsidRPr="6952A7C3">
        <w:rPr>
          <w:rFonts w:ascii="Tw Cen MT" w:eastAsia="Tw Cen MT" w:hAnsi="Tw Cen MT" w:cs="Tw Cen MT"/>
        </w:rPr>
        <w:t>c</w:t>
      </w:r>
      <w:r w:rsidR="6CD28FFF" w:rsidRPr="6952A7C3">
        <w:rPr>
          <w:rFonts w:ascii="Tw Cen MT" w:eastAsia="Tw Cen MT" w:hAnsi="Tw Cen MT" w:cs="Tw Cen MT"/>
        </w:rPr>
        <w:t>es</w:t>
      </w:r>
      <w:r w:rsidR="74F370FC" w:rsidRPr="6952A7C3">
        <w:rPr>
          <w:rFonts w:ascii="Tw Cen MT" w:eastAsia="Tw Cen MT" w:hAnsi="Tw Cen MT" w:cs="Tw Cen MT"/>
        </w:rPr>
        <w:t xml:space="preserve"> provides support for the implementation of effective instruction through the State Systemic Improvement Plan (SSIP) and through the State </w:t>
      </w:r>
      <w:r w:rsidR="7A751251" w:rsidRPr="6952A7C3">
        <w:rPr>
          <w:rFonts w:ascii="Tw Cen MT" w:eastAsia="Tw Cen MT" w:hAnsi="Tw Cen MT" w:cs="Tw Cen MT"/>
        </w:rPr>
        <w:t>P</w:t>
      </w:r>
      <w:r w:rsidR="74F370FC" w:rsidRPr="6952A7C3">
        <w:rPr>
          <w:rFonts w:ascii="Tw Cen MT" w:eastAsia="Tw Cen MT" w:hAnsi="Tw Cen MT" w:cs="Tw Cen MT"/>
        </w:rPr>
        <w:t>ersonnel Development Grant</w:t>
      </w:r>
      <w:r w:rsidR="40D2DD18" w:rsidRPr="6952A7C3">
        <w:rPr>
          <w:rFonts w:ascii="Tw Cen MT" w:eastAsia="Tw Cen MT" w:hAnsi="Tw Cen MT" w:cs="Tw Cen MT"/>
        </w:rPr>
        <w:t xml:space="preserve"> (SPDG</w:t>
      </w:r>
      <w:r w:rsidR="74F370FC" w:rsidRPr="6952A7C3">
        <w:rPr>
          <w:rFonts w:ascii="Tw Cen MT" w:eastAsia="Tw Cen MT" w:hAnsi="Tw Cen MT" w:cs="Tw Cen MT"/>
        </w:rPr>
        <w:t xml:space="preserve">). </w:t>
      </w:r>
    </w:p>
    <w:p w14:paraId="43A966D5" w14:textId="1A0C0892" w:rsidR="1A455424" w:rsidRDefault="1A455424" w:rsidP="5ADE30B1">
      <w:pPr>
        <w:pStyle w:val="Heading1"/>
        <w:rPr>
          <w:rFonts w:ascii="Tw Cen MT" w:eastAsia="Tw Cen MT" w:hAnsi="Tw Cen MT" w:cs="Tw Cen MT"/>
          <w:sz w:val="24"/>
          <w:szCs w:val="24"/>
        </w:rPr>
      </w:pPr>
      <w:bookmarkStart w:id="7" w:name="_Toc238561211"/>
      <w:r>
        <w:t xml:space="preserve">Fiscal </w:t>
      </w:r>
      <w:r w:rsidR="00AC71DB">
        <w:t>M</w:t>
      </w:r>
      <w:r>
        <w:t>anagement</w:t>
      </w:r>
      <w:bookmarkEnd w:id="7"/>
    </w:p>
    <w:p w14:paraId="5F88CE3F" w14:textId="092AD239" w:rsidR="61230614" w:rsidRDefault="61230614" w:rsidP="5ADE30B1">
      <w:r>
        <w:t>Federal legislation enacted in 1975 (Education for All Handicapped Children’s Act, Part B, as amended, Public Law (P.L.) 101-476, P.L. 98-199 and P.L. 99-457) provides funds for special education and related services to local educational agencies (LEA) through the Oklahoma State Department of Education (OSDE)</w:t>
      </w:r>
      <w:r w:rsidR="0040006C">
        <w:t xml:space="preserve"> </w:t>
      </w:r>
      <w:r w:rsidR="00AC71DB">
        <w:t>Office of</w:t>
      </w:r>
      <w:r>
        <w:t xml:space="preserve"> Special Education Services (SES).  In 1990, P.L. 101-476 amended the wording from Education of the Handicapped Children’s Act to Individuals with Disabilities Education Act (IDEA).  On June 4, 1997, the IDEA Amendments of 1997 were enacted into law as P.L. 105-17.  </w:t>
      </w:r>
      <w:r w:rsidR="0040006C">
        <w:t>December 3, 2004, the IDEA amendments of 2004 were enacted into law as P.L. 108-446.</w:t>
      </w:r>
    </w:p>
    <w:p w14:paraId="3DC372ED" w14:textId="638CFE29" w:rsidR="61230614" w:rsidRDefault="61230614" w:rsidP="5ADE30B1">
      <w:r>
        <w:t>T</w:t>
      </w:r>
      <w:r w:rsidR="0040006C">
        <w:t>he majority of Oklahoma’s</w:t>
      </w:r>
      <w:r>
        <w:t xml:space="preserve"> IDEA Part B funds will be awarded</w:t>
      </w:r>
      <w:r w:rsidR="0040006C">
        <w:t xml:space="preserve"> to LEAs</w:t>
      </w:r>
      <w:r>
        <w:t xml:space="preserve"> on the basis of a noncompetitive application.  Funds are awarded to the OSDE by the United States Department of Education (USDE), Office of Special Education Programs (OSEP), to “flow-through” to the LEA contingent upon the LEA’s consolidated application for IDEA Part B funds.  </w:t>
      </w:r>
    </w:p>
    <w:p w14:paraId="23CE8CE5" w14:textId="6089BB3B" w:rsidR="61230614" w:rsidRDefault="61230614" w:rsidP="5ADE30B1">
      <w:r>
        <w:t>Section 611, or flow-through funds, will be awarded on a formula based on the number of students with disabilities ages 3 through 21 served on December 1, 1999, as well as the total student enrollment in the LEA (in both public and private schools located in the LEA) and the poverty level of the LEA (defined as the free and reduced lunch count within the LEA).  The calculation comes from the October 1</w:t>
      </w:r>
      <w:r w:rsidR="0040006C">
        <w:t>child</w:t>
      </w:r>
      <w:r>
        <w:t xml:space="preserve"> count of the previous year.</w:t>
      </w:r>
    </w:p>
    <w:p w14:paraId="3EB51B5A" w14:textId="7574A7BA" w:rsidR="61230614" w:rsidRDefault="61230614" w:rsidP="5ADE30B1">
      <w:r>
        <w:t>Section 619, or Preschool, (P.L. 94-112 as amended by P.L. 99-457, 102-119, 105-17, and 108446) funds are earmarked for children with disabilities ages 3 through 5, and are awarded on a formula based on the number of children with disabilities ages 3, 4, and 5 served on December 1, 1999, as well as the total enrollment in the LEA (in both public and private schools located in the LEA) and the poverty level of the LEA (defined as the free and reduced lunch count within the LEA).  The calculation comes from the October 1</w:t>
      </w:r>
      <w:r w:rsidR="00125F27">
        <w:t xml:space="preserve"> child</w:t>
      </w:r>
      <w:r>
        <w:t xml:space="preserve"> count of the previous year.</w:t>
      </w:r>
    </w:p>
    <w:p w14:paraId="50C65997" w14:textId="0C552282" w:rsidR="1A455424" w:rsidRDefault="1A455424" w:rsidP="5ADE30B1">
      <w:pPr>
        <w:pStyle w:val="Heading2"/>
        <w:rPr>
          <w:rFonts w:ascii="Tw Cen MT" w:eastAsia="Tw Cen MT" w:hAnsi="Tw Cen MT" w:cs="Tw Cen MT"/>
          <w:sz w:val="24"/>
          <w:szCs w:val="24"/>
        </w:rPr>
      </w:pPr>
      <w:r>
        <w:t>IDEA Fiscal Accountability Overview</w:t>
      </w:r>
    </w:p>
    <w:p w14:paraId="3DD233C8" w14:textId="26B1BA96" w:rsidR="749F9FE7" w:rsidRDefault="749F9FE7" w:rsidP="5ADE30B1">
      <w:r>
        <w:t xml:space="preserve">The OSDE - SES must ensure fiscal accountability at each phase in the distribution and use of the IDEA Part B funds. </w:t>
      </w:r>
      <w:commentRangeStart w:id="8"/>
      <w:r>
        <w:t xml:space="preserve">The purpose of the OSDE - SES’s IDEA </w:t>
      </w:r>
      <w:hyperlink r:id="rId21">
        <w:r w:rsidRPr="00B37785">
          <w:rPr>
            <w:rStyle w:val="Hyperlink"/>
            <w:color w:val="auto"/>
          </w:rPr>
          <w:t>F</w:t>
        </w:r>
        <w:r w:rsidR="00125F27" w:rsidRPr="00B37785">
          <w:rPr>
            <w:rStyle w:val="Hyperlink"/>
            <w:color w:val="auto"/>
          </w:rPr>
          <w:t>undi</w:t>
        </w:r>
        <w:r w:rsidRPr="00B37785">
          <w:rPr>
            <w:rStyle w:val="Hyperlink"/>
            <w:color w:val="auto"/>
          </w:rPr>
          <w:t>ng</w:t>
        </w:r>
      </w:hyperlink>
      <w:r>
        <w:t xml:space="preserve">  Manual is to provide a comprehensive overview of fiscal policies, procedures, and mechanisms by which the OSDE accounts for the IDEA funds requirements, including:</w:t>
      </w:r>
      <w:commentRangeEnd w:id="8"/>
      <w:r>
        <w:rPr>
          <w:rStyle w:val="CommentReference"/>
          <w:sz w:val="24"/>
          <w:szCs w:val="24"/>
        </w:rPr>
        <w:commentReference w:id="8"/>
      </w:r>
      <w:r>
        <w:t xml:space="preserve">  </w:t>
      </w:r>
    </w:p>
    <w:p w14:paraId="3F3F970C" w14:textId="3FDF8287" w:rsidR="749F9FE7" w:rsidRDefault="749F9FE7" w:rsidP="5ADE30B1">
      <w:r w:rsidRPr="5ADE30B1">
        <w:t>Use of Amounts</w:t>
      </w:r>
    </w:p>
    <w:p w14:paraId="205AD500" w14:textId="306E13BD" w:rsidR="749F9FE7" w:rsidRDefault="749F9FE7" w:rsidP="00B70782">
      <w:pPr>
        <w:pStyle w:val="ListParagraph"/>
        <w:numPr>
          <w:ilvl w:val="0"/>
          <w:numId w:val="18"/>
        </w:numPr>
      </w:pPr>
      <w:r>
        <w:t>Ensure Local Education Agencies (LEAs) use the IDEA funds only to pay excess costs of providing special education and related services to children with disabilities;</w:t>
      </w:r>
    </w:p>
    <w:p w14:paraId="288A8632" w14:textId="649BE00C" w:rsidR="749F9FE7" w:rsidRDefault="749F9FE7" w:rsidP="00B70782">
      <w:pPr>
        <w:pStyle w:val="ListParagraph"/>
        <w:numPr>
          <w:ilvl w:val="0"/>
          <w:numId w:val="18"/>
        </w:numPr>
      </w:pPr>
      <w:r>
        <w:t xml:space="preserve">Ensure the IDEA funds are used to supplement and not supplant State, local, and other federal funds;  </w:t>
      </w:r>
    </w:p>
    <w:p w14:paraId="370A68BB" w14:textId="7436210E" w:rsidR="749F9FE7" w:rsidRDefault="749F9FE7" w:rsidP="00B70782">
      <w:pPr>
        <w:pStyle w:val="ListParagraph"/>
        <w:numPr>
          <w:ilvl w:val="0"/>
          <w:numId w:val="18"/>
        </w:numPr>
      </w:pPr>
      <w:r>
        <w:t xml:space="preserve">Ensure that funds provided to an LEA under IDEA Part B must not be used to reduce the level of expenditures for the education of children with disabilities made by the LEA from local funds below the level of those expenditures for the preceding fiscal year;  </w:t>
      </w:r>
    </w:p>
    <w:p w14:paraId="306689C7" w14:textId="7A93A86B" w:rsidR="749F9FE7" w:rsidRDefault="749F9FE7" w:rsidP="00B70782">
      <w:pPr>
        <w:pStyle w:val="ListParagraph"/>
        <w:numPr>
          <w:ilvl w:val="0"/>
          <w:numId w:val="18"/>
        </w:numPr>
      </w:pPr>
      <w:r>
        <w:t>Ensure proper use of exceptions and adjustments to</w:t>
      </w:r>
      <w:r w:rsidR="00125F27">
        <w:t xml:space="preserve"> </w:t>
      </w:r>
      <w:r>
        <w:t>maintenance of effort (MOE); and</w:t>
      </w:r>
    </w:p>
    <w:p w14:paraId="0E3CFF37" w14:textId="0661EF22" w:rsidR="5ADE30B1" w:rsidRDefault="749F9FE7" w:rsidP="009D10BF">
      <w:pPr>
        <w:pStyle w:val="ListParagraph"/>
        <w:numPr>
          <w:ilvl w:val="0"/>
          <w:numId w:val="18"/>
        </w:numPr>
      </w:pPr>
      <w:r>
        <w:t xml:space="preserve">Prohibit reduction in the level of expenditures under 34 CFR 300.205(a), if the LEA is not meeting IDEA Part B requirements.  </w:t>
      </w:r>
    </w:p>
    <w:p w14:paraId="7AD7A771" w14:textId="600D5AFA" w:rsidR="749F9FE7" w:rsidRDefault="749F9FE7" w:rsidP="5ADE30B1">
      <w:pPr>
        <w:pStyle w:val="Heading2"/>
        <w:rPr>
          <w:sz w:val="24"/>
          <w:szCs w:val="24"/>
        </w:rPr>
      </w:pPr>
      <w:r>
        <w:lastRenderedPageBreak/>
        <w:t>Requirements for Use of Special Education Federal Funds</w:t>
      </w:r>
    </w:p>
    <w:p w14:paraId="0B098481" w14:textId="3ED8C7A3" w:rsidR="749F9FE7" w:rsidRDefault="749F9FE7" w:rsidP="5ADE30B1">
      <w:pPr>
        <w:pStyle w:val="Heading3"/>
        <w:rPr>
          <w:sz w:val="24"/>
          <w:szCs w:val="24"/>
        </w:rPr>
      </w:pPr>
      <w:r>
        <w:t>Federal Requirement</w:t>
      </w:r>
    </w:p>
    <w:p w14:paraId="57F83FA9" w14:textId="1521071B" w:rsidR="248AC7E5" w:rsidRDefault="248AC7E5" w:rsidP="00B70782">
      <w:pPr>
        <w:pStyle w:val="ListParagraph"/>
        <w:numPr>
          <w:ilvl w:val="0"/>
          <w:numId w:val="16"/>
        </w:numPr>
      </w:pPr>
      <w:r>
        <w:t xml:space="preserve">Each LEA must have in effect policies and procedures that are consistent with the State Education Agency’s (SEA) policies and procedures and </w:t>
      </w:r>
      <w:r w:rsidR="00125F27">
        <w:t>demonstrate</w:t>
      </w:r>
      <w:r>
        <w:t xml:space="preserve"> to the satisfaction of the SEA that it meets those conditions. </w:t>
      </w:r>
    </w:p>
    <w:p w14:paraId="37CBDDDC" w14:textId="49ACEB18" w:rsidR="248AC7E5" w:rsidRDefault="248AC7E5" w:rsidP="00B70782">
      <w:pPr>
        <w:pStyle w:val="ListParagraph"/>
        <w:numPr>
          <w:ilvl w:val="0"/>
          <w:numId w:val="16"/>
        </w:numPr>
      </w:pPr>
      <w:r>
        <w:t xml:space="preserve">Each LEA must be able to establish and maintain a program of sufficient size and scope to effectively meet the needs of children with disabilities. </w:t>
      </w:r>
    </w:p>
    <w:p w14:paraId="32E35404" w14:textId="75FBE578" w:rsidR="248AC7E5" w:rsidRDefault="248AC7E5" w:rsidP="00B70782">
      <w:pPr>
        <w:pStyle w:val="ListParagraph"/>
        <w:numPr>
          <w:ilvl w:val="0"/>
          <w:numId w:val="16"/>
        </w:numPr>
      </w:pPr>
      <w:r w:rsidRPr="5ADE30B1">
        <w:t xml:space="preserve">Each LEA must meet the excess cost requirement. </w:t>
      </w:r>
    </w:p>
    <w:p w14:paraId="64262381" w14:textId="7BEA8AEA" w:rsidR="248AC7E5" w:rsidRDefault="248AC7E5" w:rsidP="00B70782">
      <w:pPr>
        <w:pStyle w:val="ListParagraph"/>
        <w:numPr>
          <w:ilvl w:val="1"/>
          <w:numId w:val="16"/>
        </w:numPr>
      </w:pPr>
      <w:r>
        <w:t xml:space="preserve">Amounts provided to an LEA under IDEA Part B may be used only to pay the excess cost of providing special education and related services to students with disabilities. </w:t>
      </w:r>
    </w:p>
    <w:p w14:paraId="76CB0D78" w14:textId="1DA944A9" w:rsidR="248AC7E5" w:rsidRDefault="248AC7E5" w:rsidP="00B70782">
      <w:pPr>
        <w:pStyle w:val="ListParagraph"/>
        <w:numPr>
          <w:ilvl w:val="1"/>
          <w:numId w:val="16"/>
        </w:numPr>
      </w:pPr>
      <w:r w:rsidRPr="5ADE30B1">
        <w:t xml:space="preserve">Excess costs are those costs over and above what the LEA spends on average for students enrolled at elementary or secondary level. </w:t>
      </w:r>
    </w:p>
    <w:p w14:paraId="29327EEE" w14:textId="372F5E85" w:rsidR="00282556" w:rsidRDefault="248AC7E5" w:rsidP="00293701">
      <w:pPr>
        <w:pStyle w:val="ListParagraph"/>
        <w:numPr>
          <w:ilvl w:val="1"/>
          <w:numId w:val="16"/>
        </w:numPr>
      </w:pPr>
      <w:r>
        <w:t>If an LEA can show that it has (on average) spent the minimum amount for the education of each of its students with disabilities, it has met the excess cost requirement and all additional costs are excess.  The IDEA Part B funds can then be used to pay for these additional costs.</w:t>
      </w:r>
    </w:p>
    <w:p w14:paraId="6FA2BB79" w14:textId="56D260A2" w:rsidR="749F9FE7" w:rsidRDefault="749F9FE7" w:rsidP="009D10BF">
      <w:pPr>
        <w:pStyle w:val="Heading3"/>
        <w:rPr>
          <w:sz w:val="24"/>
          <w:szCs w:val="24"/>
        </w:rPr>
      </w:pPr>
      <w:r>
        <w:t xml:space="preserve">Each LEA </w:t>
      </w:r>
      <w:r w:rsidR="00125F27">
        <w:t>M</w:t>
      </w:r>
      <w:r>
        <w:t xml:space="preserve">ust </w:t>
      </w:r>
      <w:r w:rsidR="00125F27">
        <w:t>M</w:t>
      </w:r>
      <w:r>
        <w:t xml:space="preserve">eet </w:t>
      </w:r>
      <w:r w:rsidR="00125F27">
        <w:t>T</w:t>
      </w:r>
      <w:r>
        <w:t xml:space="preserve">he </w:t>
      </w:r>
      <w:r w:rsidR="00125F27">
        <w:t>N</w:t>
      </w:r>
      <w:r>
        <w:t>on-</w:t>
      </w:r>
      <w:r w:rsidR="00125F27">
        <w:t>S</w:t>
      </w:r>
      <w:r>
        <w:t xml:space="preserve">upplanting </w:t>
      </w:r>
      <w:r w:rsidR="00125F27">
        <w:t>R</w:t>
      </w:r>
      <w:r>
        <w:t>equirement</w:t>
      </w:r>
    </w:p>
    <w:p w14:paraId="0C81FF34" w14:textId="74E074F5" w:rsidR="191B9887" w:rsidRDefault="191B9887" w:rsidP="5ADE30B1">
      <w:r>
        <w:t>IDEA Part B funds must be used by the LEA to supplement the level of federal, State, and local funds expended for special education and related services provided to students with disabilities and in no case to supplant these federal, State, and local funds.</w:t>
      </w:r>
    </w:p>
    <w:p w14:paraId="6D7096C8" w14:textId="0020B3F9" w:rsidR="0AACD772" w:rsidRDefault="0AACD772" w:rsidP="5ADE30B1">
      <w:pPr>
        <w:pStyle w:val="Heading2"/>
        <w:rPr>
          <w:sz w:val="24"/>
          <w:szCs w:val="24"/>
        </w:rPr>
      </w:pPr>
      <w:r>
        <w:t>Excess Cost</w:t>
      </w:r>
    </w:p>
    <w:p w14:paraId="74360F48" w14:textId="5EC9F223" w:rsidR="0AACD772" w:rsidRDefault="0AACD772" w:rsidP="00125F27">
      <w:r>
        <w:t xml:space="preserve">Local educational agencies (LEAs) must follow certain requirements when accepting federal funds. One of the federal requirements under the Individuals with Disabilities Education Act, Part B (IDEAB) is the concept of excess costs. If your LEA receives a federal grant awarded under IDEA-B, you must spend those funds only on the excess costs of providing special education and related services to eligible students. LEAs may not use IDEA-B funds to pay all the costs of educating students with disabilities. Excess costs are those costs over and above what the LEA spends on average for students enrolled at the elementary or secondary level, including special education students.  </w:t>
      </w:r>
    </w:p>
    <w:p w14:paraId="528BB347" w14:textId="083B0199" w:rsidR="0AACD772" w:rsidRDefault="0AACD772" w:rsidP="5ADE30B1">
      <w:pPr>
        <w:pStyle w:val="Heading2"/>
      </w:pPr>
      <w:r>
        <w:t>Maintenance of Effort</w:t>
      </w:r>
    </w:p>
    <w:p w14:paraId="58020461" w14:textId="7AB4CD41" w:rsidR="0AACD772" w:rsidRDefault="0AACD772" w:rsidP="5ADE30B1">
      <w:r>
        <w:t xml:space="preserve">Each LEA must meet Maintenance of Effort (MOE) requirements. Funds provided to the LEA under IDEA Part B may not be used to reduce the level of expenditures for the education of students with disabilities made by the LEA from local funds below the level of those expenditures for the preceding fiscal year. </w:t>
      </w:r>
    </w:p>
    <w:p w14:paraId="12ABFFB6" w14:textId="14BEBECA" w:rsidR="0AACD772" w:rsidRDefault="0AACD772" w:rsidP="5ADE30B1">
      <w:pPr>
        <w:pStyle w:val="Heading2"/>
      </w:pPr>
      <w:r>
        <w:t>Time and Effort Reporting</w:t>
      </w:r>
    </w:p>
    <w:p w14:paraId="23262F1E" w14:textId="34E36158" w:rsidR="0AACD772" w:rsidRDefault="0AACD772" w:rsidP="5ADE30B1">
      <w:r>
        <w:t>Federal regulation requires that any salaries and benefits charged to a federal award(s) must be documented in writing. The Time and Effort reports must be prepared for any staff with salary and benefits that are paid out of one or more than one Federal award.  The Time and Effort repor</w:t>
      </w:r>
      <w:r w:rsidR="00552078">
        <w:t>ts must be kept on file at the district level and available when requested.</w:t>
      </w:r>
    </w:p>
    <w:p w14:paraId="26882E13" w14:textId="1F0D3585" w:rsidR="71118F85" w:rsidRDefault="71118F85" w:rsidP="5ADE30B1">
      <w:pPr>
        <w:pStyle w:val="Heading2"/>
      </w:pPr>
      <w:r>
        <w:t xml:space="preserve">IDEA Consolidated Application – </w:t>
      </w:r>
      <w:r w:rsidR="6E4C9DD9">
        <w:t xml:space="preserve">Voluntary </w:t>
      </w:r>
      <w:r>
        <w:t>Early Intervening (Project 623)</w:t>
      </w:r>
    </w:p>
    <w:p w14:paraId="0DF0D786" w14:textId="216F1EC6" w:rsidR="71118F85" w:rsidRDefault="71118F85" w:rsidP="5ADE30B1">
      <w:r>
        <w:t xml:space="preserve">An LEA may not use more than 15 percent of the amount such LEA receives under IDEA Part B for any fiscal year, less any amount reduced by the agency, in combination with other amounts; this may include amounts other than </w:t>
      </w:r>
      <w:r>
        <w:lastRenderedPageBreak/>
        <w:t>education funds to develop and implement CEIS. CEIS may include interagency financing structures for students in kindergarten through grade 12 (with a particular emphasis on students enrolled in kindergarten through grade 3), who have not been identified as needing special education or related services, but who need additional academic and behavioral support to succeed in a general education environment.</w:t>
      </w:r>
    </w:p>
    <w:p w14:paraId="042A80B1" w14:textId="552EF9DE" w:rsidR="748C6F82" w:rsidRDefault="748C6F82" w:rsidP="5ADE30B1">
      <w:pPr>
        <w:pStyle w:val="Heading2"/>
      </w:pPr>
      <w:r>
        <w:t>C</w:t>
      </w:r>
      <w:r w:rsidR="3E4257BF">
        <w:t>omprehensive C</w:t>
      </w:r>
      <w:r>
        <w:t xml:space="preserve">oordinated Early Intervening Services </w:t>
      </w:r>
    </w:p>
    <w:p w14:paraId="47A42B0E" w14:textId="479B2B03" w:rsidR="5DA55BE7" w:rsidRDefault="5DA55BE7" w:rsidP="5ADE30B1">
      <w:r>
        <w:t xml:space="preserve">In December 2016, the Office of Special Education Programs (OSEP) finalized new regulations on significant disproportionality (34 CFR §300.646).  These regulations enforce the use of Individuals with Disabilities Education Act (IDEA) funds for mandatory Comprehensive Coordinated Early Intervening Services (CCEIS), which local education agencies (LEAs) provide upon identification of significant disproportionality, and distinguish use of funds for CCEIS from the use of IDEA funds for voluntary Coordinated Early Intervening Services (CEIS).  </w:t>
      </w:r>
    </w:p>
    <w:p w14:paraId="562880C4" w14:textId="0DDDA4C6" w:rsidR="5DA55BE7" w:rsidRDefault="5DA55BE7" w:rsidP="5EF294CC">
      <w:pPr>
        <w:rPr>
          <w:rFonts w:ascii="Tw Cen MT" w:eastAsia="Tw Cen MT" w:hAnsi="Tw Cen MT" w:cs="Tw Cen MT"/>
        </w:rPr>
      </w:pPr>
      <w:r>
        <w:t>LEAs identified as being significantly disproportionate are required to set aside 15 percent of their joint Project 621 and Project 641 IDEA current year allocation.  The LEA must address any policy, practice, or procedure it identifies as contributing to the significant disproportionality, including any that result in a failure to identify or the inappropriate identification of a racial or ethnic group or groups.  The LEA is required to publicly report on the revision of policies, practices, and procedures. The LEA retains full flexibility regarding whether the reservation is made with project 621 funds, project 641 funds, or both.</w:t>
      </w:r>
      <w:r w:rsidR="7D72E142" w:rsidRPr="5EF294CC">
        <w:rPr>
          <w:rFonts w:ascii="Tw Cen MT" w:eastAsia="Tw Cen MT" w:hAnsi="Tw Cen MT" w:cs="Tw Cen MT"/>
        </w:rPr>
        <w:t xml:space="preserve"> </w:t>
      </w:r>
    </w:p>
    <w:p w14:paraId="2431F8AC" w14:textId="21DFF34C" w:rsidR="5DA55BE7" w:rsidRPr="000A318A" w:rsidRDefault="7D72E142" w:rsidP="5EF294CC">
      <w:pPr>
        <w:rPr>
          <w:rFonts w:ascii="Tw Cen MT" w:eastAsia="Tw Cen MT" w:hAnsi="Tw Cen MT" w:cs="Tw Cen MT"/>
        </w:rPr>
      </w:pPr>
      <w:r w:rsidRPr="5EF294CC">
        <w:rPr>
          <w:rFonts w:ascii="Tw Cen MT" w:eastAsia="Tw Cen MT" w:hAnsi="Tw Cen MT" w:cs="Tw Cen MT"/>
        </w:rPr>
        <w:t>For additional information regarding IDEA Part B Funding, refer to the IDEA Part B Funding Manual located on the home page of the Special Education Services under Manuals.</w:t>
      </w:r>
    </w:p>
    <w:p w14:paraId="539DF229" w14:textId="5D284F65" w:rsidR="06E13E88" w:rsidRDefault="06E13E88" w:rsidP="5ADE30B1">
      <w:pPr>
        <w:pStyle w:val="Heading1"/>
      </w:pPr>
      <w:bookmarkStart w:id="9" w:name="_Toc238561212"/>
      <w:r>
        <w:t>Effective Dispute Resolution</w:t>
      </w:r>
      <w:bookmarkEnd w:id="9"/>
    </w:p>
    <w:p w14:paraId="2A6DA4AD" w14:textId="22DD00A9" w:rsidR="29445640" w:rsidRDefault="29445640" w:rsidP="5ADE30B1">
      <w:r>
        <w:t>A key purpose of the IDEA according to 34 CFR §300.1(d) is to ensure that the rights of children with disabilities and their parents are protected.  Under</w:t>
      </w:r>
      <w:r w:rsidR="00CA1C4E">
        <w:t xml:space="preserve"> 34 CFR §300.</w:t>
      </w:r>
      <w:r w:rsidR="00CA1C4E" w:rsidRPr="00C03801">
        <w:t>140</w:t>
      </w:r>
      <w:r w:rsidR="4560A09A" w:rsidRPr="00C03801">
        <w:t>, parents</w:t>
      </w:r>
      <w:r w:rsidR="4560A09A">
        <w:t xml:space="preserve"> are afforded procedural safeguards which include the ability to engage in dispute resolution.  When conflicts arise</w:t>
      </w:r>
      <w:r w:rsidR="2999BCBA">
        <w:t xml:space="preserve"> </w:t>
      </w:r>
      <w:r w:rsidR="4560A09A">
        <w:t>betwe</w:t>
      </w:r>
      <w:r w:rsidR="756E6A22">
        <w:t>en Local Education Agencies (LEA) and parents</w:t>
      </w:r>
      <w:r w:rsidR="51B26FC2">
        <w:t xml:space="preserve"> and/or adult students, the Oklahoma State Department of Education will engage in effective dispute resolution to assist in resolving disputes.  The State will address dispute resolution timely and in accordance with the requirements</w:t>
      </w:r>
      <w:r w:rsidR="0FB3E7D1">
        <w:t xml:space="preserve"> </w:t>
      </w:r>
      <w:r w:rsidR="6F7D757A">
        <w:t>of IDEA.  The resolution options offered through the OSDE include individualized educat</w:t>
      </w:r>
      <w:r w:rsidR="035ABA0F">
        <w:t>i</w:t>
      </w:r>
      <w:r w:rsidR="6F7D757A">
        <w:t>on</w:t>
      </w:r>
      <w:r w:rsidR="269CFE86">
        <w:t xml:space="preserve"> </w:t>
      </w:r>
      <w:r w:rsidR="6F7D757A">
        <w:t xml:space="preserve">program (IEP) facilitation, mediation, formal state complaints, due process hearings, facilitated resolution sessions, and expedited due process </w:t>
      </w:r>
      <w:r w:rsidR="1A884013">
        <w:t xml:space="preserve">hearings. </w:t>
      </w:r>
    </w:p>
    <w:p w14:paraId="7E5F347F" w14:textId="5AEA6A8A" w:rsidR="578E67E7" w:rsidRDefault="578E67E7" w:rsidP="5ADE30B1">
      <w:pPr>
        <w:pStyle w:val="Heading2"/>
      </w:pPr>
      <w:r>
        <w:t>Individualized Education Program (IEP) Facilitation</w:t>
      </w:r>
    </w:p>
    <w:p w14:paraId="3971D442" w14:textId="7DCCA2E1" w:rsidR="31A798A4" w:rsidRDefault="31A798A4" w:rsidP="5ADE30B1">
      <w:r>
        <w:t>IEP facilitation is a voluntary process for which a facilitator is appointed to facilitate an IEP team meeting.  The role of the facilitator is to help team members communicate more effectively and efficiently.  IEP facilitation supports early dispute resoluti</w:t>
      </w:r>
      <w:r w:rsidR="0F7A92F8">
        <w:t>on, providing assistance to the IEP team before a potential conflict develops into a more serious dispute.  The facilitator is an impartial third party, not a member of the IEP team, and has no stake in decisions made by the team.  For the parties to en</w:t>
      </w:r>
      <w:r w:rsidR="22CEFEA0">
        <w:t xml:space="preserve">ter into IEP facilitation, both parties must agree to use </w:t>
      </w:r>
      <w:r w:rsidR="00DB4387">
        <w:t>o</w:t>
      </w:r>
      <w:r w:rsidR="22CEFEA0">
        <w:t xml:space="preserve">f IEP facilitation. </w:t>
      </w:r>
    </w:p>
    <w:p w14:paraId="2E278F09" w14:textId="7F1E5D9A" w:rsidR="578E67E7" w:rsidRDefault="578E67E7" w:rsidP="5ADE30B1">
      <w:pPr>
        <w:pStyle w:val="Heading2"/>
      </w:pPr>
      <w:r>
        <w:t>Mediation</w:t>
      </w:r>
    </w:p>
    <w:p w14:paraId="39C0C417" w14:textId="7A7D0384" w:rsidR="1C049B17" w:rsidRDefault="1C049B17" w:rsidP="5ADE30B1">
      <w:r>
        <w:t xml:space="preserve">Mediation is a </w:t>
      </w:r>
      <w:r w:rsidR="44E61E3C">
        <w:t>structured</w:t>
      </w:r>
      <w:r>
        <w:t xml:space="preserve">, voluntary process in which an impartial third party (a mediator) assists parents and/or adult student and LEA personnel resolve disputes.  </w:t>
      </w:r>
      <w:r w:rsidR="2D66A50B">
        <w:t>Mediation</w:t>
      </w:r>
      <w:r>
        <w:t xml:space="preserve"> builds positive working relationships, encourages mut</w:t>
      </w:r>
      <w:r w:rsidR="48888FB5">
        <w:t>u</w:t>
      </w:r>
      <w:r>
        <w:t>al un</w:t>
      </w:r>
      <w:r w:rsidR="1B7C8D1D">
        <w:t>derstanding, and helps the parties focus on the</w:t>
      </w:r>
      <w:r w:rsidR="16730EF8">
        <w:t>ir</w:t>
      </w:r>
      <w:r w:rsidR="1B7C8D1D">
        <w:t xml:space="preserve"> common interest – the student.  For the parties to enter into mediation, both parties must agree to the use of mediation. </w:t>
      </w:r>
    </w:p>
    <w:p w14:paraId="0B89080C" w14:textId="7BE36AB2" w:rsidR="578E67E7" w:rsidRDefault="578E67E7" w:rsidP="5ADE30B1">
      <w:pPr>
        <w:pStyle w:val="Heading2"/>
      </w:pPr>
      <w:r>
        <w:lastRenderedPageBreak/>
        <w:t>Formal State Complaints</w:t>
      </w:r>
    </w:p>
    <w:p w14:paraId="0671E2A4" w14:textId="6411C5C2" w:rsidR="19F9075D" w:rsidRDefault="19F9075D" w:rsidP="5ADE30B1">
      <w:r>
        <w:t xml:space="preserve">A formal state complaint may be filed with the OSDE by any individual or organization who believes the LEA or other education agency has violated, within one year, a requirement of IDEA.  The complaint will be thoroughly investigated and </w:t>
      </w:r>
      <w:r w:rsidR="58D82335">
        <w:t>will result in a written decision of findings</w:t>
      </w:r>
      <w:r w:rsidR="32DBA03D">
        <w:t xml:space="preserve"> within 60 days</w:t>
      </w:r>
      <w:r w:rsidR="58D82335">
        <w:t xml:space="preserve">.  If noncompliance is identified, the district will be issued a corrective action plan and must correct the non-compliance as outlined in the decision and in all cases within one year. </w:t>
      </w:r>
    </w:p>
    <w:p w14:paraId="6667206F" w14:textId="2F73993F" w:rsidR="578E67E7" w:rsidRDefault="578E67E7" w:rsidP="5ADE30B1">
      <w:pPr>
        <w:pStyle w:val="Heading2"/>
      </w:pPr>
      <w:r>
        <w:t>Due Process Hearings</w:t>
      </w:r>
    </w:p>
    <w:p w14:paraId="52D40E7A" w14:textId="0D979222" w:rsidR="1C0EA92F" w:rsidRDefault="1C0EA92F" w:rsidP="5ADE30B1">
      <w:r>
        <w:t xml:space="preserve">A request for a due process </w:t>
      </w:r>
      <w:r w:rsidR="029875CC">
        <w:t>hearing</w:t>
      </w:r>
      <w:r>
        <w:t xml:space="preserve"> may be made by a parent, adult student, attorney representing the </w:t>
      </w:r>
      <w:r w:rsidR="1D9491DF">
        <w:t>parent</w:t>
      </w:r>
      <w:r>
        <w:t xml:space="preserve">/adult </w:t>
      </w:r>
      <w:r w:rsidR="48E9635A">
        <w:t>student</w:t>
      </w:r>
      <w:r>
        <w:t xml:space="preserve">, or the LEA.  A </w:t>
      </w:r>
      <w:r w:rsidR="00CA1C4E">
        <w:t>d</w:t>
      </w:r>
      <w:r>
        <w:t>ue process hearing must be initiated within t</w:t>
      </w:r>
      <w:r w:rsidR="621C73A4">
        <w:t>wo</w:t>
      </w:r>
      <w:r>
        <w:t xml:space="preserve"> years of the date the parent and/or adult student knew or sho</w:t>
      </w:r>
      <w:r w:rsidR="7F349B84">
        <w:t xml:space="preserve">uld have known of the dispute.  The hearing officer will preside over and conduct the proceedings in a fair and impartial manner, permitting all </w:t>
      </w:r>
      <w:r w:rsidR="789BAC40">
        <w:t>parities</w:t>
      </w:r>
      <w:r w:rsidR="7F349B84">
        <w:t xml:space="preserve"> an opportunity to present their informat</w:t>
      </w:r>
      <w:r w:rsidR="08BF44EC">
        <w:t>i</w:t>
      </w:r>
      <w:r w:rsidR="7F349B84">
        <w:t>on and opinions pursuant to the IDEA</w:t>
      </w:r>
      <w:r w:rsidR="70995C34">
        <w:t xml:space="preserve"> requirements.  The hearing officer will issue a written decision which will include findings of facts and conclusions of law, including an order, if appropriate. </w:t>
      </w:r>
    </w:p>
    <w:p w14:paraId="60AE80D7" w14:textId="295A737E" w:rsidR="570CAD75" w:rsidRDefault="570CAD75" w:rsidP="60B3B31F">
      <w:pPr>
        <w:pStyle w:val="Heading2"/>
      </w:pPr>
      <w:r>
        <w:t>Dispute Resolution Issues</w:t>
      </w:r>
    </w:p>
    <w:p w14:paraId="53918CC5" w14:textId="0B574F21" w:rsidR="570CAD75" w:rsidRDefault="570CAD75" w:rsidP="60B3B31F">
      <w:r>
        <w:t>The State tracks issues that arise through the dispute resolution process and uses that data to inform the need for targeted technical assistance and professional develo</w:t>
      </w:r>
      <w:r w:rsidR="6924D6D3">
        <w:t>p</w:t>
      </w:r>
      <w:r>
        <w:t xml:space="preserve">ment.  </w:t>
      </w:r>
    </w:p>
    <w:p w14:paraId="24BC32A4" w14:textId="2B6D2AB6" w:rsidR="0EDF9606" w:rsidRDefault="0EDF9606" w:rsidP="60B3B31F">
      <w:pPr>
        <w:pStyle w:val="Heading1"/>
      </w:pPr>
      <w:bookmarkStart w:id="10" w:name="_Toc238561213"/>
      <w:r>
        <w:t>Data on Processes and Results</w:t>
      </w:r>
      <w:bookmarkEnd w:id="10"/>
    </w:p>
    <w:p w14:paraId="30A4249F" w14:textId="4F8C9513" w:rsidR="3A72E37C" w:rsidRDefault="3A72E37C" w:rsidP="60B3B31F">
      <w:r>
        <w:t xml:space="preserve">The State is responsible for the collection and validation of data related to special education.  </w:t>
      </w:r>
      <w:r w:rsidR="00DB4387">
        <w:t xml:space="preserve">The </w:t>
      </w:r>
      <w:r w:rsidR="00CA1C4E">
        <w:t>State</w:t>
      </w:r>
      <w:r>
        <w:t xml:space="preserve"> examine</w:t>
      </w:r>
      <w:r w:rsidR="00CA1C4E">
        <w:t>s</w:t>
      </w:r>
      <w:r>
        <w:t xml:space="preserve"> and analyze</w:t>
      </w:r>
      <w:r w:rsidR="00CA1C4E">
        <w:t>s</w:t>
      </w:r>
      <w:r>
        <w:t xml:space="preserve"> the data to inform</w:t>
      </w:r>
      <w:r w:rsidR="00DB4387">
        <w:t xml:space="preserve"> </w:t>
      </w:r>
      <w:r w:rsidR="00CA1C4E">
        <w:t>of regional</w:t>
      </w:r>
      <w:r>
        <w:t xml:space="preserve"> and district-level </w:t>
      </w:r>
      <w:r w:rsidR="30BD2CBB">
        <w:t>concerns</w:t>
      </w:r>
      <w:r>
        <w:t>, including noncompliance.  These identified concerns inform the State’s targeted te</w:t>
      </w:r>
      <w:r w:rsidR="1C313DAC">
        <w:t xml:space="preserve">chnical assistance and </w:t>
      </w:r>
      <w:r w:rsidR="3D22003E">
        <w:t>professional</w:t>
      </w:r>
      <w:r w:rsidR="1C313DAC">
        <w:t xml:space="preserve"> development</w:t>
      </w:r>
      <w:r w:rsidR="44811925">
        <w:t>.</w:t>
      </w:r>
    </w:p>
    <w:p w14:paraId="35754BD1" w14:textId="62BC4197" w:rsidR="00253293" w:rsidRDefault="1DA4EC01" w:rsidP="60B3B31F">
      <w:r>
        <w:t xml:space="preserve">In order to </w:t>
      </w:r>
      <w:r w:rsidR="191D469C">
        <w:t>determin</w:t>
      </w:r>
      <w:r>
        <w:t>e co</w:t>
      </w:r>
      <w:r w:rsidR="3A0DF393">
        <w:t>m</w:t>
      </w:r>
      <w:r>
        <w:t xml:space="preserve">pliance and performance results based on the 18 Federal indicators outlined in the State Performance Plan (SPP) section of this document, Student-level data and district-level data will be collected annually from districts.  Some data elements </w:t>
      </w:r>
      <w:r w:rsidR="0F7BEE53">
        <w:t>are pulled directly from the online IEP system, while others are provided from the OSDE Office of Accountability.  This data is aggregated and reported as state-level data to OSEP through the SPP</w:t>
      </w:r>
      <w:r w:rsidR="00B70782">
        <w:t>.</w:t>
      </w:r>
    </w:p>
    <w:p w14:paraId="2FEB78FA" w14:textId="0FDD4381" w:rsidR="0F7BEE53" w:rsidRPr="00C03801" w:rsidRDefault="0F7BEE53" w:rsidP="00C03801">
      <w:pPr>
        <w:spacing w:after="160"/>
        <w:jc w:val="left"/>
      </w:pPr>
      <w:r>
        <w:t xml:space="preserve">States must use the indicator targets </w:t>
      </w:r>
      <w:r w:rsidR="6B65D62B">
        <w:t>established</w:t>
      </w:r>
      <w:r>
        <w:t xml:space="preserve"> in the SPP under 34 CFR </w:t>
      </w:r>
      <w:r w:rsidRPr="2469CE08">
        <w:rPr>
          <w:rFonts w:ascii="Tw Cen MT" w:eastAsia="Tw Cen MT" w:hAnsi="Tw Cen MT" w:cs="Tw Cen MT"/>
        </w:rPr>
        <w:t>§ 300.601 and the priority areas described in 34 CFR §300.600(d) to analyze the performance of each LEA.  Subseque</w:t>
      </w:r>
      <w:r w:rsidR="5420AA06" w:rsidRPr="2469CE08">
        <w:rPr>
          <w:rFonts w:ascii="Tw Cen MT" w:eastAsia="Tw Cen MT" w:hAnsi="Tw Cen MT" w:cs="Tw Cen MT"/>
        </w:rPr>
        <w:t>ntly, the SEA will report the disaggregated compliance and results d</w:t>
      </w:r>
      <w:r w:rsidR="73D0D9D9" w:rsidRPr="2469CE08">
        <w:rPr>
          <w:rFonts w:ascii="Tw Cen MT" w:eastAsia="Tw Cen MT" w:hAnsi="Tw Cen MT" w:cs="Tw Cen MT"/>
        </w:rPr>
        <w:t>a</w:t>
      </w:r>
      <w:r w:rsidR="5420AA06" w:rsidRPr="2469CE08">
        <w:rPr>
          <w:rFonts w:ascii="Tw Cen MT" w:eastAsia="Tw Cen MT" w:hAnsi="Tw Cen MT" w:cs="Tw Cen MT"/>
        </w:rPr>
        <w:t>ta back to each distri</w:t>
      </w:r>
      <w:r w:rsidR="61D36250" w:rsidRPr="2469CE08">
        <w:rPr>
          <w:rFonts w:ascii="Tw Cen MT" w:eastAsia="Tw Cen MT" w:hAnsi="Tw Cen MT" w:cs="Tw Cen MT"/>
        </w:rPr>
        <w:t>ct</w:t>
      </w:r>
      <w:r w:rsidR="5420AA06" w:rsidRPr="2469CE08">
        <w:rPr>
          <w:rFonts w:ascii="Tw Cen MT" w:eastAsia="Tw Cen MT" w:hAnsi="Tw Cen MT" w:cs="Tw Cen MT"/>
        </w:rPr>
        <w:t xml:space="preserve"> in th</w:t>
      </w:r>
      <w:r w:rsidR="568C83F5" w:rsidRPr="2469CE08">
        <w:rPr>
          <w:rFonts w:ascii="Tw Cen MT" w:eastAsia="Tw Cen MT" w:hAnsi="Tw Cen MT" w:cs="Tw Cen MT"/>
        </w:rPr>
        <w:t>e</w:t>
      </w:r>
      <w:r w:rsidR="5420AA06" w:rsidRPr="2469CE08">
        <w:rPr>
          <w:rFonts w:ascii="Tw Cen MT" w:eastAsia="Tw Cen MT" w:hAnsi="Tw Cen MT" w:cs="Tw Cen MT"/>
        </w:rPr>
        <w:t xml:space="preserve"> form of the District Data Profile (DDP) in November of each year.   </w:t>
      </w:r>
      <w:r w:rsidR="5ED800AD" w:rsidRPr="2469CE08">
        <w:rPr>
          <w:rFonts w:ascii="Tw Cen MT" w:eastAsia="Tw Cen MT" w:hAnsi="Tw Cen MT" w:cs="Tw Cen MT"/>
        </w:rPr>
        <w:t>Certain</w:t>
      </w:r>
      <w:r w:rsidR="5420AA06" w:rsidRPr="2469CE08">
        <w:rPr>
          <w:rFonts w:ascii="Tw Cen MT" w:eastAsia="Tw Cen MT" w:hAnsi="Tw Cen MT" w:cs="Tw Cen MT"/>
        </w:rPr>
        <w:t xml:space="preserve"> compliance and performance</w:t>
      </w:r>
      <w:r w:rsidR="398D717F" w:rsidRPr="2469CE08">
        <w:rPr>
          <w:rFonts w:ascii="Tw Cen MT" w:eastAsia="Tw Cen MT" w:hAnsi="Tw Cen MT" w:cs="Tw Cen MT"/>
        </w:rPr>
        <w:t xml:space="preserve"> </w:t>
      </w:r>
      <w:r w:rsidR="5420AA06" w:rsidRPr="2469CE08">
        <w:rPr>
          <w:rFonts w:ascii="Tw Cen MT" w:eastAsia="Tw Cen MT" w:hAnsi="Tw Cen MT" w:cs="Tw Cen MT"/>
        </w:rPr>
        <w:t>results are then transferred for us</w:t>
      </w:r>
      <w:r w:rsidR="081BE12D" w:rsidRPr="2469CE08">
        <w:rPr>
          <w:rFonts w:ascii="Tw Cen MT" w:eastAsia="Tw Cen MT" w:hAnsi="Tw Cen MT" w:cs="Tw Cen MT"/>
        </w:rPr>
        <w:t>e</w:t>
      </w:r>
      <w:r w:rsidR="5420AA06" w:rsidRPr="2469CE08">
        <w:rPr>
          <w:rFonts w:ascii="Tw Cen MT" w:eastAsia="Tw Cen MT" w:hAnsi="Tw Cen MT" w:cs="Tw Cen MT"/>
        </w:rPr>
        <w:t xml:space="preserve"> in the annual district determin</w:t>
      </w:r>
      <w:r w:rsidR="54199F78" w:rsidRPr="2469CE08">
        <w:rPr>
          <w:rFonts w:ascii="Tw Cen MT" w:eastAsia="Tw Cen MT" w:hAnsi="Tw Cen MT" w:cs="Tw Cen MT"/>
        </w:rPr>
        <w:t>ations (see Differentiated Monitoring Re</w:t>
      </w:r>
      <w:r w:rsidR="0B82AD5A" w:rsidRPr="2469CE08">
        <w:rPr>
          <w:rFonts w:ascii="Tw Cen MT" w:eastAsia="Tw Cen MT" w:hAnsi="Tw Cen MT" w:cs="Tw Cen MT"/>
        </w:rPr>
        <w:t>sults</w:t>
      </w:r>
      <w:r w:rsidR="54199F78" w:rsidRPr="2469CE08">
        <w:rPr>
          <w:rFonts w:ascii="Tw Cen MT" w:eastAsia="Tw Cen MT" w:hAnsi="Tw Cen MT" w:cs="Tw Cen MT"/>
        </w:rPr>
        <w:t xml:space="preserve"> in this document for more informat</w:t>
      </w:r>
      <w:r w:rsidR="4B387FAE" w:rsidRPr="2469CE08">
        <w:rPr>
          <w:rFonts w:ascii="Tw Cen MT" w:eastAsia="Tw Cen MT" w:hAnsi="Tw Cen MT" w:cs="Tw Cen MT"/>
        </w:rPr>
        <w:t>i</w:t>
      </w:r>
      <w:r w:rsidR="54199F78" w:rsidRPr="2469CE08">
        <w:rPr>
          <w:rFonts w:ascii="Tw Cen MT" w:eastAsia="Tw Cen MT" w:hAnsi="Tw Cen MT" w:cs="Tw Cen MT"/>
        </w:rPr>
        <w:t>on)</w:t>
      </w:r>
      <w:r w:rsidR="35A6D02A" w:rsidRPr="2469CE08">
        <w:rPr>
          <w:rFonts w:ascii="Tw Cen MT" w:eastAsia="Tw Cen MT" w:hAnsi="Tw Cen MT" w:cs="Tw Cen MT"/>
        </w:rPr>
        <w:t xml:space="preserve">.  Districts must strive to meet the </w:t>
      </w:r>
      <w:r w:rsidR="6015FC99" w:rsidRPr="2469CE08">
        <w:rPr>
          <w:rFonts w:ascii="Tw Cen MT" w:eastAsia="Tw Cen MT" w:hAnsi="Tw Cen MT" w:cs="Tw Cen MT"/>
        </w:rPr>
        <w:t>established</w:t>
      </w:r>
      <w:r w:rsidR="35A6D02A" w:rsidRPr="2469CE08">
        <w:rPr>
          <w:rFonts w:ascii="Tw Cen MT" w:eastAsia="Tw Cen MT" w:hAnsi="Tw Cen MT" w:cs="Tw Cen MT"/>
        </w:rPr>
        <w:t xml:space="preserve"> indicator targets.  The annual targets are set periodically by a group of statewide </w:t>
      </w:r>
      <w:r w:rsidR="6BA9047D" w:rsidRPr="2469CE08">
        <w:rPr>
          <w:rFonts w:ascii="Tw Cen MT" w:eastAsia="Tw Cen MT" w:hAnsi="Tw Cen MT" w:cs="Tw Cen MT"/>
        </w:rPr>
        <w:t>stakeholders</w:t>
      </w:r>
      <w:r w:rsidR="35A6D02A" w:rsidRPr="2469CE08">
        <w:rPr>
          <w:rFonts w:ascii="Tw Cen MT" w:eastAsia="Tw Cen MT" w:hAnsi="Tw Cen MT" w:cs="Tw Cen MT"/>
        </w:rPr>
        <w:t xml:space="preserve"> and the IDEA B State Advisory Panel.  Oklahoma’s SPP</w:t>
      </w:r>
      <w:r w:rsidR="4F4168CC" w:rsidRPr="2469CE08">
        <w:rPr>
          <w:rFonts w:ascii="Tw Cen MT" w:eastAsia="Tw Cen MT" w:hAnsi="Tw Cen MT" w:cs="Tw Cen MT"/>
        </w:rPr>
        <w:t xml:space="preserve">/APR and each district’s DDP reports are available </w:t>
      </w:r>
      <w:r w:rsidR="40F0BD05" w:rsidRPr="2469CE08">
        <w:rPr>
          <w:rFonts w:ascii="Tw Cen MT" w:eastAsia="Tw Cen MT" w:hAnsi="Tw Cen MT" w:cs="Tw Cen MT"/>
        </w:rPr>
        <w:t>o</w:t>
      </w:r>
      <w:r w:rsidR="4F4168CC" w:rsidRPr="2469CE08">
        <w:rPr>
          <w:rFonts w:ascii="Tw Cen MT" w:eastAsia="Tw Cen MT" w:hAnsi="Tw Cen MT" w:cs="Tw Cen MT"/>
        </w:rPr>
        <w:t xml:space="preserve">n the </w:t>
      </w:r>
      <w:hyperlink r:id="rId22">
        <w:r w:rsidR="4F4168CC" w:rsidRPr="00B37785">
          <w:rPr>
            <w:rStyle w:val="Hyperlink"/>
            <w:rFonts w:ascii="Tw Cen MT" w:eastAsia="Tw Cen MT" w:hAnsi="Tw Cen MT" w:cs="Tw Cen MT"/>
            <w:color w:val="auto"/>
          </w:rPr>
          <w:t>OSDE-SES Data Website</w:t>
        </w:r>
      </w:hyperlink>
      <w:r w:rsidR="4F4168CC" w:rsidRPr="2469CE08">
        <w:rPr>
          <w:rFonts w:ascii="Tw Cen MT" w:eastAsia="Tw Cen MT" w:hAnsi="Tw Cen MT" w:cs="Tw Cen MT"/>
        </w:rPr>
        <w:t xml:space="preserve">. </w:t>
      </w:r>
    </w:p>
    <w:p w14:paraId="4E363B23" w14:textId="5170AD3E" w:rsidR="3B07C336" w:rsidRDefault="3B07C336" w:rsidP="5EF294CC">
      <w:pPr>
        <w:rPr>
          <w:rFonts w:ascii="Tw Cen MT" w:eastAsia="Tw Cen MT" w:hAnsi="Tw Cen MT" w:cs="Tw Cen MT"/>
        </w:rPr>
      </w:pPr>
      <w:r w:rsidRPr="5EF294CC">
        <w:rPr>
          <w:rFonts w:ascii="Tw Cen MT" w:eastAsia="Tw Cen MT" w:hAnsi="Tw Cen MT" w:cs="Tw Cen MT"/>
        </w:rPr>
        <w:t xml:space="preserve">Beyond the data for the specified indicators, the state collects student level demographic data that is reported for </w:t>
      </w:r>
      <w:r w:rsidR="66355E34" w:rsidRPr="5EF294CC">
        <w:rPr>
          <w:rFonts w:ascii="Tw Cen MT" w:eastAsia="Tw Cen MT" w:hAnsi="Tw Cen MT" w:cs="Tw Cen MT"/>
        </w:rPr>
        <w:t>annual</w:t>
      </w:r>
      <w:r w:rsidRPr="5EF294CC">
        <w:rPr>
          <w:rFonts w:ascii="Tw Cen MT" w:eastAsia="Tw Cen MT" w:hAnsi="Tw Cen MT" w:cs="Tw Cen MT"/>
        </w:rPr>
        <w:t xml:space="preserve"> child count, counts for </w:t>
      </w:r>
      <w:r w:rsidR="0E5B5D49" w:rsidRPr="5EF294CC">
        <w:rPr>
          <w:rFonts w:ascii="Tw Cen MT" w:eastAsia="Tw Cen MT" w:hAnsi="Tw Cen MT" w:cs="Tw Cen MT"/>
        </w:rPr>
        <w:t>disability</w:t>
      </w:r>
      <w:r w:rsidRPr="5EF294CC">
        <w:rPr>
          <w:rFonts w:ascii="Tw Cen MT" w:eastAsia="Tw Cen MT" w:hAnsi="Tw Cen MT" w:cs="Tw Cen MT"/>
        </w:rPr>
        <w:t xml:space="preserve"> category and disability category by race.  It is also us</w:t>
      </w:r>
      <w:r w:rsidR="552DCCC5" w:rsidRPr="5EF294CC">
        <w:rPr>
          <w:rFonts w:ascii="Tw Cen MT" w:eastAsia="Tw Cen MT" w:hAnsi="Tw Cen MT" w:cs="Tw Cen MT"/>
        </w:rPr>
        <w:t>ed in calculating significant disproportionality.</w:t>
      </w:r>
    </w:p>
    <w:p w14:paraId="439B4E2D" w14:textId="633D325B" w:rsidR="552DCCC5" w:rsidRDefault="552DCCC5" w:rsidP="5EF294CC">
      <w:pPr>
        <w:rPr>
          <w:rFonts w:ascii="Tw Cen MT" w:eastAsia="Tw Cen MT" w:hAnsi="Tw Cen MT" w:cs="Tw Cen MT"/>
        </w:rPr>
      </w:pPr>
      <w:r w:rsidRPr="2469CE08">
        <w:rPr>
          <w:rFonts w:ascii="Tw Cen MT" w:eastAsia="Tw Cen MT" w:hAnsi="Tw Cen MT" w:cs="Tw Cen MT"/>
        </w:rPr>
        <w:t xml:space="preserve">For additional information regarding IDEA Part B Data, refer to the </w:t>
      </w:r>
      <w:hyperlink r:id="rId23">
        <w:r w:rsidRPr="00B37785">
          <w:rPr>
            <w:rStyle w:val="Hyperlink"/>
            <w:rFonts w:ascii="Tw Cen MT" w:eastAsia="Tw Cen MT" w:hAnsi="Tw Cen MT" w:cs="Tw Cen MT"/>
            <w:color w:val="auto"/>
          </w:rPr>
          <w:t>General Supervision System Data Collection Manual</w:t>
        </w:r>
      </w:hyperlink>
      <w:r w:rsidRPr="2469CE08">
        <w:rPr>
          <w:rFonts w:ascii="Tw Cen MT" w:eastAsia="Tw Cen MT" w:hAnsi="Tw Cen MT" w:cs="Tw Cen MT"/>
        </w:rPr>
        <w:t xml:space="preserve"> located on the home page of the Special Education Services under Manuals. </w:t>
      </w:r>
    </w:p>
    <w:p w14:paraId="679E56FB" w14:textId="7B591A67" w:rsidR="5ADE30B1" w:rsidRDefault="2DF8C820" w:rsidP="60B3B31F">
      <w:pPr>
        <w:pStyle w:val="Heading1"/>
      </w:pPr>
      <w:bookmarkStart w:id="11" w:name="_Toc238561214"/>
      <w:r>
        <w:lastRenderedPageBreak/>
        <w:t>Integrated Monitoring Activities</w:t>
      </w:r>
      <w:bookmarkEnd w:id="11"/>
    </w:p>
    <w:p w14:paraId="3F8EE5D1" w14:textId="0D889F4F" w:rsidR="2DF8C820" w:rsidRDefault="2DF8C820" w:rsidP="60B3B31F">
      <w:r>
        <w:t xml:space="preserve">The primary purpose of integrated monitoring </w:t>
      </w:r>
      <w:r w:rsidR="3C8F784B">
        <w:t>activities</w:t>
      </w:r>
      <w:r>
        <w:t xml:space="preserve"> is two-fold; investigation related to program improvement and investigation related to non-compliance. Integrated </w:t>
      </w:r>
      <w:r w:rsidR="5BAD523A">
        <w:t>means</w:t>
      </w:r>
      <w:r>
        <w:t xml:space="preserve"> that information is collected from all parts of the general supervision system (e.g., fiscal managem</w:t>
      </w:r>
      <w:r w:rsidR="3FA2CDD9">
        <w:t xml:space="preserve">ent, data on processes and </w:t>
      </w:r>
      <w:r w:rsidR="214B677C">
        <w:t>results</w:t>
      </w:r>
      <w:r w:rsidR="3FA2CDD9">
        <w:t>, effective dispute resolution), using multiple methods to detect noncompliance and ensure correction of noncompliance.  This in-turn</w:t>
      </w:r>
      <w:r w:rsidR="00DB4387">
        <w:t>,</w:t>
      </w:r>
      <w:r w:rsidR="3FA2CDD9">
        <w:t xml:space="preserve"> informs the State of </w:t>
      </w:r>
      <w:r w:rsidR="79F8DEA0">
        <w:t>general</w:t>
      </w:r>
      <w:r w:rsidR="3FA2CDD9">
        <w:t xml:space="preserve"> and specific needs of technical assis</w:t>
      </w:r>
      <w:r w:rsidR="7577958A">
        <w:t xml:space="preserve">tance and professional </w:t>
      </w:r>
      <w:r w:rsidR="3BB2EA9E">
        <w:t>development</w:t>
      </w:r>
      <w:r w:rsidR="7577958A">
        <w:t xml:space="preserve"> that </w:t>
      </w:r>
      <w:r w:rsidR="00DB4387">
        <w:t>are</w:t>
      </w:r>
      <w:r w:rsidR="7577958A">
        <w:t xml:space="preserve"> designed to ultimately lead to program improvement. </w:t>
      </w:r>
    </w:p>
    <w:p w14:paraId="1C83C8E3" w14:textId="061BBB29" w:rsidR="45334DAF" w:rsidRDefault="45334DAF" w:rsidP="60B3B31F">
      <w:r>
        <w:t xml:space="preserve">While not an </w:t>
      </w:r>
      <w:r w:rsidR="6C87589B">
        <w:t>exhaustive</w:t>
      </w:r>
      <w:r>
        <w:t xml:space="preserve"> list, the State employs the use of systems, including Differentiated </w:t>
      </w:r>
      <w:r w:rsidR="2DFAF0E7">
        <w:t>Monitoring</w:t>
      </w:r>
      <w:r>
        <w:t xml:space="preserve"> Results,</w:t>
      </w:r>
      <w:r w:rsidR="009D10BF">
        <w:t xml:space="preserve"> cyclical monitoring,</w:t>
      </w:r>
      <w:r>
        <w:t xml:space="preserve"> </w:t>
      </w:r>
      <w:r w:rsidR="00628679">
        <w:t>S</w:t>
      </w:r>
      <w:r>
        <w:t xml:space="preserve">elective Review, </w:t>
      </w:r>
      <w:r w:rsidR="780DA0B4">
        <w:t>l</w:t>
      </w:r>
      <w:r>
        <w:t xml:space="preserve">ongstanding </w:t>
      </w:r>
      <w:r w:rsidR="39D1F23D">
        <w:t>n</w:t>
      </w:r>
      <w:r>
        <w:t xml:space="preserve">oncompliance, and Significant Disproportionality to monitor compliance with the IDEA.  If noncompliance is </w:t>
      </w:r>
      <w:r w:rsidR="02073A8C">
        <w:t xml:space="preserve">identified through these processes, it results in a written notice of findings of </w:t>
      </w:r>
      <w:r w:rsidR="3749B19B">
        <w:t>noncompliance</w:t>
      </w:r>
      <w:r w:rsidR="02073A8C">
        <w:t xml:space="preserve"> to the district and is inclusive </w:t>
      </w:r>
      <w:r w:rsidR="118C173F">
        <w:t xml:space="preserve">of </w:t>
      </w:r>
      <w:r w:rsidR="02073A8C">
        <w:t>a corrective action that must occur with</w:t>
      </w:r>
      <w:r w:rsidR="4020D922">
        <w:t>in</w:t>
      </w:r>
      <w:r w:rsidR="02073A8C">
        <w:t xml:space="preserve"> a stated timeframe, not greate</w:t>
      </w:r>
      <w:r w:rsidR="746EB318">
        <w:t>r</w:t>
      </w:r>
      <w:r w:rsidR="02073A8C">
        <w:t xml:space="preserve"> than one calendar year of the notice of findings.</w:t>
      </w:r>
    </w:p>
    <w:p w14:paraId="00568AB2" w14:textId="77777777" w:rsidR="00AD5FC2" w:rsidRPr="00AD5FC2" w:rsidRDefault="00AD5FC2" w:rsidP="00AD5FC2">
      <w:pPr>
        <w:pStyle w:val="Heading2"/>
        <w:rPr>
          <w:rStyle w:val="Heading2Char"/>
        </w:rPr>
      </w:pPr>
      <w:r w:rsidRPr="5EF294CC">
        <w:rPr>
          <w:rStyle w:val="Heading2Char"/>
        </w:rPr>
        <w:t>Differentiated Monitoring Cycle (DMC)</w:t>
      </w:r>
    </w:p>
    <w:p w14:paraId="601C54DA" w14:textId="77777777" w:rsidR="00AD5FC2" w:rsidRDefault="00AD5FC2" w:rsidP="5EF294CC">
      <w:r>
        <w:t xml:space="preserve">The Oklahoma State Department of Education, Office of Special Education Services (OSDE-SES) provides a Differentiated Monitoring Cycle (DMC) to districts as part of its Results Driven Accountability (RDA) system for Individuals with Disabilities Act (IDEA), Part B. Under RDA, the State Education Agency (SEA) monitors for both compliance with IDEA requirements and improving results for children and youth with disabilities served under IDEA.  OSDE-SES differentiates its approach for each district based on the district’s unique strengths, challenges, and needs.  </w:t>
      </w:r>
    </w:p>
    <w:p w14:paraId="13138344" w14:textId="4381A824" w:rsidR="00AD5FC2" w:rsidRDefault="00AD5FC2" w:rsidP="00AD5FC2">
      <w:r>
        <w:t>Office of Special Education Programs (OSEP) issued an OSEP QA 23-01 document to assist states in meeting the general supervision responsibilities under Part B of the IDEA.  According to the OSEP QA 23-01, the following guidance aligns with the Cyclical Monitoring process.</w:t>
      </w:r>
    </w:p>
    <w:p w14:paraId="6E9F8ECF" w14:textId="77777777" w:rsidR="00AD5FC2" w:rsidRDefault="00AD5FC2" w:rsidP="00AD5FC2">
      <w:r>
        <w:t>A11: How frequently should a State monitor its LEA providers?</w:t>
      </w:r>
    </w:p>
    <w:p w14:paraId="7A3691DD" w14:textId="1F4757CB" w:rsidR="00AD5FC2" w:rsidRDefault="00AD5FC2" w:rsidP="00AD5FC2">
      <w:r>
        <w:t>Answer: A State should monitor all LEA providers within a reasonable period of time and at least once within a six-year period.  However, where LEA provide</w:t>
      </w:r>
      <w:r w:rsidR="76853ACB">
        <w:t>d</w:t>
      </w:r>
      <w:r>
        <w:t xml:space="preserve"> data or other available information indicates an area of concern, a State should consider whether more frequent or targeted monitoring (i.e., a monitoring activity that occurs outside of the State’s normal cycle to address emerging or new issues and typically is limited in scope) is necessary. (See Selective Review below for more information regarding how Oklahoma addresses areas of concern outside of the cyclical monitoring process.)</w:t>
      </w:r>
    </w:p>
    <w:p w14:paraId="1A86C8A5" w14:textId="4A7325C9" w:rsidR="00AD5FC2" w:rsidRDefault="00AD5FC2" w:rsidP="00AD5FC2">
      <w:r>
        <w:t>The Cyclical Monitoring Process is designed to ensure each LEA, charter, Oklahoma Juvenile Affairs (OJA), Co-Op, Interlocal</w:t>
      </w:r>
      <w:r w:rsidR="5CDEC146">
        <w:t>,</w:t>
      </w:r>
      <w:r>
        <w:t xml:space="preserve"> and special schools (Oklahoma School for the Blind (OSB) and Oklahoma School for the Deaf (OSD)) are afforded the opportunity to showcase the excellence in their special education services (SES) and to work with the Oklahoma State Department of Education (OSDE), Special Education Services staff to develop and implement areas of needed improvement to ensure all students with disabilities are afforded a Free Appropriate Public Education (FAPE) to meet their unique individualized needs. All entities listed above</w:t>
      </w:r>
      <w:r w:rsidR="20BD7C47">
        <w:t xml:space="preserve"> </w:t>
      </w:r>
      <w:r>
        <w:t>that receive IDEA funds to support students with disabilities will be placed into the cyclical monitoring process to receive monitoring at least once in a six-year cycle. Due to the sheer number of entities that fall in a single cycle, each cycle will be divided into quarters.  The quarters align with the</w:t>
      </w:r>
      <w:r w:rsidR="51FF7A6B">
        <w:t xml:space="preserve"> fiscal</w:t>
      </w:r>
      <w:r>
        <w:t xml:space="preserve"> calendar (i.e., July – September will be quarter 1 of cohort 1, October – December will, be quarter 2 of cohort 1, etc..).  </w:t>
      </w:r>
    </w:p>
    <w:p w14:paraId="7EE53BC6" w14:textId="75ED0C56" w:rsidR="00AD5FC2" w:rsidRDefault="00AD5FC2" w:rsidP="00AD5FC2">
      <w:r>
        <w:t xml:space="preserve">OSDE-SES will release the Differentiated Monitoring Cycle (DMC) </w:t>
      </w:r>
      <w:r w:rsidR="44F8388A">
        <w:t xml:space="preserve">cohort </w:t>
      </w:r>
      <w:r>
        <w:t xml:space="preserve">in December of each year, notifying districts of their monitoring cohort.  Districts will be assigned to one of six cohorts and assigned to a quarter within their cohort.  The district’s assignment will determine the dates of each phase of the monitoring cycle. </w:t>
      </w:r>
    </w:p>
    <w:p w14:paraId="7F48BA16" w14:textId="5B747E81" w:rsidR="00AD5FC2" w:rsidRDefault="00AD5FC2" w:rsidP="00AD5FC2">
      <w:r>
        <w:lastRenderedPageBreak/>
        <w:t xml:space="preserve">Each year, in January, selected districts will participate in a training provided by the OSDE-SES which will outline the expectations and processes of the Monitoring Cycle (DMC).  Districts will be provided </w:t>
      </w:r>
      <w:r w:rsidR="2E0AFC6C">
        <w:t xml:space="preserve">with </w:t>
      </w:r>
      <w:r>
        <w:t xml:space="preserve">materials to support the district in their reviewing their IDEA programs and in preparation for the DMC based on the district’s strengths, challenges, and needs. </w:t>
      </w:r>
    </w:p>
    <w:p w14:paraId="54FE44BF" w14:textId="38F0C67A" w:rsidR="6A68854E" w:rsidRPr="00C351BD" w:rsidRDefault="00CA31C7" w:rsidP="00C351BD">
      <w:pPr>
        <w:spacing w:after="160"/>
        <w:jc w:val="left"/>
      </w:pPr>
      <w:r>
        <w:t xml:space="preserve">The Differentiated Monitoring Cycle (DMC) will be divided into phases.  The phases are described below. </w:t>
      </w:r>
    </w:p>
    <w:p w14:paraId="6F6DF4E1" w14:textId="25DCB515" w:rsidR="00CA31C7" w:rsidRDefault="00CA31C7" w:rsidP="00AD5FC2">
      <w:r w:rsidRPr="5EF294CC">
        <w:rPr>
          <w:b/>
          <w:bCs/>
          <w:u w:val="single"/>
        </w:rPr>
        <w:t>Phase 1</w:t>
      </w:r>
      <w:r w:rsidRPr="5EF294CC">
        <w:rPr>
          <w:u w:val="single"/>
        </w:rPr>
        <w:t>:</w:t>
      </w:r>
      <w:r>
        <w:t xml:space="preserve"> Monitoring Protocol Review</w:t>
      </w:r>
    </w:p>
    <w:p w14:paraId="542E3331" w14:textId="77777777" w:rsidR="00CA31C7" w:rsidRPr="00CA31C7" w:rsidRDefault="00CA31C7" w:rsidP="00CA31C7">
      <w:r w:rsidRPr="00CA31C7">
        <w:t xml:space="preserve">In January, The OSDE-SES will provide identified cohort districts with a series of protocols related to the following areas of special education: </w:t>
      </w:r>
    </w:p>
    <w:p w14:paraId="0B6EC95A" w14:textId="77777777" w:rsidR="00CA31C7" w:rsidRDefault="00CA31C7" w:rsidP="00CA31C7">
      <w:pPr>
        <w:pStyle w:val="ListParagraph"/>
        <w:numPr>
          <w:ilvl w:val="1"/>
          <w:numId w:val="34"/>
        </w:numPr>
        <w:spacing w:after="160"/>
        <w:jc w:val="left"/>
      </w:pPr>
      <w:r>
        <w:t>Data</w:t>
      </w:r>
    </w:p>
    <w:p w14:paraId="342F4069" w14:textId="77777777" w:rsidR="00CA31C7" w:rsidRDefault="00CA31C7" w:rsidP="00CA31C7">
      <w:pPr>
        <w:pStyle w:val="ListParagraph"/>
        <w:numPr>
          <w:ilvl w:val="1"/>
          <w:numId w:val="34"/>
        </w:numPr>
        <w:spacing w:after="160"/>
        <w:jc w:val="left"/>
      </w:pPr>
      <w:r>
        <w:t>Fiscal</w:t>
      </w:r>
    </w:p>
    <w:p w14:paraId="13C6D743" w14:textId="77777777" w:rsidR="00CA31C7" w:rsidRDefault="00CA31C7" w:rsidP="00CA31C7">
      <w:pPr>
        <w:pStyle w:val="ListParagraph"/>
        <w:numPr>
          <w:ilvl w:val="1"/>
          <w:numId w:val="34"/>
        </w:numPr>
        <w:spacing w:after="160"/>
        <w:jc w:val="left"/>
      </w:pPr>
      <w:r>
        <w:t>Dispute Resolution</w:t>
      </w:r>
    </w:p>
    <w:p w14:paraId="4E3CD405" w14:textId="77777777" w:rsidR="00CA31C7" w:rsidRDefault="00CA31C7" w:rsidP="00CA31C7">
      <w:pPr>
        <w:pStyle w:val="ListParagraph"/>
        <w:numPr>
          <w:ilvl w:val="1"/>
          <w:numId w:val="34"/>
        </w:numPr>
        <w:spacing w:after="160"/>
        <w:jc w:val="left"/>
      </w:pPr>
      <w:r>
        <w:t>Compliance</w:t>
      </w:r>
    </w:p>
    <w:p w14:paraId="0E9EA3E1" w14:textId="77777777" w:rsidR="00CA31C7" w:rsidRDefault="00CA31C7" w:rsidP="00CA31C7">
      <w:pPr>
        <w:pStyle w:val="ListParagraph"/>
        <w:numPr>
          <w:ilvl w:val="1"/>
          <w:numId w:val="34"/>
        </w:numPr>
        <w:spacing w:after="160"/>
        <w:jc w:val="left"/>
      </w:pPr>
      <w:r>
        <w:t>Improvement</w:t>
      </w:r>
    </w:p>
    <w:p w14:paraId="77019CF7" w14:textId="77777777" w:rsidR="00CA31C7" w:rsidRDefault="00CA31C7" w:rsidP="00CA31C7">
      <w:pPr>
        <w:pStyle w:val="ListParagraph"/>
        <w:numPr>
          <w:ilvl w:val="1"/>
          <w:numId w:val="34"/>
        </w:numPr>
        <w:spacing w:after="160"/>
        <w:jc w:val="left"/>
      </w:pPr>
      <w:r>
        <w:t>Monitoring</w:t>
      </w:r>
    </w:p>
    <w:p w14:paraId="13EFB2B5" w14:textId="77777777" w:rsidR="00CA31C7" w:rsidRDefault="00CA31C7" w:rsidP="5EF294CC">
      <w:r>
        <w:t xml:space="preserve">The protocols identify a framework of applicable statutory and regulatory requirements and questions for districts to consider regarding their implementation of the requirements.  The protocols are neither intended as questionnaires nor forms for districts to complete.  Rather, the protocols are intended to spark conversations whereby districts purposefully and systematically consider their implementation of IDEA and its regulations.  </w:t>
      </w:r>
    </w:p>
    <w:p w14:paraId="1F1BA545" w14:textId="77777777" w:rsidR="00CA31C7" w:rsidRDefault="00CA31C7" w:rsidP="00AD5FC2">
      <w:pPr>
        <w:rPr>
          <w:u w:val="single"/>
        </w:rPr>
      </w:pPr>
    </w:p>
    <w:p w14:paraId="71CC12ED" w14:textId="44E3BA46" w:rsidR="00AD5FC2" w:rsidRDefault="00AD5FC2" w:rsidP="00AD5FC2">
      <w:r w:rsidRPr="00CA31C7">
        <w:rPr>
          <w:b/>
          <w:bCs/>
          <w:u w:val="single"/>
        </w:rPr>
        <w:t>Phase 2:</w:t>
      </w:r>
      <w:r>
        <w:t xml:space="preserve"> Document Submission</w:t>
      </w:r>
    </w:p>
    <w:p w14:paraId="75DE99B0" w14:textId="316DE0DD" w:rsidR="00CA31C7" w:rsidRPr="00D728A3" w:rsidRDefault="00CA31C7" w:rsidP="00CA31C7">
      <w:r>
        <w:t>Under 34 CF4 300.201, the LEA, in providing for the education of children with disabilities within its jurisdiction, must have in effect policies, procedures, and programs that are consistent with the State policies and procedures established under 300.101 through 300.163, and 300.165 through 300.164.  OSDE-SES has created a series of templates in alignment with the protocols from Phase 1 for districts to document their procedures on specific IDEA and State requirements in the areas of data, fiscal, dispute resolution, compliance, improvement, and monitoring. The compilation of these templates will result in the district’s written procedures that will be submitted in this phase.</w:t>
      </w:r>
    </w:p>
    <w:p w14:paraId="77BAF630" w14:textId="45698582" w:rsidR="00CA31C7" w:rsidRPr="00CA31C7" w:rsidRDefault="2468D2B6" w:rsidP="00CA31C7">
      <w:r>
        <w:t>T</w:t>
      </w:r>
      <w:r w:rsidR="00CA31C7">
        <w:t>he district will submit the following documents:</w:t>
      </w:r>
    </w:p>
    <w:p w14:paraId="5A837603" w14:textId="77777777" w:rsidR="00CA31C7" w:rsidRDefault="00CA31C7" w:rsidP="00CA31C7">
      <w:pPr>
        <w:pStyle w:val="ListParagraph"/>
        <w:numPr>
          <w:ilvl w:val="0"/>
          <w:numId w:val="35"/>
        </w:numPr>
        <w:spacing w:after="160"/>
        <w:jc w:val="left"/>
      </w:pPr>
      <w:r>
        <w:t>District Policies (local board approved)</w:t>
      </w:r>
    </w:p>
    <w:p w14:paraId="0053448F" w14:textId="77777777" w:rsidR="00CA31C7" w:rsidRDefault="00CA31C7" w:rsidP="00CA31C7">
      <w:pPr>
        <w:pStyle w:val="ListParagraph"/>
        <w:numPr>
          <w:ilvl w:val="2"/>
          <w:numId w:val="34"/>
        </w:numPr>
        <w:spacing w:after="160"/>
        <w:jc w:val="left"/>
      </w:pPr>
      <w:r>
        <w:t>Child Find</w:t>
      </w:r>
    </w:p>
    <w:p w14:paraId="1579D1E8" w14:textId="77777777" w:rsidR="00CA31C7" w:rsidRDefault="00CA31C7" w:rsidP="00CA31C7">
      <w:pPr>
        <w:pStyle w:val="ListParagraph"/>
        <w:numPr>
          <w:ilvl w:val="2"/>
          <w:numId w:val="34"/>
        </w:numPr>
        <w:spacing w:after="160"/>
        <w:jc w:val="left"/>
      </w:pPr>
      <w:r>
        <w:t>Extended School Year</w:t>
      </w:r>
    </w:p>
    <w:p w14:paraId="7D766E59" w14:textId="77777777" w:rsidR="00CA31C7" w:rsidRDefault="00CA31C7" w:rsidP="00CA31C7">
      <w:pPr>
        <w:pStyle w:val="ListParagraph"/>
        <w:numPr>
          <w:ilvl w:val="2"/>
          <w:numId w:val="34"/>
        </w:numPr>
        <w:spacing w:after="160"/>
        <w:jc w:val="left"/>
      </w:pPr>
      <w:r>
        <w:t>Special Education Transfer</w:t>
      </w:r>
    </w:p>
    <w:p w14:paraId="437435F6" w14:textId="77777777" w:rsidR="00CA31C7" w:rsidRDefault="00CA31C7" w:rsidP="00CA31C7">
      <w:pPr>
        <w:pStyle w:val="ListParagraph"/>
        <w:numPr>
          <w:ilvl w:val="2"/>
          <w:numId w:val="34"/>
        </w:numPr>
        <w:spacing w:after="160"/>
        <w:jc w:val="left"/>
      </w:pPr>
      <w:r>
        <w:t>FERPA</w:t>
      </w:r>
    </w:p>
    <w:p w14:paraId="5C47047E" w14:textId="77777777" w:rsidR="00CA31C7" w:rsidRDefault="00CA31C7" w:rsidP="00CA31C7">
      <w:pPr>
        <w:pStyle w:val="ListParagraph"/>
        <w:numPr>
          <w:ilvl w:val="2"/>
          <w:numId w:val="34"/>
        </w:numPr>
        <w:spacing w:after="160"/>
        <w:jc w:val="left"/>
      </w:pPr>
      <w:r>
        <w:t>Discipline</w:t>
      </w:r>
    </w:p>
    <w:p w14:paraId="2B8445B8" w14:textId="77777777" w:rsidR="00CA31C7" w:rsidRDefault="00CA31C7" w:rsidP="00CA31C7">
      <w:pPr>
        <w:pStyle w:val="ListParagraph"/>
        <w:numPr>
          <w:ilvl w:val="0"/>
          <w:numId w:val="35"/>
        </w:numPr>
        <w:spacing w:after="160"/>
        <w:jc w:val="left"/>
      </w:pPr>
      <w:r>
        <w:t>District Procedures (template provided)</w:t>
      </w:r>
    </w:p>
    <w:p w14:paraId="0C73658F" w14:textId="77777777" w:rsidR="00CA31C7" w:rsidRDefault="00CA31C7" w:rsidP="00CA31C7">
      <w:pPr>
        <w:pStyle w:val="ListParagraph"/>
        <w:numPr>
          <w:ilvl w:val="2"/>
          <w:numId w:val="34"/>
        </w:numPr>
        <w:spacing w:after="160"/>
        <w:jc w:val="left"/>
      </w:pPr>
      <w:r>
        <w:t>Data</w:t>
      </w:r>
    </w:p>
    <w:p w14:paraId="420BDDE4" w14:textId="77777777" w:rsidR="00CA31C7" w:rsidRDefault="00CA31C7" w:rsidP="00CA31C7">
      <w:pPr>
        <w:pStyle w:val="ListParagraph"/>
        <w:numPr>
          <w:ilvl w:val="2"/>
          <w:numId w:val="34"/>
        </w:numPr>
        <w:spacing w:after="160"/>
        <w:jc w:val="left"/>
      </w:pPr>
      <w:r>
        <w:t>Finance</w:t>
      </w:r>
    </w:p>
    <w:p w14:paraId="5C4C3D7B" w14:textId="77777777" w:rsidR="00CA31C7" w:rsidRDefault="00CA31C7" w:rsidP="00CA31C7">
      <w:pPr>
        <w:pStyle w:val="ListParagraph"/>
        <w:numPr>
          <w:ilvl w:val="2"/>
          <w:numId w:val="34"/>
        </w:numPr>
        <w:spacing w:after="160"/>
        <w:jc w:val="left"/>
      </w:pPr>
      <w:r>
        <w:t>Dispute Resolution</w:t>
      </w:r>
    </w:p>
    <w:p w14:paraId="73DF86B9" w14:textId="77777777" w:rsidR="00CA31C7" w:rsidRDefault="00CA31C7" w:rsidP="00CA31C7">
      <w:pPr>
        <w:pStyle w:val="ListParagraph"/>
        <w:numPr>
          <w:ilvl w:val="2"/>
          <w:numId w:val="34"/>
        </w:numPr>
        <w:spacing w:after="160"/>
        <w:jc w:val="left"/>
      </w:pPr>
      <w:r>
        <w:t>Compliance</w:t>
      </w:r>
    </w:p>
    <w:p w14:paraId="61406EC0" w14:textId="77777777" w:rsidR="00CA31C7" w:rsidRDefault="00CA31C7" w:rsidP="00CA31C7">
      <w:pPr>
        <w:pStyle w:val="ListParagraph"/>
        <w:numPr>
          <w:ilvl w:val="2"/>
          <w:numId w:val="34"/>
        </w:numPr>
        <w:spacing w:after="160"/>
        <w:jc w:val="left"/>
      </w:pPr>
      <w:r>
        <w:t>Improvement</w:t>
      </w:r>
    </w:p>
    <w:p w14:paraId="7FE5AC37" w14:textId="77777777" w:rsidR="00CA31C7" w:rsidRDefault="00CA31C7" w:rsidP="00CA31C7">
      <w:pPr>
        <w:pStyle w:val="ListParagraph"/>
        <w:numPr>
          <w:ilvl w:val="2"/>
          <w:numId w:val="34"/>
        </w:numPr>
        <w:spacing w:after="160"/>
        <w:jc w:val="left"/>
      </w:pPr>
      <w:r>
        <w:t>Monitoring</w:t>
      </w:r>
    </w:p>
    <w:p w14:paraId="2B6A09D1" w14:textId="118F64E8" w:rsidR="006E151C" w:rsidRDefault="00CA31C7" w:rsidP="006E151C">
      <w:r>
        <w:t xml:space="preserve">The OSDE-SES monitoring team will review the submitted District Policies and District Procedures along with other program influences such as defined risk, performance on Federal indicators reported in the district’s District Data </w:t>
      </w:r>
      <w:r>
        <w:lastRenderedPageBreak/>
        <w:t>Profile (DDP), Corrective Action Plans (CAP) resulting from Selective Reviews, District Determinations of Levels 3 or 4, State Complaints, or Due Processes in order to determine the type of monitoring the district will receive.  Based on the above information, districts will be assigned one of two types of monitoring:</w:t>
      </w:r>
    </w:p>
    <w:p w14:paraId="4CB444E8" w14:textId="00C076DF" w:rsidR="006E151C" w:rsidRDefault="006E151C" w:rsidP="006E151C">
      <w:pPr>
        <w:pStyle w:val="ListParagraph"/>
        <w:numPr>
          <w:ilvl w:val="0"/>
          <w:numId w:val="30"/>
        </w:numPr>
      </w:pPr>
      <w:r>
        <w:t>Comprehensive (all areas of IDEA programming)</w:t>
      </w:r>
    </w:p>
    <w:p w14:paraId="48AF9649" w14:textId="77777777" w:rsidR="006E151C" w:rsidRDefault="006E151C" w:rsidP="00AD5FC2">
      <w:pPr>
        <w:pStyle w:val="ListParagraph"/>
        <w:numPr>
          <w:ilvl w:val="0"/>
          <w:numId w:val="30"/>
        </w:numPr>
      </w:pPr>
      <w:r>
        <w:t>Targeted (one or more areas of IDEA programming)</w:t>
      </w:r>
    </w:p>
    <w:p w14:paraId="1F953491" w14:textId="70E2D26D" w:rsidR="00AD5FC2" w:rsidRDefault="00AD5FC2" w:rsidP="006E151C">
      <w:pPr>
        <w:pStyle w:val="ListParagraph"/>
        <w:numPr>
          <w:ilvl w:val="1"/>
          <w:numId w:val="30"/>
        </w:numPr>
      </w:pPr>
      <w:r>
        <w:t>Compliance Measures</w:t>
      </w:r>
    </w:p>
    <w:p w14:paraId="67BFAA3A" w14:textId="77777777" w:rsidR="006E151C" w:rsidRDefault="00AD5FC2" w:rsidP="006E151C">
      <w:pPr>
        <w:pStyle w:val="ListParagraph"/>
        <w:numPr>
          <w:ilvl w:val="2"/>
          <w:numId w:val="30"/>
        </w:numPr>
      </w:pPr>
      <w:r>
        <w:t>Dispute resolution, staffing, restraint/seclusion, significantly disproportionate, extended school year (ESY), least restrictive environments (LRE), exceeding 1% cap for alternative assessments plan for improvement</w:t>
      </w:r>
    </w:p>
    <w:p w14:paraId="55833088" w14:textId="60D6BF31" w:rsidR="00AD5FC2" w:rsidRDefault="00AD5FC2" w:rsidP="006E151C">
      <w:pPr>
        <w:pStyle w:val="ListParagraph"/>
        <w:numPr>
          <w:ilvl w:val="1"/>
          <w:numId w:val="30"/>
        </w:numPr>
      </w:pPr>
      <w:r>
        <w:t>Indicators</w:t>
      </w:r>
    </w:p>
    <w:p w14:paraId="24E9C4A6" w14:textId="77777777" w:rsidR="00AD5FC2" w:rsidRDefault="00AD5FC2" w:rsidP="006E151C">
      <w:pPr>
        <w:pStyle w:val="ListParagraph"/>
        <w:numPr>
          <w:ilvl w:val="2"/>
          <w:numId w:val="30"/>
        </w:numPr>
      </w:pPr>
      <w:r>
        <w:t>Child Find, Secondary Transition, Early Childhood, Assessment, Alternative Assessment, and/or Discipline</w:t>
      </w:r>
    </w:p>
    <w:p w14:paraId="3729D5B8" w14:textId="62596416" w:rsidR="00AD5FC2" w:rsidRDefault="00AD5FC2" w:rsidP="006E151C">
      <w:pPr>
        <w:pStyle w:val="ListParagraph"/>
        <w:numPr>
          <w:ilvl w:val="1"/>
          <w:numId w:val="30"/>
        </w:numPr>
      </w:pPr>
      <w:r>
        <w:t>Fiscal</w:t>
      </w:r>
    </w:p>
    <w:p w14:paraId="5AF8BD46" w14:textId="77777777" w:rsidR="00AD5FC2" w:rsidRDefault="00AD5FC2" w:rsidP="006E151C">
      <w:pPr>
        <w:pStyle w:val="ListParagraph"/>
        <w:numPr>
          <w:ilvl w:val="2"/>
          <w:numId w:val="30"/>
        </w:numPr>
      </w:pPr>
      <w:r>
        <w:t>MOE, Excess Cost, High Needs, State Audit findings, proportionate share</w:t>
      </w:r>
    </w:p>
    <w:p w14:paraId="13820092" w14:textId="77777777" w:rsidR="00AD5FC2" w:rsidRDefault="00AD5FC2" w:rsidP="00AD5FC2">
      <w:r>
        <w:t xml:space="preserve">The entities will be notified of the type of support that will be </w:t>
      </w:r>
      <w:r w:rsidRPr="00F6703D">
        <w:t>provided within 4-6 weeks after</w:t>
      </w:r>
      <w:r>
        <w:t xml:space="preserve"> the document submission. </w:t>
      </w:r>
    </w:p>
    <w:p w14:paraId="431E23CB" w14:textId="77777777" w:rsidR="00C351BD" w:rsidRDefault="00C351BD" w:rsidP="00AD5FC2"/>
    <w:p w14:paraId="3CFF0993" w14:textId="77777777" w:rsidR="006E151C" w:rsidRDefault="00AD5FC2" w:rsidP="006E151C">
      <w:r w:rsidRPr="006E151C">
        <w:rPr>
          <w:b/>
          <w:bCs/>
          <w:u w:val="single"/>
        </w:rPr>
        <w:t>Phase 3:</w:t>
      </w:r>
      <w:r>
        <w:t xml:space="preserve"> Monitoring Engagement </w:t>
      </w:r>
    </w:p>
    <w:p w14:paraId="3235D760" w14:textId="19C971D9" w:rsidR="006E151C" w:rsidRPr="006E151C" w:rsidRDefault="006E151C" w:rsidP="006E151C">
      <w:r>
        <w:t xml:space="preserve">The Differentiated Monitoring Cycle (DMC) monitoring engagement may take on the form of in-person or virtual visits; interviews with staff, administration, and/or parents; </w:t>
      </w:r>
      <w:r w:rsidR="00A35E4F">
        <w:t>tracking students for IEP implementation</w:t>
      </w:r>
      <w:r w:rsidR="00252635">
        <w:t xml:space="preserve"> (age 3 through to graduation)</w:t>
      </w:r>
      <w:r w:rsidR="00A35E4F">
        <w:t xml:space="preserve">, tour/visit specific programs related to specific concerns (i.g., secondary transition program, early childhood program), </w:t>
      </w:r>
      <w:r>
        <w:t>or requests for additional documentation.  Each type will include some level of student file monitoring most closely related to any areas of identified challenge or need.</w:t>
      </w:r>
    </w:p>
    <w:p w14:paraId="124F4C2B" w14:textId="66B9DBC7" w:rsidR="006E151C" w:rsidRPr="006E151C" w:rsidRDefault="006E151C" w:rsidP="006E151C">
      <w:r>
        <w:t xml:space="preserve">All Districts will be monitored on their implementation of IDEA to ensure that they meet the requirements of IDEA </w:t>
      </w:r>
      <w:r w:rsidR="00051157">
        <w:t>34 CFR 300.600(b)</w:t>
      </w:r>
      <w:r>
        <w:t xml:space="preserve"> which include</w:t>
      </w:r>
    </w:p>
    <w:p w14:paraId="0729B8A2" w14:textId="77777777" w:rsidR="006E151C" w:rsidRDefault="006E151C" w:rsidP="006E151C">
      <w:pPr>
        <w:pStyle w:val="ListParagraph"/>
        <w:numPr>
          <w:ilvl w:val="0"/>
          <w:numId w:val="36"/>
        </w:numPr>
        <w:spacing w:after="160"/>
        <w:jc w:val="left"/>
      </w:pPr>
      <w:r>
        <w:t>Improving educational results and functional outcomes for all children and youth with disabilities; and</w:t>
      </w:r>
    </w:p>
    <w:p w14:paraId="669CDC5E" w14:textId="77777777" w:rsidR="006E151C" w:rsidRDefault="006E151C" w:rsidP="006E151C">
      <w:pPr>
        <w:pStyle w:val="ListParagraph"/>
        <w:numPr>
          <w:ilvl w:val="0"/>
          <w:numId w:val="36"/>
        </w:numPr>
        <w:spacing w:after="160"/>
        <w:jc w:val="left"/>
      </w:pPr>
      <w:r>
        <w:t>Meeting requirements under Part B of IDEA with a particular emphasis on those requirements that are most closely related to improving educational results for children and youth with disabilities</w:t>
      </w:r>
    </w:p>
    <w:p w14:paraId="154925A5" w14:textId="77777777" w:rsidR="006E151C" w:rsidRPr="006E151C" w:rsidRDefault="006E151C" w:rsidP="00AD5FC2">
      <w:pPr>
        <w:rPr>
          <w:b/>
          <w:bCs/>
        </w:rPr>
      </w:pPr>
    </w:p>
    <w:p w14:paraId="49FD65D5" w14:textId="79BE3BBA" w:rsidR="00AD5FC2" w:rsidRDefault="00AD5FC2" w:rsidP="00AD5FC2">
      <w:r w:rsidRPr="7F79D0AD">
        <w:rPr>
          <w:b/>
          <w:bCs/>
          <w:u w:val="single"/>
        </w:rPr>
        <w:t>Phase 4:</w:t>
      </w:r>
      <w:r>
        <w:t xml:space="preserve"> Monitoring Report</w:t>
      </w:r>
    </w:p>
    <w:p w14:paraId="4C1D0440" w14:textId="62395F7A" w:rsidR="00A35E4F" w:rsidRDefault="00A35E4F" w:rsidP="5EF294CC">
      <w:r>
        <w:t xml:space="preserve">Following completion of the monitoring, the OSDE-SES will issue a DMC Report. The report will be inclusive of areas of commendation, areas that meet requirements, areas that meet requirements with recommendations, and areas that are in noncompliance and require action to correct the noncompliance.  This report will be available to the district </w:t>
      </w:r>
      <w:r w:rsidRPr="00F6703D">
        <w:t xml:space="preserve">generally 60 </w:t>
      </w:r>
      <w:r w:rsidR="00D91DBE">
        <w:t xml:space="preserve">calendar </w:t>
      </w:r>
      <w:r w:rsidRPr="00F6703D">
        <w:t>days</w:t>
      </w:r>
      <w:r>
        <w:t xml:space="preserve"> after the monitoring is completed</w:t>
      </w:r>
      <w:r w:rsidR="00D91DBE">
        <w:t>.</w:t>
      </w:r>
      <w:r>
        <w:t xml:space="preserve"> </w:t>
      </w:r>
      <w:r w:rsidR="00D91DBE">
        <w:t xml:space="preserve"> </w:t>
      </w:r>
      <w:r>
        <w:t xml:space="preserve">If any areas of noncompliance are identified, the district will be given a corrective action plan (CAP) that includes directives and associated timelines.  Corrective Action Plans (CAP) that are not met timely may result in additional corrective actions or sanctions.  </w:t>
      </w:r>
    </w:p>
    <w:p w14:paraId="3D88977C" w14:textId="7D615C2A" w:rsidR="00A35E4F" w:rsidRDefault="00A35E4F" w:rsidP="00AD5FC2"/>
    <w:p w14:paraId="45E5C9B1" w14:textId="77777777" w:rsidR="00C83B47" w:rsidRDefault="00C83B47" w:rsidP="00AD5FC2"/>
    <w:p w14:paraId="54A932B3" w14:textId="77777777" w:rsidR="005A042C" w:rsidRDefault="005A042C" w:rsidP="00AD5FC2"/>
    <w:p w14:paraId="28AE5667" w14:textId="77777777" w:rsidR="00AD5FC2" w:rsidRDefault="00AD5FC2" w:rsidP="00AD5FC2">
      <w:r w:rsidRPr="00A35E4F">
        <w:rPr>
          <w:b/>
          <w:bCs/>
          <w:u w:val="single"/>
        </w:rPr>
        <w:lastRenderedPageBreak/>
        <w:t>Phase 5:</w:t>
      </w:r>
      <w:r>
        <w:t xml:space="preserve"> Close-Out and Follow Up</w:t>
      </w:r>
    </w:p>
    <w:p w14:paraId="740F0920" w14:textId="5D228FBF" w:rsidR="00AD5FC2" w:rsidRDefault="00A35E4F" w:rsidP="00AD5FC2">
      <w:r>
        <w:t>Under 34 CFR § 300.</w:t>
      </w:r>
      <w:r w:rsidR="0A30DC0A">
        <w:t>600(e)</w:t>
      </w:r>
      <w:r>
        <w:t xml:space="preserve"> Noncompliance must be corrected as soon as</w:t>
      </w:r>
      <w:r w:rsidR="4AAB37E0">
        <w:t xml:space="preserve"> possibl</w:t>
      </w:r>
      <w:r w:rsidR="3737D8A6">
        <w:t xml:space="preserve">e and in no case later than </w:t>
      </w:r>
      <w:r w:rsidR="00AD5FC2">
        <w:t xml:space="preserve">one year of the date of the written findings, the entities are expected to have corrected all findings of noncompliance.  The OSDE-SES must verify that all identified noncompliance has been </w:t>
      </w:r>
      <w:r w:rsidR="663F88BC">
        <w:t>corrected,</w:t>
      </w:r>
      <w:r w:rsidR="00AD5FC2">
        <w:t xml:space="preserve"> and the district is demonstrating continued compliance.  If there are concerns, a letter of concern will be provided to guide the district.  If the district has fulfilled all requirements and has successfully implemented and continues to monitor progress in the areas identified in the report issued in phase 4, a final close-out </w:t>
      </w:r>
      <w:r w:rsidR="4DD9FBAC">
        <w:t>letter</w:t>
      </w:r>
      <w:r w:rsidR="00AD5FC2">
        <w:t xml:space="preserve"> will be issued. </w:t>
      </w:r>
    </w:p>
    <w:p w14:paraId="1C2B5807" w14:textId="77777777" w:rsidR="00F6703D" w:rsidRDefault="00F6703D" w:rsidP="00AD5FC2"/>
    <w:p w14:paraId="77C8D1CB" w14:textId="18D58BCA" w:rsidR="00051157" w:rsidRDefault="00F6703D" w:rsidP="00AD5FC2">
      <w:r w:rsidRPr="03D650D9">
        <w:rPr>
          <w:rFonts w:ascii="Tw Cen MT" w:eastAsia="Tw Cen MT" w:hAnsi="Tw Cen MT" w:cs="Tw Cen MT"/>
        </w:rPr>
        <w:t xml:space="preserve">For additional information regarding </w:t>
      </w:r>
      <w:r>
        <w:rPr>
          <w:rFonts w:ascii="Tw Cen MT" w:eastAsia="Tw Cen MT" w:hAnsi="Tw Cen MT" w:cs="Tw Cen MT"/>
        </w:rPr>
        <w:t>Differentiated Monitoring Cycle (DMC)</w:t>
      </w:r>
      <w:r w:rsidRPr="03D650D9">
        <w:rPr>
          <w:rFonts w:ascii="Tw Cen MT" w:eastAsia="Tw Cen MT" w:hAnsi="Tw Cen MT" w:cs="Tw Cen MT"/>
        </w:rPr>
        <w:t xml:space="preserve">, refer to the </w:t>
      </w:r>
      <w:hyperlink r:id="rId24" w:history="1">
        <w:r w:rsidRPr="00B37785">
          <w:rPr>
            <w:rStyle w:val="Hyperlink"/>
            <w:rFonts w:ascii="Tw Cen MT" w:eastAsia="Tw Cen MT" w:hAnsi="Tw Cen MT" w:cs="Tw Cen MT"/>
            <w:color w:val="auto"/>
          </w:rPr>
          <w:t>Cyclical Monitorng Manual</w:t>
        </w:r>
      </w:hyperlink>
      <w:r>
        <w:rPr>
          <w:rFonts w:ascii="Tw Cen MT" w:eastAsia="Tw Cen MT" w:hAnsi="Tw Cen MT" w:cs="Tw Cen MT"/>
        </w:rPr>
        <w:t xml:space="preserve"> </w:t>
      </w:r>
      <w:r w:rsidRPr="03D650D9">
        <w:rPr>
          <w:rFonts w:ascii="Tw Cen MT" w:eastAsia="Tw Cen MT" w:hAnsi="Tw Cen MT" w:cs="Tw Cen MT"/>
        </w:rPr>
        <w:t>located on the home page of the Special Education Services under Manuals</w:t>
      </w:r>
      <w:r>
        <w:rPr>
          <w:rFonts w:ascii="Tw Cen MT" w:eastAsia="Tw Cen MT" w:hAnsi="Tw Cen MT" w:cs="Tw Cen MT"/>
        </w:rPr>
        <w:t>.</w:t>
      </w:r>
    </w:p>
    <w:p w14:paraId="430A6145" w14:textId="77777777" w:rsidR="00F6703D" w:rsidRDefault="00A1338B" w:rsidP="0040006C">
      <w:pPr>
        <w:pStyle w:val="Heading2"/>
      </w:pPr>
      <w:r>
        <w:t>Differentiated M</w:t>
      </w:r>
      <w:r w:rsidR="00B47EB8">
        <w:t xml:space="preserve">onitoring </w:t>
      </w:r>
      <w:r w:rsidR="56451286">
        <w:t>Results</w:t>
      </w:r>
      <w:r w:rsidR="00AD5FC2">
        <w:t xml:space="preserve"> (DMR)</w:t>
      </w:r>
      <w:r w:rsidR="00DF7F23">
        <w:t xml:space="preserve"> </w:t>
      </w:r>
    </w:p>
    <w:p w14:paraId="7720C693" w14:textId="77777777" w:rsidR="00C351BD" w:rsidRDefault="00C351BD" w:rsidP="000F3CDE"/>
    <w:p w14:paraId="2D4DCE3A" w14:textId="77777777" w:rsidR="00613581" w:rsidRPr="004E0238" w:rsidRDefault="00613581" w:rsidP="00613581">
      <w:r>
        <w:t xml:space="preserve">OSDE-SES applies a differentiated monitoring result (DMR) for each LEA in Oklahoma based on the LEA’s determination rating and an assessment of risk. The DMR initiates a series of integrated monitoring and improvement activities that must be completed by the LEA. These activities correspond with a “level of support” that the OSDE-SES determines is necessary for the LEA to achieve a “meets requirements” designation and mitigate risk in subsequent years. Diagram 2 displays the overall model of the DMR, while table 5 describes the required activities associated with each of the four levels of support. </w:t>
      </w:r>
    </w:p>
    <w:p w14:paraId="1CED4BEF" w14:textId="11AD5FBF" w:rsidR="00613581" w:rsidRDefault="00613581" w:rsidP="00613581">
      <w:r>
        <w:t xml:space="preserve">The OSDE-SES incorporates a risk assessment calculation as part </w:t>
      </w:r>
      <w:r w:rsidR="5750BC39">
        <w:t>o</w:t>
      </w:r>
      <w:r>
        <w:t>f the DMR in order to meet federal Uniform Grant Guidance requirements (2 CFR §200.331). This risk assessment gauges the risk any LEA poses to the SEA in fiscal responsibilities, including recent maintenance of effort (MOE) results, excess cost, audit findings, special education identification rate, complaint counts, and directors’ experience, among other things. Each year, factors included in the risk assessment are evaluated for their usefulness in measuring risk to the SEA, and revised as appropriate.</w:t>
      </w:r>
    </w:p>
    <w:p w14:paraId="400595FD" w14:textId="31BE7614" w:rsidR="00613581" w:rsidRDefault="00613581" w:rsidP="000F3CDE">
      <w:r>
        <w:t>An LEA’s DMR and associated level of support are determined through a comparison of the LEA’s determination rating and risk score. Based on the greatest need of the district, the LEA will be placed in the corresponding determination rating or risk.  The determination and risk assessment are described in more detail in the following paragraphs.</w:t>
      </w:r>
    </w:p>
    <w:p w14:paraId="507DF015" w14:textId="77777777" w:rsidR="00C83B47" w:rsidRDefault="00C83B47" w:rsidP="000F3CDE"/>
    <w:p w14:paraId="0EBFAA6A" w14:textId="77777777" w:rsidR="00C83B47" w:rsidRDefault="00C83B47" w:rsidP="000F3CDE"/>
    <w:p w14:paraId="1CBCDB37" w14:textId="77777777" w:rsidR="00C83B47" w:rsidRDefault="00C83B47" w:rsidP="000F3CDE"/>
    <w:p w14:paraId="71263249" w14:textId="77777777" w:rsidR="00C83B47" w:rsidRDefault="00C83B47" w:rsidP="000F3CDE"/>
    <w:p w14:paraId="55234267" w14:textId="77777777" w:rsidR="00C83B47" w:rsidRDefault="00C83B47" w:rsidP="000F3CDE"/>
    <w:p w14:paraId="47E39265" w14:textId="77777777" w:rsidR="00C83B47" w:rsidRDefault="00C83B47" w:rsidP="000F3CDE"/>
    <w:p w14:paraId="7F36B50C" w14:textId="77777777" w:rsidR="00C83B47" w:rsidRDefault="00C83B47" w:rsidP="000F3CDE"/>
    <w:p w14:paraId="725CCAA6" w14:textId="77777777" w:rsidR="00C83B47" w:rsidRDefault="00C83B47" w:rsidP="000F3CDE"/>
    <w:p w14:paraId="1986C252" w14:textId="77777777" w:rsidR="00C83B47" w:rsidRDefault="00C83B47" w:rsidP="000F3CDE"/>
    <w:p w14:paraId="69DE380D" w14:textId="77777777" w:rsidR="00613581" w:rsidRPr="004E0238" w:rsidRDefault="00613581" w:rsidP="00613581">
      <w:pPr>
        <w:pStyle w:val="Heading2"/>
        <w:spacing w:before="240" w:after="0"/>
        <w:jc w:val="center"/>
      </w:pPr>
      <w:r>
        <w:lastRenderedPageBreak/>
        <w:t xml:space="preserve">Diagram 2: Differentiated Monitoring </w:t>
      </w:r>
    </w:p>
    <w:p w14:paraId="0D193B58" w14:textId="77777777" w:rsidR="00613581" w:rsidRPr="004E0238" w:rsidRDefault="00613581" w:rsidP="00613581">
      <w:r w:rsidRPr="004E0238">
        <w:rPr>
          <w:noProof/>
        </w:rPr>
        <mc:AlternateContent>
          <mc:Choice Requires="wpg">
            <w:drawing>
              <wp:anchor distT="0" distB="0" distL="114300" distR="114300" simplePos="0" relativeHeight="251658241" behindDoc="1" locked="0" layoutInCell="1" allowOverlap="1" wp14:anchorId="01DD72DF" wp14:editId="278C7622">
                <wp:simplePos x="0" y="0"/>
                <wp:positionH relativeFrom="margin">
                  <wp:align>left</wp:align>
                </wp:positionH>
                <wp:positionV relativeFrom="paragraph">
                  <wp:posOffset>160909</wp:posOffset>
                </wp:positionV>
                <wp:extent cx="6108065" cy="3556635"/>
                <wp:effectExtent l="0" t="0" r="26035" b="24765"/>
                <wp:wrapNone/>
                <wp:docPr id="1547972410" name="Group 2"/>
                <wp:cNvGraphicFramePr/>
                <a:graphic xmlns:a="http://schemas.openxmlformats.org/drawingml/2006/main">
                  <a:graphicData uri="http://schemas.microsoft.com/office/word/2010/wordprocessingGroup">
                    <wpg:wgp>
                      <wpg:cNvGrpSpPr/>
                      <wpg:grpSpPr>
                        <a:xfrm>
                          <a:off x="0" y="0"/>
                          <a:ext cx="6108065" cy="3556635"/>
                          <a:chOff x="107994" y="35295"/>
                          <a:chExt cx="6109496" cy="3076190"/>
                        </a:xfrm>
                      </wpg:grpSpPr>
                      <wps:wsp>
                        <wps:cNvPr id="1590218689" name="Text Box 2"/>
                        <wps:cNvSpPr txBox="1">
                          <a:spLocks noChangeArrowheads="1"/>
                        </wps:cNvSpPr>
                        <wps:spPr bwMode="auto">
                          <a:xfrm>
                            <a:off x="107994" y="163000"/>
                            <a:ext cx="3766679" cy="701678"/>
                          </a:xfrm>
                          <a:prstGeom prst="rect">
                            <a:avLst/>
                          </a:prstGeom>
                          <a:solidFill>
                            <a:schemeClr val="accent2">
                              <a:lumMod val="60000"/>
                              <a:lumOff val="40000"/>
                            </a:schemeClr>
                          </a:solidFill>
                          <a:ln w="12700">
                            <a:solidFill>
                              <a:schemeClr val="tx1"/>
                            </a:solidFill>
                            <a:miter lim="800000"/>
                            <a:headEnd/>
                            <a:tailEnd/>
                          </a:ln>
                        </wps:spPr>
                        <wps:txbx>
                          <w:txbxContent>
                            <w:p w14:paraId="3D1117A2" w14:textId="77777777" w:rsidR="00613581" w:rsidRDefault="00613581" w:rsidP="00613581">
                              <w:pPr>
                                <w:spacing w:after="0"/>
                                <w:jc w:val="center"/>
                                <w:rPr>
                                  <w:b/>
                                  <w:sz w:val="28"/>
                                </w:rPr>
                              </w:pPr>
                              <w:r w:rsidRPr="00803B0C">
                                <w:rPr>
                                  <w:b/>
                                  <w:sz w:val="28"/>
                                </w:rPr>
                                <w:t>D</w:t>
                              </w:r>
                              <w:r>
                                <w:rPr>
                                  <w:b/>
                                  <w:sz w:val="28"/>
                                </w:rPr>
                                <w:t>etermination</w:t>
                              </w:r>
                            </w:p>
                            <w:p w14:paraId="53C48219" w14:textId="77777777" w:rsidR="00613581" w:rsidRDefault="00613581" w:rsidP="00613581">
                              <w:pPr>
                                <w:jc w:val="center"/>
                                <w:rPr>
                                  <w:b/>
                                  <w:sz w:val="28"/>
                                </w:rPr>
                              </w:pPr>
                              <w:r>
                                <w:rPr>
                                  <w:b/>
                                </w:rPr>
                                <w:t xml:space="preserve">Based on </w:t>
                              </w:r>
                              <w:r w:rsidRPr="007B102B">
                                <w:rPr>
                                  <w:b/>
                                </w:rPr>
                                <w:t>APR Indicators</w:t>
                              </w:r>
                            </w:p>
                            <w:p w14:paraId="34BFCBF4" w14:textId="77777777" w:rsidR="00613581" w:rsidRPr="008801BE" w:rsidRDefault="00613581" w:rsidP="00613581">
                              <w:pPr>
                                <w:spacing w:after="0"/>
                                <w:jc w:val="center"/>
                              </w:pPr>
                              <w:r w:rsidRPr="008801BE">
                                <w:t>Compliance</w:t>
                              </w:r>
                              <w:r w:rsidRPr="008801BE">
                                <w:tab/>
                              </w:r>
                              <w:r w:rsidRPr="008801BE">
                                <w:tab/>
                              </w:r>
                              <w:r w:rsidRPr="008801BE">
                                <w:tab/>
                                <w:t>Performance</w:t>
                              </w:r>
                            </w:p>
                          </w:txbxContent>
                        </wps:txbx>
                        <wps:bodyPr rot="0" vert="horz" wrap="square" lIns="91440" tIns="45720" rIns="91440" bIns="45720" anchor="t" anchorCtr="0">
                          <a:noAutofit/>
                        </wps:bodyPr>
                      </wps:wsp>
                      <wps:wsp>
                        <wps:cNvPr id="764511530" name="Text Box 764511530"/>
                        <wps:cNvSpPr txBox="1"/>
                        <wps:spPr>
                          <a:xfrm>
                            <a:off x="1634464" y="892916"/>
                            <a:ext cx="722694" cy="486666"/>
                          </a:xfrm>
                          <a:prstGeom prst="rect">
                            <a:avLst/>
                          </a:prstGeom>
                          <a:noFill/>
                          <a:ln>
                            <a:noFill/>
                          </a:ln>
                        </wps:spPr>
                        <wps:txbx>
                          <w:txbxContent>
                            <w:p w14:paraId="3D00256F" w14:textId="77777777" w:rsidR="00613581" w:rsidRPr="00AE3B72" w:rsidRDefault="00613581" w:rsidP="00613581">
                              <w:pPr>
                                <w:spacing w:after="0"/>
                                <w:jc w:val="center"/>
                                <w:rPr>
                                  <w:rFonts w:ascii="Candara" w:eastAsiaTheme="minorHAnsi" w:hAnsi="Candara"/>
                                  <w:i/>
                                  <w:noProof/>
                                  <w:color w:val="000000" w:themeColor="text1"/>
                                  <w:sz w:val="5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E3B72">
                                <w:rPr>
                                  <w:i/>
                                  <w:noProof/>
                                  <w:color w:val="000000" w:themeColor="text1"/>
                                  <w:sz w:val="5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23794463" name="Right Brace 1823794463"/>
                        <wps:cNvSpPr/>
                        <wps:spPr>
                          <a:xfrm>
                            <a:off x="3846195" y="35295"/>
                            <a:ext cx="361950" cy="3076190"/>
                          </a:xfrm>
                          <a:prstGeom prst="rightBrace">
                            <a:avLst/>
                          </a:prstGeom>
                          <a:ln w="190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7320757" name="Flowchart: Multidocument 277320757"/>
                        <wps:cNvSpPr/>
                        <wps:spPr>
                          <a:xfrm>
                            <a:off x="4361704" y="768824"/>
                            <a:ext cx="1855786" cy="1617421"/>
                          </a:xfrm>
                          <a:prstGeom prst="flowChartMultidocument">
                            <a:avLst/>
                          </a:prstGeom>
                          <a:solidFill>
                            <a:srgbClr val="67A5C7"/>
                          </a:solidFill>
                        </wps:spPr>
                        <wps:style>
                          <a:lnRef idx="3">
                            <a:schemeClr val="lt1"/>
                          </a:lnRef>
                          <a:fillRef idx="1">
                            <a:schemeClr val="accent1"/>
                          </a:fillRef>
                          <a:effectRef idx="1">
                            <a:schemeClr val="accent1"/>
                          </a:effectRef>
                          <a:fontRef idx="minor">
                            <a:schemeClr val="lt1"/>
                          </a:fontRef>
                        </wps:style>
                        <wps:txbx>
                          <w:txbxContent>
                            <w:p w14:paraId="49A8EC57" w14:textId="77777777" w:rsidR="00613581" w:rsidRDefault="00613581" w:rsidP="00613581">
                              <w:pPr>
                                <w:spacing w:after="0"/>
                                <w:jc w:val="center"/>
                                <w:rPr>
                                  <w:b/>
                                  <w:color w:val="000000" w:themeColor="text1"/>
                                  <w:sz w:val="28"/>
                                </w:rPr>
                              </w:pPr>
                              <w:r w:rsidRPr="00BF38C3">
                                <w:rPr>
                                  <w:b/>
                                  <w:color w:val="000000" w:themeColor="text1"/>
                                  <w:sz w:val="28"/>
                                </w:rPr>
                                <w:t xml:space="preserve">Differentiated Monitoring: </w:t>
                              </w:r>
                            </w:p>
                            <w:p w14:paraId="707F9759" w14:textId="77777777" w:rsidR="00613581" w:rsidRPr="00BF38C3" w:rsidRDefault="00613581" w:rsidP="00613581">
                              <w:pPr>
                                <w:spacing w:after="0"/>
                                <w:jc w:val="center"/>
                                <w:rPr>
                                  <w:b/>
                                  <w:color w:val="000000" w:themeColor="text1"/>
                                  <w:sz w:val="28"/>
                                </w:rPr>
                              </w:pPr>
                              <w:r w:rsidRPr="00BF38C3">
                                <w:rPr>
                                  <w:b/>
                                  <w:color w:val="000000" w:themeColor="text1"/>
                                  <w:sz w:val="28"/>
                                </w:rPr>
                                <w:t>Level of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DD72DF" id="Group 2" o:spid="_x0000_s1026" style="position:absolute;left:0;text-align:left;margin-left:0;margin-top:12.65pt;width:480.95pt;height:280.05pt;z-index:-251658239;mso-position-horizontal:left;mso-position-horizontal-relative:margin;mso-width-relative:margin;mso-height-relative:margin" coordorigin="1079,352" coordsize="61094,30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">
                <v:shapetype id="_x0000_t202" coordsize="21600,21600" o:spt="202" path="m,l,21600r21600,l21600,xe">
                  <v:stroke joinstyle="miter"/>
                  <v:path gradientshapeok="t" o:connecttype="rect"/>
                </v:shapetype>
                <v:shape id="Text Box 2" o:spid="_x0000_s1027" type="#_x0000_t202" style="position:absolute;left:1079;top:1630;width:37667;height:7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" fillcolor="#d3e070 [1941]" strokecolor="black [3213]" strokeweight="1pt">
                  <v:textbox>
                    <w:txbxContent>
                      <w:p w14:paraId="3D1117A2" w14:textId="77777777" w:rsidR="00613581" w:rsidRDefault="00613581" w:rsidP="00613581">
                        <w:pPr>
                          <w:spacing w:after="0"/>
                          <w:jc w:val="center"/>
                          <w:rPr>
                            <w:b/>
                            <w:sz w:val="28"/>
                          </w:rPr>
                        </w:pPr>
                        <w:r w:rsidRPr="00803B0C">
                          <w:rPr>
                            <w:b/>
                            <w:sz w:val="28"/>
                          </w:rPr>
                          <w:t>D</w:t>
                        </w:r>
                        <w:r>
                          <w:rPr>
                            <w:b/>
                            <w:sz w:val="28"/>
                          </w:rPr>
                          <w:t>etermination</w:t>
                        </w:r>
                      </w:p>
                      <w:p w14:paraId="53C48219" w14:textId="77777777" w:rsidR="00613581" w:rsidRDefault="00613581" w:rsidP="00613581">
                        <w:pPr>
                          <w:jc w:val="center"/>
                          <w:rPr>
                            <w:b/>
                            <w:sz w:val="28"/>
                          </w:rPr>
                        </w:pPr>
                        <w:r>
                          <w:rPr>
                            <w:b/>
                          </w:rPr>
                          <w:t xml:space="preserve">Based on </w:t>
                        </w:r>
                        <w:r w:rsidRPr="007B102B">
                          <w:rPr>
                            <w:b/>
                          </w:rPr>
                          <w:t>APR Indicators</w:t>
                        </w:r>
                      </w:p>
                      <w:p w14:paraId="34BFCBF4" w14:textId="77777777" w:rsidR="00613581" w:rsidRPr="008801BE" w:rsidRDefault="00613581" w:rsidP="00613581">
                        <w:pPr>
                          <w:spacing w:after="0"/>
                          <w:jc w:val="center"/>
                        </w:pPr>
                        <w:r w:rsidRPr="008801BE">
                          <w:t>Compliance</w:t>
                        </w:r>
                        <w:r w:rsidRPr="008801BE">
                          <w:tab/>
                        </w:r>
                        <w:r w:rsidRPr="008801BE">
                          <w:tab/>
                        </w:r>
                        <w:r w:rsidRPr="008801BE">
                          <w:tab/>
                          <w:t>Performance</w:t>
                        </w:r>
                      </w:p>
                    </w:txbxContent>
                  </v:textbox>
                </v:shape>
                <v:shape id="Text Box 764511530" o:spid="_x0000_s1028" type="#_x0000_t202" style="position:absolute;left:16344;top:8929;width:7227;height:4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" filled="f" stroked="f">
                  <v:textbox>
                    <w:txbxContent>
                      <w:p w14:paraId="3D00256F" w14:textId="77777777" w:rsidR="00613581" w:rsidRPr="00AE3B72" w:rsidRDefault="00613581" w:rsidP="00613581">
                        <w:pPr>
                          <w:spacing w:after="0"/>
                          <w:jc w:val="center"/>
                          <w:rPr>
                            <w:rFonts w:ascii="Candara" w:eastAsiaTheme="minorHAnsi" w:hAnsi="Candara"/>
                            <w:i/>
                            <w:noProof/>
                            <w:color w:val="000000" w:themeColor="text1"/>
                            <w:sz w:val="5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E3B72">
                          <w:rPr>
                            <w:i/>
                            <w:noProof/>
                            <w:color w:val="000000" w:themeColor="text1"/>
                            <w:sz w:val="5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823794463" o:spid="_x0000_s1029" type="#_x0000_t88" style="position:absolute;left:38461;top:352;width:3620;height:30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" adj="212" strokecolor="black [3200]" strokeweight="1.5pt">
                  <v:stroke joinstyle="miter"/>
                </v:shape>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Flowchart: Multidocument 277320757" o:spid="_x0000_s1030" type="#_x0000_t115" style="position:absolute;left:43617;top:7688;width:18557;height:161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" fillcolor="#67a5c7" strokecolor="white [3201]" strokeweight="1.5pt">
                  <v:textbox>
                    <w:txbxContent>
                      <w:p w14:paraId="49A8EC57" w14:textId="77777777" w:rsidR="00613581" w:rsidRDefault="00613581" w:rsidP="00613581">
                        <w:pPr>
                          <w:spacing w:after="0"/>
                          <w:jc w:val="center"/>
                          <w:rPr>
                            <w:b/>
                            <w:color w:val="000000" w:themeColor="text1"/>
                            <w:sz w:val="28"/>
                          </w:rPr>
                        </w:pPr>
                        <w:r w:rsidRPr="00BF38C3">
                          <w:rPr>
                            <w:b/>
                            <w:color w:val="000000" w:themeColor="text1"/>
                            <w:sz w:val="28"/>
                          </w:rPr>
                          <w:t xml:space="preserve">Differentiated Monitoring: </w:t>
                        </w:r>
                      </w:p>
                      <w:p w14:paraId="707F9759" w14:textId="77777777" w:rsidR="00613581" w:rsidRPr="00BF38C3" w:rsidRDefault="00613581" w:rsidP="00613581">
                        <w:pPr>
                          <w:spacing w:after="0"/>
                          <w:jc w:val="center"/>
                          <w:rPr>
                            <w:b/>
                            <w:color w:val="000000" w:themeColor="text1"/>
                            <w:sz w:val="28"/>
                          </w:rPr>
                        </w:pPr>
                        <w:r w:rsidRPr="00BF38C3">
                          <w:rPr>
                            <w:b/>
                            <w:color w:val="000000" w:themeColor="text1"/>
                            <w:sz w:val="28"/>
                          </w:rPr>
                          <w:t>Level of Support</w:t>
                        </w:r>
                      </w:p>
                    </w:txbxContent>
                  </v:textbox>
                </v:shape>
                <w10:wrap anchorx="margin"/>
              </v:group>
            </w:pict>
          </mc:Fallback>
        </mc:AlternateContent>
      </w:r>
    </w:p>
    <w:p w14:paraId="1C0652AC" w14:textId="77777777" w:rsidR="00613581" w:rsidRPr="004E0238" w:rsidRDefault="00613581" w:rsidP="00613581">
      <w:pPr>
        <w:rPr>
          <w:noProof/>
        </w:rPr>
      </w:pPr>
    </w:p>
    <w:p w14:paraId="399E50B3" w14:textId="77777777" w:rsidR="00613581" w:rsidRPr="004E0238" w:rsidRDefault="00613581" w:rsidP="00613581"/>
    <w:p w14:paraId="098AB00F" w14:textId="77777777" w:rsidR="00613581" w:rsidRPr="004E0238" w:rsidRDefault="00613581" w:rsidP="00613581"/>
    <w:p w14:paraId="2890D870" w14:textId="77777777" w:rsidR="00613581" w:rsidRPr="004E0238" w:rsidRDefault="00613581" w:rsidP="00613581"/>
    <w:p w14:paraId="57CC01E0" w14:textId="77777777" w:rsidR="00613581" w:rsidRPr="004E0238" w:rsidRDefault="00613581" w:rsidP="00613581">
      <w:r>
        <w:t xml:space="preserve"> </w:t>
      </w:r>
    </w:p>
    <w:tbl>
      <w:tblPr>
        <w:tblStyle w:val="ListTable4-Accent5"/>
        <w:tblpPr w:vertAnchor="text" w:horzAnchor="margin" w:tblpY="28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82"/>
        <w:gridCol w:w="2953"/>
      </w:tblGrid>
      <w:tr w:rsidR="00613581" w:rsidRPr="004E0238" w14:paraId="29E5F5D8" w14:textId="77777777" w:rsidTr="00C15F3D">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5935" w:type="dxa"/>
            <w:gridSpan w:val="2"/>
            <w:tcBorders>
              <w:bottom w:val="single" w:sz="12" w:space="0" w:color="auto"/>
            </w:tcBorders>
            <w:vAlign w:val="center"/>
          </w:tcPr>
          <w:p w14:paraId="4870C943" w14:textId="77777777" w:rsidR="00613581" w:rsidRPr="004E0238" w:rsidRDefault="00613581" w:rsidP="00C15F3D">
            <w:pPr>
              <w:tabs>
                <w:tab w:val="left" w:pos="360"/>
              </w:tabs>
              <w:spacing w:after="0"/>
              <w:jc w:val="center"/>
              <w:rPr>
                <w:rFonts w:cs="Times New Roman"/>
                <w:sz w:val="22"/>
                <w:szCs w:val="22"/>
              </w:rPr>
            </w:pPr>
            <w:r w:rsidRPr="5EF294CC">
              <w:rPr>
                <w:rFonts w:cs="Times New Roman"/>
                <w:color w:val="000000" w:themeColor="text1"/>
                <w:sz w:val="28"/>
                <w:szCs w:val="28"/>
              </w:rPr>
              <w:t>Risk Assessment Score</w:t>
            </w:r>
          </w:p>
        </w:tc>
      </w:tr>
      <w:tr w:rsidR="00613581" w:rsidRPr="004E0238" w14:paraId="4C21ABEA" w14:textId="77777777" w:rsidTr="00C15F3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982" w:type="dxa"/>
            <w:tcBorders>
              <w:bottom w:val="single" w:sz="4" w:space="0" w:color="auto"/>
              <w:right w:val="single" w:sz="4" w:space="0" w:color="auto"/>
            </w:tcBorders>
            <w:vAlign w:val="center"/>
          </w:tcPr>
          <w:p w14:paraId="76152586" w14:textId="77777777" w:rsidR="00613581" w:rsidRPr="004E0238" w:rsidRDefault="00613581" w:rsidP="00C15F3D">
            <w:pPr>
              <w:tabs>
                <w:tab w:val="left" w:pos="360"/>
              </w:tabs>
              <w:spacing w:after="0"/>
              <w:jc w:val="center"/>
              <w:rPr>
                <w:rFonts w:cs="Times New Roman"/>
                <w:b w:val="0"/>
                <w:bCs w:val="0"/>
              </w:rPr>
            </w:pPr>
            <w:r w:rsidRPr="5EF294CC">
              <w:rPr>
                <w:rFonts w:cs="Times New Roman"/>
                <w:b w:val="0"/>
                <w:bCs w:val="0"/>
              </w:rPr>
              <w:t>Current MOE result</w:t>
            </w:r>
          </w:p>
        </w:tc>
        <w:tc>
          <w:tcPr>
            <w:tcW w:w="2953" w:type="dxa"/>
            <w:tcBorders>
              <w:left w:val="single" w:sz="4" w:space="0" w:color="auto"/>
              <w:bottom w:val="single" w:sz="4" w:space="0" w:color="auto"/>
            </w:tcBorders>
            <w:vAlign w:val="center"/>
          </w:tcPr>
          <w:p w14:paraId="244D7F84" w14:textId="77777777" w:rsidR="00613581" w:rsidRPr="004E0238" w:rsidRDefault="00613581" w:rsidP="00C15F3D">
            <w:pPr>
              <w:tabs>
                <w:tab w:val="left" w:pos="360"/>
              </w:tabs>
              <w:spacing w:after="0"/>
              <w:jc w:val="center"/>
              <w:cnfStyle w:val="000000100000" w:firstRow="0" w:lastRow="0" w:firstColumn="0" w:lastColumn="0" w:oddVBand="0" w:evenVBand="0" w:oddHBand="1" w:evenHBand="0" w:firstRowFirstColumn="0" w:firstRowLastColumn="0" w:lastRowFirstColumn="0" w:lastRowLastColumn="0"/>
              <w:rPr>
                <w:rFonts w:cs="Times New Roman"/>
              </w:rPr>
            </w:pPr>
            <w:r w:rsidRPr="5EF294CC">
              <w:rPr>
                <w:rFonts w:cs="Times New Roman"/>
              </w:rPr>
              <w:t>Late claim(s) submitted</w:t>
            </w:r>
          </w:p>
        </w:tc>
      </w:tr>
      <w:tr w:rsidR="00613581" w:rsidRPr="004E0238" w14:paraId="24EDA840" w14:textId="77777777" w:rsidTr="00C15F3D">
        <w:trPr>
          <w:trHeight w:val="360"/>
        </w:trPr>
        <w:tc>
          <w:tcPr>
            <w:cnfStyle w:val="001000000000" w:firstRow="0" w:lastRow="0" w:firstColumn="1" w:lastColumn="0" w:oddVBand="0" w:evenVBand="0" w:oddHBand="0" w:evenHBand="0" w:firstRowFirstColumn="0" w:firstRowLastColumn="0" w:lastRowFirstColumn="0" w:lastRowLastColumn="0"/>
            <w:tcW w:w="2982" w:type="dxa"/>
            <w:tcBorders>
              <w:top w:val="single" w:sz="4" w:space="0" w:color="auto"/>
              <w:bottom w:val="single" w:sz="4" w:space="0" w:color="auto"/>
              <w:right w:val="single" w:sz="4" w:space="0" w:color="auto"/>
            </w:tcBorders>
            <w:vAlign w:val="center"/>
          </w:tcPr>
          <w:p w14:paraId="42CD1C5B" w14:textId="77777777" w:rsidR="00613581" w:rsidRPr="004E0238" w:rsidRDefault="00613581" w:rsidP="00C15F3D">
            <w:pPr>
              <w:tabs>
                <w:tab w:val="left" w:pos="360"/>
              </w:tabs>
              <w:spacing w:after="0"/>
              <w:jc w:val="center"/>
              <w:rPr>
                <w:rFonts w:cs="Times New Roman"/>
                <w:b w:val="0"/>
                <w:bCs w:val="0"/>
              </w:rPr>
            </w:pPr>
            <w:r w:rsidRPr="5EF294CC">
              <w:rPr>
                <w:rFonts w:cs="Times New Roman"/>
                <w:b w:val="0"/>
                <w:bCs w:val="0"/>
              </w:rPr>
              <w:t>Size of award</w:t>
            </w:r>
          </w:p>
        </w:tc>
        <w:tc>
          <w:tcPr>
            <w:tcW w:w="2953" w:type="dxa"/>
            <w:tcBorders>
              <w:top w:val="single" w:sz="4" w:space="0" w:color="auto"/>
              <w:left w:val="single" w:sz="4" w:space="0" w:color="auto"/>
              <w:bottom w:val="single" w:sz="4" w:space="0" w:color="auto"/>
            </w:tcBorders>
            <w:vAlign w:val="center"/>
          </w:tcPr>
          <w:p w14:paraId="51C59B8F" w14:textId="77777777" w:rsidR="00613581" w:rsidRPr="004E0238" w:rsidRDefault="00613581" w:rsidP="00C15F3D">
            <w:pPr>
              <w:tabs>
                <w:tab w:val="left" w:pos="360"/>
              </w:tabs>
              <w:spacing w:after="0"/>
              <w:jc w:val="center"/>
              <w:cnfStyle w:val="000000000000" w:firstRow="0" w:lastRow="0" w:firstColumn="0" w:lastColumn="0" w:oddVBand="0" w:evenVBand="0" w:oddHBand="0" w:evenHBand="0" w:firstRowFirstColumn="0" w:firstRowLastColumn="0" w:lastRowFirstColumn="0" w:lastRowLastColumn="0"/>
              <w:rPr>
                <w:rFonts w:cs="Times New Roman"/>
              </w:rPr>
            </w:pPr>
            <w:r w:rsidRPr="5EF294CC">
              <w:rPr>
                <w:rFonts w:cs="Times New Roman"/>
              </w:rPr>
              <w:t>Recent audit findings</w:t>
            </w:r>
          </w:p>
        </w:tc>
      </w:tr>
      <w:tr w:rsidR="00613581" w:rsidRPr="004E0238" w14:paraId="6D91FCCA" w14:textId="77777777" w:rsidTr="00C15F3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982" w:type="dxa"/>
            <w:tcBorders>
              <w:top w:val="single" w:sz="4" w:space="0" w:color="auto"/>
              <w:bottom w:val="single" w:sz="4" w:space="0" w:color="auto"/>
              <w:right w:val="single" w:sz="4" w:space="0" w:color="auto"/>
            </w:tcBorders>
            <w:vAlign w:val="center"/>
          </w:tcPr>
          <w:p w14:paraId="4C5C56EC" w14:textId="77777777" w:rsidR="00613581" w:rsidRPr="004E0238" w:rsidRDefault="00613581" w:rsidP="00C15F3D">
            <w:pPr>
              <w:tabs>
                <w:tab w:val="left" w:pos="360"/>
              </w:tabs>
              <w:spacing w:after="0"/>
              <w:jc w:val="center"/>
              <w:rPr>
                <w:rFonts w:cs="Times New Roman"/>
                <w:b w:val="0"/>
                <w:bCs w:val="0"/>
              </w:rPr>
            </w:pPr>
            <w:r w:rsidRPr="5EF294CC">
              <w:rPr>
                <w:rFonts w:cs="Times New Roman"/>
                <w:b w:val="0"/>
                <w:bCs w:val="0"/>
              </w:rPr>
              <w:t xml:space="preserve">Change in SPED director </w:t>
            </w:r>
          </w:p>
        </w:tc>
        <w:tc>
          <w:tcPr>
            <w:tcW w:w="2953" w:type="dxa"/>
            <w:tcBorders>
              <w:top w:val="single" w:sz="4" w:space="0" w:color="auto"/>
              <w:left w:val="single" w:sz="4" w:space="0" w:color="auto"/>
              <w:bottom w:val="single" w:sz="4" w:space="0" w:color="auto"/>
            </w:tcBorders>
            <w:vAlign w:val="center"/>
          </w:tcPr>
          <w:p w14:paraId="0D7F7401" w14:textId="77777777" w:rsidR="00613581" w:rsidRPr="004E0238" w:rsidRDefault="00613581" w:rsidP="00C15F3D">
            <w:pPr>
              <w:tabs>
                <w:tab w:val="left" w:pos="360"/>
              </w:tabs>
              <w:spacing w:after="0"/>
              <w:jc w:val="center"/>
              <w:cnfStyle w:val="000000100000" w:firstRow="0" w:lastRow="0" w:firstColumn="0" w:lastColumn="0" w:oddVBand="0" w:evenVBand="0" w:oddHBand="1" w:evenHBand="0" w:firstRowFirstColumn="0" w:firstRowLastColumn="0" w:lastRowFirstColumn="0" w:lastRowLastColumn="0"/>
              <w:rPr>
                <w:rFonts w:cs="Times New Roman"/>
              </w:rPr>
            </w:pPr>
            <w:r w:rsidRPr="5EF294CC">
              <w:rPr>
                <w:rFonts w:cs="Times New Roman"/>
              </w:rPr>
              <w:t>Special/unusual design</w:t>
            </w:r>
          </w:p>
        </w:tc>
      </w:tr>
      <w:tr w:rsidR="00613581" w:rsidRPr="004E0238" w14:paraId="265FC5F6" w14:textId="77777777" w:rsidTr="00C15F3D">
        <w:trPr>
          <w:trHeight w:val="360"/>
        </w:trPr>
        <w:tc>
          <w:tcPr>
            <w:cnfStyle w:val="001000000000" w:firstRow="0" w:lastRow="0" w:firstColumn="1" w:lastColumn="0" w:oddVBand="0" w:evenVBand="0" w:oddHBand="0" w:evenHBand="0" w:firstRowFirstColumn="0" w:firstRowLastColumn="0" w:lastRowFirstColumn="0" w:lastRowLastColumn="0"/>
            <w:tcW w:w="2982" w:type="dxa"/>
            <w:tcBorders>
              <w:top w:val="single" w:sz="4" w:space="0" w:color="auto"/>
              <w:bottom w:val="single" w:sz="4" w:space="0" w:color="auto"/>
              <w:right w:val="single" w:sz="4" w:space="0" w:color="auto"/>
            </w:tcBorders>
            <w:vAlign w:val="center"/>
          </w:tcPr>
          <w:p w14:paraId="149BB497" w14:textId="77777777" w:rsidR="00613581" w:rsidRPr="004E0238" w:rsidRDefault="00613581" w:rsidP="00C15F3D">
            <w:pPr>
              <w:tabs>
                <w:tab w:val="left" w:pos="360"/>
              </w:tabs>
              <w:spacing w:after="0"/>
              <w:jc w:val="center"/>
              <w:rPr>
                <w:rFonts w:cs="Times New Roman"/>
                <w:b w:val="0"/>
                <w:bCs w:val="0"/>
              </w:rPr>
            </w:pPr>
            <w:r w:rsidRPr="5EF294CC">
              <w:rPr>
                <w:rFonts w:cs="Times New Roman"/>
                <w:b w:val="0"/>
                <w:bCs w:val="0"/>
              </w:rPr>
              <w:t>Current excess cost results</w:t>
            </w:r>
          </w:p>
        </w:tc>
        <w:tc>
          <w:tcPr>
            <w:tcW w:w="2953" w:type="dxa"/>
            <w:tcBorders>
              <w:top w:val="single" w:sz="4" w:space="0" w:color="auto"/>
              <w:left w:val="single" w:sz="4" w:space="0" w:color="auto"/>
              <w:bottom w:val="single" w:sz="4" w:space="0" w:color="auto"/>
            </w:tcBorders>
            <w:vAlign w:val="center"/>
          </w:tcPr>
          <w:p w14:paraId="346BCB37" w14:textId="77777777" w:rsidR="00613581" w:rsidRPr="004E0238" w:rsidRDefault="00613581" w:rsidP="00C15F3D">
            <w:pPr>
              <w:tabs>
                <w:tab w:val="left" w:pos="360"/>
              </w:tabs>
              <w:spacing w:after="0"/>
              <w:jc w:val="center"/>
              <w:cnfStyle w:val="000000000000" w:firstRow="0" w:lastRow="0" w:firstColumn="0" w:lastColumn="0" w:oddVBand="0" w:evenVBand="0" w:oddHBand="0" w:evenHBand="0" w:firstRowFirstColumn="0" w:firstRowLastColumn="0" w:lastRowFirstColumn="0" w:lastRowLastColumn="0"/>
              <w:rPr>
                <w:rFonts w:cs="Times New Roman"/>
              </w:rPr>
            </w:pPr>
            <w:r w:rsidRPr="5EF294CC">
              <w:rPr>
                <w:rFonts w:cs="Times New Roman"/>
              </w:rPr>
              <w:t>Complaint count</w:t>
            </w:r>
          </w:p>
        </w:tc>
      </w:tr>
      <w:tr w:rsidR="00613581" w:rsidRPr="004E0238" w14:paraId="76E40014" w14:textId="77777777" w:rsidTr="00C15F3D">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982" w:type="dxa"/>
            <w:tcBorders>
              <w:top w:val="single" w:sz="4" w:space="0" w:color="auto"/>
              <w:bottom w:val="single" w:sz="4" w:space="0" w:color="auto"/>
              <w:right w:val="single" w:sz="4" w:space="0" w:color="auto"/>
            </w:tcBorders>
            <w:vAlign w:val="center"/>
          </w:tcPr>
          <w:p w14:paraId="433A450F" w14:textId="77777777" w:rsidR="00613581" w:rsidRPr="004E0238" w:rsidRDefault="00613581" w:rsidP="00C15F3D">
            <w:pPr>
              <w:tabs>
                <w:tab w:val="left" w:pos="360"/>
              </w:tabs>
              <w:spacing w:after="0"/>
              <w:jc w:val="center"/>
              <w:rPr>
                <w:rFonts w:cs="Times New Roman"/>
                <w:b w:val="0"/>
                <w:bCs w:val="0"/>
              </w:rPr>
            </w:pPr>
            <w:r w:rsidRPr="5EF294CC">
              <w:rPr>
                <w:rFonts w:cs="Times New Roman"/>
                <w:b w:val="0"/>
                <w:bCs w:val="0"/>
              </w:rPr>
              <w:t>Special education identification rate</w:t>
            </w:r>
          </w:p>
        </w:tc>
        <w:tc>
          <w:tcPr>
            <w:tcW w:w="2953" w:type="dxa"/>
            <w:tcBorders>
              <w:top w:val="single" w:sz="4" w:space="0" w:color="auto"/>
              <w:left w:val="single" w:sz="4" w:space="0" w:color="auto"/>
              <w:bottom w:val="single" w:sz="4" w:space="0" w:color="auto"/>
            </w:tcBorders>
            <w:vAlign w:val="center"/>
          </w:tcPr>
          <w:p w14:paraId="2D78305C" w14:textId="77777777" w:rsidR="00613581" w:rsidRPr="004E0238" w:rsidRDefault="00613581" w:rsidP="00C15F3D">
            <w:pPr>
              <w:tabs>
                <w:tab w:val="left" w:pos="360"/>
              </w:tabs>
              <w:spacing w:after="0"/>
              <w:jc w:val="center"/>
              <w:cnfStyle w:val="000000100000" w:firstRow="0" w:lastRow="0" w:firstColumn="0" w:lastColumn="0" w:oddVBand="0" w:evenVBand="0" w:oddHBand="1" w:evenHBand="0" w:firstRowFirstColumn="0" w:firstRowLastColumn="0" w:lastRowFirstColumn="0" w:lastRowLastColumn="0"/>
              <w:rPr>
                <w:rFonts w:cs="Times New Roman"/>
              </w:rPr>
            </w:pPr>
            <w:r w:rsidRPr="5EF294CC">
              <w:rPr>
                <w:rFonts w:cs="Times New Roman"/>
              </w:rPr>
              <w:t>Timely and finalized assurances &amp; agreements</w:t>
            </w:r>
          </w:p>
        </w:tc>
      </w:tr>
      <w:tr w:rsidR="00613581" w:rsidRPr="004E0238" w14:paraId="78B33F9E" w14:textId="77777777" w:rsidTr="00C15F3D">
        <w:trPr>
          <w:trHeight w:val="360"/>
        </w:trPr>
        <w:tc>
          <w:tcPr>
            <w:cnfStyle w:val="001000000000" w:firstRow="0" w:lastRow="0" w:firstColumn="1" w:lastColumn="0" w:oddVBand="0" w:evenVBand="0" w:oddHBand="0" w:evenHBand="0" w:firstRowFirstColumn="0" w:firstRowLastColumn="0" w:lastRowFirstColumn="0" w:lastRowLastColumn="0"/>
            <w:tcW w:w="5935" w:type="dxa"/>
            <w:gridSpan w:val="2"/>
            <w:tcBorders>
              <w:top w:val="single" w:sz="4" w:space="0" w:color="auto"/>
            </w:tcBorders>
            <w:vAlign w:val="center"/>
          </w:tcPr>
          <w:p w14:paraId="23E3E41F" w14:textId="77777777" w:rsidR="00613581" w:rsidRPr="004E0238" w:rsidRDefault="00613581" w:rsidP="00C15F3D">
            <w:pPr>
              <w:tabs>
                <w:tab w:val="left" w:pos="360"/>
              </w:tabs>
              <w:spacing w:after="0"/>
              <w:jc w:val="center"/>
              <w:rPr>
                <w:rFonts w:cs="Times New Roman"/>
              </w:rPr>
            </w:pPr>
            <w:r w:rsidRPr="5EF294CC">
              <w:rPr>
                <w:rFonts w:cs="Times New Roman"/>
                <w:b w:val="0"/>
                <w:bCs w:val="0"/>
              </w:rPr>
              <w:t>Years since monitoring</w:t>
            </w:r>
          </w:p>
        </w:tc>
      </w:tr>
    </w:tbl>
    <w:p w14:paraId="0F9C7FBF" w14:textId="77777777" w:rsidR="00613581" w:rsidRDefault="00613581" w:rsidP="00613581">
      <w:pPr>
        <w:pStyle w:val="Heading2"/>
      </w:pPr>
    </w:p>
    <w:p w14:paraId="1B44B5ED" w14:textId="77777777" w:rsidR="00C351BD" w:rsidRDefault="00C351BD" w:rsidP="000F3CDE"/>
    <w:p w14:paraId="619191AD" w14:textId="77777777" w:rsidR="00C351BD" w:rsidRDefault="00C351BD" w:rsidP="00F6703D"/>
    <w:p w14:paraId="1C9EBE88" w14:textId="77777777" w:rsidR="00613581" w:rsidRPr="00613581" w:rsidRDefault="00613581" w:rsidP="00613581"/>
    <w:p w14:paraId="4C4ABF51" w14:textId="77777777" w:rsidR="00613581" w:rsidRPr="00613581" w:rsidRDefault="00613581" w:rsidP="00613581"/>
    <w:p w14:paraId="3F1E45DE" w14:textId="77777777" w:rsidR="00613581" w:rsidRPr="00613581" w:rsidRDefault="00613581" w:rsidP="00613581"/>
    <w:p w14:paraId="3565C774" w14:textId="77777777" w:rsidR="00613581" w:rsidRPr="00613581" w:rsidRDefault="00613581" w:rsidP="00613581"/>
    <w:p w14:paraId="7C67F57B" w14:textId="77777777" w:rsidR="00613581" w:rsidRPr="00613581" w:rsidRDefault="00613581" w:rsidP="00613581"/>
    <w:p w14:paraId="72F1F8D2" w14:textId="77777777" w:rsidR="00613581" w:rsidRDefault="00613581" w:rsidP="00613581"/>
    <w:p w14:paraId="09432093" w14:textId="77777777" w:rsidR="00613581" w:rsidRPr="004E0238" w:rsidRDefault="00613581" w:rsidP="00613581">
      <w:pPr>
        <w:pStyle w:val="Heading3"/>
      </w:pPr>
      <w:r>
        <w:t xml:space="preserve">Determinations </w:t>
      </w:r>
    </w:p>
    <w:p w14:paraId="6F454CA4" w14:textId="77777777" w:rsidR="00613581" w:rsidRPr="004E0238" w:rsidRDefault="00613581" w:rsidP="00613581">
      <w:r>
        <w:t>Annual LEA determinations are required by the IDEA 34 CFR § 300.600.  Determinations identify each LEA’s quality of compliance and performance for several indicators that the SEA reports to OSEP. The indicator data used are reported annually to the LEAs in the District Data Profile document. Based on the quality of its compliance and performance data, the OSDE-SES assigns each LEA a determination rating tier: Meets Requirements, Needs Assistance, Needs Intervention, or Needs Substantial Intervention.</w:t>
      </w:r>
    </w:p>
    <w:p w14:paraId="509A21A3" w14:textId="77777777" w:rsidR="00613581" w:rsidRPr="004E0238" w:rsidRDefault="00613581" w:rsidP="00613581">
      <w:r>
        <w:t xml:space="preserve">Determinations are made in November via notification directly to special education directors and Superintendents. The District Data Profile and determination documentation includes a set of instructions for interpreting the data, the calculation matrix, and scores from the current and prior years. Please see Appendix B for a sample determination to view the calculation matrix and reporting template. </w:t>
      </w:r>
    </w:p>
    <w:p w14:paraId="44094DCB" w14:textId="77777777" w:rsidR="00613581" w:rsidRPr="004E0238" w:rsidRDefault="00613581" w:rsidP="00613581">
      <w:r>
        <w:t xml:space="preserve">The calculation matrix has two parts: one focusing on compliance indicators (4B, 9, 10, 11, 12, 13) and the other on performance (results-based) indicators (1, 3A, 3B, 7 A1-B1-C1). Determination is made by adding the points together that the LEA has earned on compliance and performance by meeting the indicator targets and dividing by the total possible points. Every indicator may not apply to every LEA.  Bonus points are available for meeting various criteria that are area of focus for improvement by the SEA.  If the LEA score falls close to the target (“approaching” the target), it may receive partial credit for indicators other than assessment results (indicator 3). LEA targets align with state APR targets as shown on the District Data Profile. </w:t>
      </w:r>
    </w:p>
    <w:p w14:paraId="33FA4DF2" w14:textId="77777777" w:rsidR="00613581" w:rsidRDefault="00613581" w:rsidP="00613581">
      <w:r>
        <w:t>Please refer to the district determination template in Appendix B for the list of indicators included and the points allocated to each, as well as a description of the possible bonus points.</w:t>
      </w:r>
    </w:p>
    <w:p w14:paraId="6F3A24D5" w14:textId="77777777" w:rsidR="00C83B47" w:rsidRDefault="00C83B47" w:rsidP="00613581"/>
    <w:p w14:paraId="5729107A" w14:textId="77777777" w:rsidR="00613581" w:rsidRPr="004E0238" w:rsidRDefault="00613581" w:rsidP="00613581">
      <w:pPr>
        <w:pStyle w:val="Heading4"/>
      </w:pPr>
      <w:r>
        <w:lastRenderedPageBreak/>
        <w:t>Compliance Indicator Descriptions</w:t>
      </w:r>
    </w:p>
    <w:p w14:paraId="5D69EF89" w14:textId="77777777" w:rsidR="00613581" w:rsidRPr="004E0238" w:rsidRDefault="00613581" w:rsidP="00613581">
      <w:pPr>
        <w:pStyle w:val="ListParagraph"/>
        <w:numPr>
          <w:ilvl w:val="0"/>
          <w:numId w:val="32"/>
        </w:numPr>
      </w:pPr>
      <w:r w:rsidRPr="5EF294CC">
        <w:rPr>
          <w:u w:val="single"/>
        </w:rPr>
        <w:t>Indicator 4B</w:t>
      </w:r>
      <w:r>
        <w:t>: Significant discrepancy, by race or ethnicity, in the rate of long-term suspensions/expulsions for children with IEPs.</w:t>
      </w:r>
    </w:p>
    <w:p w14:paraId="44174518" w14:textId="77777777" w:rsidR="00613581" w:rsidRPr="004E0238" w:rsidRDefault="00613581" w:rsidP="00613581">
      <w:pPr>
        <w:pStyle w:val="ListParagraph"/>
        <w:numPr>
          <w:ilvl w:val="0"/>
          <w:numId w:val="32"/>
        </w:numPr>
      </w:pPr>
      <w:r w:rsidRPr="004E0238">
        <w:rPr>
          <w:u w:val="single"/>
        </w:rPr>
        <w:t>Indicator 9</w:t>
      </w:r>
      <w:r>
        <w:t>:</w:t>
      </w:r>
      <w:r w:rsidRPr="004E0238">
        <w:t xml:space="preserve"> Disproportionate representation of racial and ethnic groups in special education and related services due to inappropriate identification. </w:t>
      </w:r>
    </w:p>
    <w:p w14:paraId="4BC279E4" w14:textId="77777777" w:rsidR="00613581" w:rsidRPr="004E0238" w:rsidRDefault="00613581" w:rsidP="00613581">
      <w:pPr>
        <w:pStyle w:val="ListParagraph"/>
        <w:numPr>
          <w:ilvl w:val="0"/>
          <w:numId w:val="32"/>
        </w:numPr>
      </w:pPr>
      <w:r w:rsidRPr="004E0238">
        <w:rPr>
          <w:u w:val="single"/>
        </w:rPr>
        <w:t>Indicator 1</w:t>
      </w:r>
      <w:r>
        <w:rPr>
          <w:u w:val="single"/>
        </w:rPr>
        <w:t>0:</w:t>
      </w:r>
      <w:r w:rsidRPr="004E0238">
        <w:t xml:space="preserve"> Disproportionate representation of racial and ethnic groups in specific disability categories due to inappropriate identification.</w:t>
      </w:r>
    </w:p>
    <w:p w14:paraId="7ECB074D" w14:textId="77777777" w:rsidR="00613581" w:rsidRPr="004E0238" w:rsidRDefault="00613581" w:rsidP="00613581">
      <w:pPr>
        <w:pStyle w:val="ListParagraph"/>
        <w:numPr>
          <w:ilvl w:val="0"/>
          <w:numId w:val="32"/>
        </w:numPr>
      </w:pPr>
      <w:r w:rsidRPr="004E0238">
        <w:rPr>
          <w:u w:val="single"/>
        </w:rPr>
        <w:t>Indicator 11</w:t>
      </w:r>
      <w:r>
        <w:t>:</w:t>
      </w:r>
      <w:r w:rsidRPr="004E0238">
        <w:t xml:space="preserve"> Initial eligibilities completed within 45 school days from the date of parent consent to the date of the eligibility meeting. </w:t>
      </w:r>
    </w:p>
    <w:p w14:paraId="4DE40F41" w14:textId="77777777" w:rsidR="00613581" w:rsidRPr="004E0238" w:rsidRDefault="00613581" w:rsidP="00613581">
      <w:pPr>
        <w:pStyle w:val="ListParagraph"/>
        <w:numPr>
          <w:ilvl w:val="0"/>
          <w:numId w:val="32"/>
        </w:numPr>
      </w:pPr>
      <w:r w:rsidRPr="5EF294CC">
        <w:rPr>
          <w:u w:val="single"/>
        </w:rPr>
        <w:t>Indicator 12</w:t>
      </w:r>
      <w:r>
        <w:t>: Children who transfer from SoonerStart Part C to Public Education Part B with an IEP in place by the student’s 3</w:t>
      </w:r>
      <w:r w:rsidRPr="5EF294CC">
        <w:rPr>
          <w:vertAlign w:val="superscript"/>
        </w:rPr>
        <w:t>rd</w:t>
      </w:r>
      <w:r>
        <w:t xml:space="preserve"> birthday. </w:t>
      </w:r>
    </w:p>
    <w:p w14:paraId="412A1B3D" w14:textId="77777777" w:rsidR="00613581" w:rsidRDefault="00613581" w:rsidP="00613581">
      <w:pPr>
        <w:pStyle w:val="ListParagraph"/>
        <w:numPr>
          <w:ilvl w:val="0"/>
          <w:numId w:val="32"/>
        </w:numPr>
      </w:pPr>
      <w:r w:rsidRPr="5EF294CC">
        <w:rPr>
          <w:u w:val="single"/>
        </w:rPr>
        <w:t>Indicator 13</w:t>
      </w:r>
      <w:r>
        <w:rPr>
          <w:u w:val="single"/>
        </w:rPr>
        <w:t>:</w:t>
      </w:r>
      <w:r>
        <w:t xml:space="preserve"> </w:t>
      </w:r>
    </w:p>
    <w:p w14:paraId="0763B8D9" w14:textId="77777777" w:rsidR="00613581" w:rsidRDefault="00613581" w:rsidP="00613581">
      <w:pPr>
        <w:pStyle w:val="ListParagraph"/>
        <w:numPr>
          <w:ilvl w:val="1"/>
          <w:numId w:val="32"/>
        </w:numPr>
      </w:pPr>
      <w:r>
        <w:t>(A) Students who are turning age 15 on or before the first day of 9</w:t>
      </w:r>
      <w:r w:rsidRPr="004759C2">
        <w:rPr>
          <w:vertAlign w:val="superscript"/>
        </w:rPr>
        <w:t>th</w:t>
      </w:r>
      <w:r>
        <w:t xml:space="preserve"> grade through to graduation must have an annual IEP addressing secondary transition completed timely and finalized within 30 calendar days.</w:t>
      </w:r>
    </w:p>
    <w:p w14:paraId="17B70D77" w14:textId="77777777" w:rsidR="00613581" w:rsidRDefault="00613581" w:rsidP="00613581">
      <w:pPr>
        <w:pStyle w:val="ListParagraph"/>
        <w:numPr>
          <w:ilvl w:val="1"/>
          <w:numId w:val="32"/>
        </w:numPr>
      </w:pPr>
      <w:r>
        <w:t>(B) Students who are turning age 15 on or before the first day of 9</w:t>
      </w:r>
      <w:r w:rsidRPr="004759C2">
        <w:rPr>
          <w:vertAlign w:val="superscript"/>
        </w:rPr>
        <w:t>th</w:t>
      </w:r>
      <w:r>
        <w:t xml:space="preserve"> grade through to graduation, must have compliant annual secondary transition plans based on current transition assessment data.  </w:t>
      </w:r>
    </w:p>
    <w:p w14:paraId="648C3D49" w14:textId="77777777" w:rsidR="00613581" w:rsidRDefault="00613581" w:rsidP="00613581">
      <w:r>
        <w:t xml:space="preserve">Valid and Reliable Data Submission Timely – The LEA has submitted valid and reliable data timely for compliance indicators. </w:t>
      </w:r>
    </w:p>
    <w:p w14:paraId="7317F60E" w14:textId="77777777" w:rsidR="00613581" w:rsidRDefault="00613581" w:rsidP="00613581">
      <w:r>
        <w:t>Longstanding Noncompliance - LEAs that have been identified for one or more of the compliance indicators for two or more consecutive years will be identified by not adding two points to the LEAs determinations.</w:t>
      </w:r>
    </w:p>
    <w:p w14:paraId="79475D6F" w14:textId="77777777" w:rsidR="00613581" w:rsidRPr="004E0238" w:rsidRDefault="00613581" w:rsidP="00613581">
      <w:pPr>
        <w:pStyle w:val="Heading4"/>
      </w:pPr>
      <w:r>
        <w:t>Performance (Results Based) Indicator Descriptions</w:t>
      </w:r>
    </w:p>
    <w:p w14:paraId="41D87052" w14:textId="016A0168" w:rsidR="00613581" w:rsidRDefault="00613581" w:rsidP="00613581">
      <w:pPr>
        <w:pStyle w:val="ListParagraph"/>
        <w:numPr>
          <w:ilvl w:val="0"/>
          <w:numId w:val="32"/>
        </w:numPr>
      </w:pPr>
      <w:r w:rsidRPr="6952A7C3">
        <w:rPr>
          <w:u w:val="single"/>
        </w:rPr>
        <w:t>Indicator 1A</w:t>
      </w:r>
      <w:r>
        <w:t>: Percent of youth</w:t>
      </w:r>
      <w:r w:rsidR="414E8866">
        <w:t>, aged 14-21</w:t>
      </w:r>
      <w:r>
        <w:t xml:space="preserve">with IEPs who </w:t>
      </w:r>
      <w:r w:rsidR="1BC837F7">
        <w:t>exited</w:t>
      </w:r>
      <w:r w:rsidR="1EEEB54F">
        <w:t xml:space="preserve"> as graduated wi</w:t>
      </w:r>
      <w:r>
        <w:t xml:space="preserve">th a </w:t>
      </w:r>
      <w:r w:rsidR="43BFF48D">
        <w:t>standard</w:t>
      </w:r>
      <w:r>
        <w:t xml:space="preserve"> diploma.</w:t>
      </w:r>
    </w:p>
    <w:p w14:paraId="2759E384" w14:textId="7EA20C9A" w:rsidR="00613581" w:rsidRPr="004E0238" w:rsidRDefault="00613581" w:rsidP="00613581">
      <w:pPr>
        <w:pStyle w:val="ListParagraph"/>
        <w:numPr>
          <w:ilvl w:val="0"/>
          <w:numId w:val="32"/>
        </w:numPr>
      </w:pPr>
      <w:r w:rsidRPr="6952A7C3">
        <w:rPr>
          <w:u w:val="single"/>
        </w:rPr>
        <w:t>Indicator 1B:</w:t>
      </w:r>
      <w:r>
        <w:t xml:space="preserve"> Percent of youth</w:t>
      </w:r>
      <w:r w:rsidR="1D03FA99">
        <w:t>, aged 14-21</w:t>
      </w:r>
      <w:r>
        <w:t xml:space="preserve"> with IEPs who </w:t>
      </w:r>
      <w:r w:rsidR="630BF00F">
        <w:t xml:space="preserve">exited as </w:t>
      </w:r>
      <w:r>
        <w:t xml:space="preserve">graduated with a </w:t>
      </w:r>
      <w:r w:rsidR="409A3C45">
        <w:t>standard</w:t>
      </w:r>
      <w:r>
        <w:t xml:space="preserve"> diploma</w:t>
      </w:r>
      <w:r w:rsidR="04C6CD66">
        <w:t xml:space="preserve"> and graduated with an alternate diploma</w:t>
      </w:r>
      <w:r>
        <w:t>.</w:t>
      </w:r>
    </w:p>
    <w:p w14:paraId="3E79FDBE" w14:textId="77777777" w:rsidR="00613581" w:rsidRPr="004E0238" w:rsidRDefault="00613581" w:rsidP="00613581">
      <w:pPr>
        <w:pStyle w:val="ListParagraph"/>
        <w:numPr>
          <w:ilvl w:val="0"/>
          <w:numId w:val="32"/>
        </w:numPr>
      </w:pPr>
      <w:r w:rsidRPr="5EF294CC">
        <w:rPr>
          <w:u w:val="single"/>
        </w:rPr>
        <w:t>Indicator 3A</w:t>
      </w:r>
      <w:r>
        <w:t>: Percent of all students with IEPs participating in a state assessment, for grades 4, 8, 11.</w:t>
      </w:r>
    </w:p>
    <w:p w14:paraId="6908441A" w14:textId="77777777" w:rsidR="00613581" w:rsidRPr="004E0238" w:rsidRDefault="00613581" w:rsidP="00613581">
      <w:pPr>
        <w:pStyle w:val="ListParagraph"/>
        <w:numPr>
          <w:ilvl w:val="0"/>
          <w:numId w:val="32"/>
        </w:numPr>
      </w:pPr>
      <w:r w:rsidRPr="004E0238">
        <w:rPr>
          <w:u w:val="single"/>
        </w:rPr>
        <w:t>Indicator 3B</w:t>
      </w:r>
      <w:r>
        <w:t>:</w:t>
      </w:r>
      <w:r w:rsidRPr="004E0238">
        <w:t xml:space="preserve"> Percent of students with IEPs who achieve proficient+ on the regular (OSTP) assessment for reading and math grades 4, 8, and 11.</w:t>
      </w:r>
    </w:p>
    <w:p w14:paraId="7D2990BA" w14:textId="77777777" w:rsidR="00613581" w:rsidRPr="004E0238" w:rsidRDefault="00613581" w:rsidP="00613581">
      <w:pPr>
        <w:pStyle w:val="ListParagraph"/>
        <w:numPr>
          <w:ilvl w:val="0"/>
          <w:numId w:val="32"/>
        </w:numPr>
      </w:pPr>
      <w:r w:rsidRPr="03D650D9">
        <w:rPr>
          <w:u w:val="single"/>
        </w:rPr>
        <w:t>Indicator 7 (A1, B1, C1)</w:t>
      </w:r>
      <w:r>
        <w:t>: For each outcome, the percentage of children ages 3-5 who improved functioning to a level nearer to or comparable to same-aged peers when exiting the preschool special education program.</w:t>
      </w:r>
    </w:p>
    <w:p w14:paraId="3EA2365E" w14:textId="58BBEFFB" w:rsidR="00613581" w:rsidRDefault="00613581" w:rsidP="00613581">
      <w:r w:rsidRPr="249113C7">
        <w:rPr>
          <w:b/>
          <w:bCs/>
        </w:rPr>
        <w:t>Note:</w:t>
      </w:r>
      <w:r>
        <w:t xml:space="preserve"> LEAs with any indicators that fall below the target must be addressed regardless of the DMR Level status. </w:t>
      </w:r>
    </w:p>
    <w:p w14:paraId="700C854B" w14:textId="77777777" w:rsidR="00613581" w:rsidRDefault="00613581" w:rsidP="00613581">
      <w:pPr>
        <w:rPr>
          <w:b/>
          <w:bCs/>
        </w:rPr>
      </w:pPr>
    </w:p>
    <w:p w14:paraId="2B628396" w14:textId="34D28D7C" w:rsidR="00613581" w:rsidRDefault="00613581" w:rsidP="00613581">
      <w:pPr>
        <w:rPr>
          <w:b/>
          <w:bCs/>
        </w:rPr>
      </w:pPr>
      <w:r w:rsidRPr="2469CE08">
        <w:rPr>
          <w:b/>
          <w:bCs/>
        </w:rPr>
        <w:t xml:space="preserve">Bonus Points </w:t>
      </w:r>
    </w:p>
    <w:p w14:paraId="55ECA368" w14:textId="77777777" w:rsidR="00613581" w:rsidRPr="009F47DF" w:rsidRDefault="00613581" w:rsidP="00613581">
      <w:r>
        <w:t xml:space="preserve">Indicator 3B: </w:t>
      </w:r>
      <w:r w:rsidRPr="009F47DF">
        <w:t xml:space="preserve">The opportunity </w:t>
      </w:r>
      <w:r>
        <w:t xml:space="preserve">to earn a </w:t>
      </w:r>
      <w:r w:rsidRPr="009F47DF">
        <w:t>half a point for any growth for each grade (4</w:t>
      </w:r>
      <w:r w:rsidRPr="009F47DF">
        <w:rPr>
          <w:vertAlign w:val="superscript"/>
        </w:rPr>
        <w:t>th</w:t>
      </w:r>
      <w:r w:rsidRPr="009F47DF">
        <w:t>, 8</w:t>
      </w:r>
      <w:r w:rsidRPr="009F47DF">
        <w:rPr>
          <w:vertAlign w:val="superscript"/>
        </w:rPr>
        <w:t>th</w:t>
      </w:r>
      <w:r w:rsidRPr="009F47DF">
        <w:t>, and 11</w:t>
      </w:r>
      <w:r w:rsidRPr="009F47DF">
        <w:rPr>
          <w:vertAlign w:val="superscript"/>
        </w:rPr>
        <w:t>th</w:t>
      </w:r>
      <w:r w:rsidRPr="009F47DF">
        <w:t xml:space="preserve">) for a possible </w:t>
      </w:r>
      <w:r>
        <w:t>3.0 total points (</w:t>
      </w:r>
      <w:r w:rsidRPr="009F47DF">
        <w:t>1.5 bonus points</w:t>
      </w:r>
      <w:r>
        <w:t xml:space="preserve"> for reading and 1.5 bonus points for math).</w:t>
      </w:r>
      <w:r w:rsidRPr="009F47DF">
        <w:t xml:space="preserve"> </w:t>
      </w:r>
    </w:p>
    <w:p w14:paraId="7245AEC9" w14:textId="77777777" w:rsidR="00613581" w:rsidRPr="004D2525" w:rsidRDefault="00613581" w:rsidP="00613581">
      <w:pPr>
        <w:pStyle w:val="Heading4"/>
      </w:pPr>
      <w:r>
        <w:t>Determination Rating Tiers</w:t>
      </w:r>
    </w:p>
    <w:p w14:paraId="764F4556" w14:textId="77777777" w:rsidR="00613581" w:rsidRDefault="00613581" w:rsidP="00613581">
      <w:pPr>
        <w:spacing w:after="0"/>
      </w:pPr>
      <w:r>
        <w:t xml:space="preserve">Each determination level corresponds to a total percentage calculation measuring the LEA’s achievement in the compliance and performance indicators. Table 3 shows the percentage calculation corresponding to each determination tier. The LEA’s tier contributes to its DMR and corresponding level of support. LEAs identified as </w:t>
      </w:r>
      <w:r w:rsidRPr="2469CE08">
        <w:rPr>
          <w:i/>
          <w:iCs/>
        </w:rPr>
        <w:t xml:space="preserve">Meets Requirements </w:t>
      </w:r>
      <w:r>
        <w:t xml:space="preserve">demonstrate adequate compliance and performance on targeted indicators for the implementation </w:t>
      </w:r>
      <w:r>
        <w:lastRenderedPageBreak/>
        <w:t xml:space="preserve">of IDEA. An LEA assigned to any tier that </w:t>
      </w:r>
      <w:r w:rsidRPr="2469CE08">
        <w:rPr>
          <w:i/>
          <w:iCs/>
        </w:rPr>
        <w:t>does not</w:t>
      </w:r>
      <w:r>
        <w:t xml:space="preserve"> adequately meet compliance and performance on targeted indicators for the implementation of the IDEA, will be required to engage in various monitoring and/or improvement activities, as described by its overall DMR and level of support. </w:t>
      </w:r>
    </w:p>
    <w:p w14:paraId="2C43BAC1" w14:textId="77777777" w:rsidR="00613581" w:rsidRPr="000A318A" w:rsidRDefault="00613581" w:rsidP="00613581"/>
    <w:p w14:paraId="6A8DA613" w14:textId="3D604C7D" w:rsidR="00613581" w:rsidRDefault="00613581" w:rsidP="00613581">
      <w:pPr>
        <w:jc w:val="center"/>
      </w:pPr>
      <w:r w:rsidRPr="5EF294CC">
        <w:rPr>
          <w:sz w:val="28"/>
        </w:rPr>
        <w:t xml:space="preserve">Table </w:t>
      </w:r>
      <w:r>
        <w:rPr>
          <w:sz w:val="28"/>
        </w:rPr>
        <w:t>3</w:t>
      </w:r>
      <w:r w:rsidRPr="5EF294CC">
        <w:rPr>
          <w:sz w:val="28"/>
        </w:rPr>
        <w:t>: Determination Tiers</w:t>
      </w:r>
    </w:p>
    <w:tbl>
      <w:tblPr>
        <w:tblStyle w:val="GridTable4-Accent2"/>
        <w:tblpPr w:leftFromText="288" w:rightFromText="288" w:bottomFromText="144" w:vertAnchor="page" w:horzAnchor="margin" w:tblpXSpec="center" w:tblpY="29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80" w:firstRow="0" w:lastRow="0" w:firstColumn="1" w:lastColumn="0" w:noHBand="0" w:noVBand="1"/>
      </w:tblPr>
      <w:tblGrid>
        <w:gridCol w:w="3870"/>
        <w:gridCol w:w="2425"/>
      </w:tblGrid>
      <w:tr w:rsidR="00D02EFF" w:rsidRPr="0065264A" w14:paraId="1A98D99C" w14:textId="77777777" w:rsidTr="00D02EFF">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870" w:type="dxa"/>
            <w:tcBorders>
              <w:top w:val="single" w:sz="4" w:space="0" w:color="auto"/>
              <w:left w:val="single" w:sz="4" w:space="0" w:color="auto"/>
              <w:bottom w:val="single" w:sz="4" w:space="0" w:color="auto"/>
              <w:right w:val="single" w:sz="4" w:space="0" w:color="auto"/>
            </w:tcBorders>
            <w:shd w:val="clear" w:color="auto" w:fill="A6B727" w:themeFill="accent2"/>
            <w:vAlign w:val="center"/>
          </w:tcPr>
          <w:p w14:paraId="0539F9B7" w14:textId="77777777" w:rsidR="00D02EFF" w:rsidRPr="00030438" w:rsidRDefault="00D02EFF" w:rsidP="00D02EFF">
            <w:pPr>
              <w:pStyle w:val="NoSpacing"/>
              <w:jc w:val="center"/>
              <w:rPr>
                <w:sz w:val="24"/>
                <w:szCs w:val="24"/>
              </w:rPr>
            </w:pPr>
            <w:r w:rsidRPr="2469CE08">
              <w:rPr>
                <w:sz w:val="24"/>
                <w:szCs w:val="24"/>
              </w:rPr>
              <w:t>Determination Rating</w:t>
            </w:r>
          </w:p>
        </w:tc>
        <w:tc>
          <w:tcPr>
            <w:tcW w:w="2425" w:type="dxa"/>
            <w:tcBorders>
              <w:top w:val="single" w:sz="4" w:space="0" w:color="auto"/>
              <w:left w:val="single" w:sz="4" w:space="0" w:color="auto"/>
              <w:bottom w:val="single" w:sz="4" w:space="0" w:color="auto"/>
              <w:right w:val="single" w:sz="4" w:space="0" w:color="auto"/>
            </w:tcBorders>
            <w:shd w:val="clear" w:color="auto" w:fill="A6B727" w:themeFill="accent2"/>
            <w:vAlign w:val="center"/>
          </w:tcPr>
          <w:p w14:paraId="1C2D8D77" w14:textId="77777777" w:rsidR="00D02EFF" w:rsidRPr="00030438" w:rsidRDefault="00D02EFF" w:rsidP="00D02EFF">
            <w:pPr>
              <w:pStyle w:val="NoSpacing"/>
              <w:jc w:val="center"/>
              <w:cnfStyle w:val="000000100000" w:firstRow="0" w:lastRow="0" w:firstColumn="0" w:lastColumn="0" w:oddVBand="0" w:evenVBand="0" w:oddHBand="1" w:evenHBand="0" w:firstRowFirstColumn="0" w:firstRowLastColumn="0" w:lastRowFirstColumn="0" w:lastRowLastColumn="0"/>
              <w:rPr>
                <w:b/>
                <w:bCs/>
                <w:sz w:val="24"/>
                <w:szCs w:val="24"/>
              </w:rPr>
            </w:pPr>
            <w:r w:rsidRPr="2469CE08">
              <w:rPr>
                <w:b/>
                <w:bCs/>
                <w:sz w:val="24"/>
                <w:szCs w:val="24"/>
              </w:rPr>
              <w:t>Rating Percentage</w:t>
            </w:r>
          </w:p>
        </w:tc>
      </w:tr>
      <w:tr w:rsidR="00D02EFF" w:rsidRPr="004D2525" w14:paraId="72C55CD1" w14:textId="77777777" w:rsidTr="00D02EFF">
        <w:trPr>
          <w:trHeight w:val="360"/>
        </w:trPr>
        <w:tc>
          <w:tcPr>
            <w:cnfStyle w:val="001000000000" w:firstRow="0" w:lastRow="0" w:firstColumn="1" w:lastColumn="0" w:oddVBand="0" w:evenVBand="0" w:oddHBand="0" w:evenHBand="0" w:firstRowFirstColumn="0" w:firstRowLastColumn="0" w:lastRowFirstColumn="0" w:lastRowLastColumn="0"/>
            <w:tcW w:w="3870" w:type="dxa"/>
            <w:tcBorders>
              <w:top w:val="single" w:sz="4" w:space="0" w:color="auto"/>
            </w:tcBorders>
            <w:vAlign w:val="center"/>
          </w:tcPr>
          <w:p w14:paraId="74E1052B" w14:textId="77777777" w:rsidR="00D02EFF" w:rsidRPr="008801BE" w:rsidRDefault="00D02EFF" w:rsidP="00D02EFF">
            <w:pPr>
              <w:spacing w:after="0"/>
              <w:jc w:val="left"/>
            </w:pPr>
            <w:r>
              <w:rPr>
                <w:b w:val="0"/>
                <w:bCs w:val="0"/>
              </w:rPr>
              <w:t>Tier 1: Meets Requirements</w:t>
            </w:r>
          </w:p>
        </w:tc>
        <w:tc>
          <w:tcPr>
            <w:tcW w:w="2425" w:type="dxa"/>
            <w:tcBorders>
              <w:top w:val="single" w:sz="4" w:space="0" w:color="auto"/>
            </w:tcBorders>
            <w:vAlign w:val="center"/>
          </w:tcPr>
          <w:p w14:paraId="7790381B" w14:textId="77777777" w:rsidR="00D02EFF" w:rsidRPr="008801BE" w:rsidRDefault="00D02EFF" w:rsidP="00D02EFF">
            <w:pPr>
              <w:spacing w:after="0"/>
              <w:jc w:val="left"/>
              <w:cnfStyle w:val="000000000000" w:firstRow="0" w:lastRow="0" w:firstColumn="0" w:lastColumn="0" w:oddVBand="0" w:evenVBand="0" w:oddHBand="0" w:evenHBand="0" w:firstRowFirstColumn="0" w:firstRowLastColumn="0" w:lastRowFirstColumn="0" w:lastRowLastColumn="0"/>
            </w:pPr>
            <w:r w:rsidRPr="0041578E">
              <w:rPr>
                <w:rFonts w:eastAsia="Times New Roman" w:cs="Segoe UI"/>
                <w:bCs/>
              </w:rPr>
              <w:t>8</w:t>
            </w:r>
            <w:r>
              <w:rPr>
                <w:rFonts w:eastAsia="Times New Roman" w:cs="Segoe UI"/>
                <w:bCs/>
              </w:rPr>
              <w:t>0</w:t>
            </w:r>
            <w:r w:rsidRPr="0041578E">
              <w:rPr>
                <w:rFonts w:eastAsia="Times New Roman" w:cs="Segoe UI"/>
                <w:bCs/>
              </w:rPr>
              <w:t>% to 100%</w:t>
            </w:r>
          </w:p>
        </w:tc>
      </w:tr>
      <w:tr w:rsidR="00D02EFF" w:rsidRPr="004D2525" w14:paraId="0E4EBDF5" w14:textId="77777777" w:rsidTr="00D02EFF">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870" w:type="dxa"/>
            <w:vAlign w:val="center"/>
          </w:tcPr>
          <w:p w14:paraId="1886A541" w14:textId="77777777" w:rsidR="00D02EFF" w:rsidRPr="008801BE" w:rsidRDefault="00D02EFF" w:rsidP="00D02EFF">
            <w:pPr>
              <w:spacing w:after="0"/>
              <w:jc w:val="left"/>
            </w:pPr>
            <w:r>
              <w:rPr>
                <w:b w:val="0"/>
                <w:bCs w:val="0"/>
              </w:rPr>
              <w:t>Tier 2: Needs Assistance</w:t>
            </w:r>
          </w:p>
        </w:tc>
        <w:tc>
          <w:tcPr>
            <w:tcW w:w="2425" w:type="dxa"/>
            <w:vAlign w:val="center"/>
          </w:tcPr>
          <w:p w14:paraId="007E74AD" w14:textId="77777777" w:rsidR="00D02EFF" w:rsidRPr="00AB408F" w:rsidRDefault="00D02EFF" w:rsidP="00D02EFF">
            <w:pPr>
              <w:spacing w:after="0"/>
              <w:jc w:val="left"/>
              <w:cnfStyle w:val="000000100000" w:firstRow="0" w:lastRow="0" w:firstColumn="0" w:lastColumn="0" w:oddVBand="0" w:evenVBand="0" w:oddHBand="1" w:evenHBand="0" w:firstRowFirstColumn="0" w:firstRowLastColumn="0" w:lastRowFirstColumn="0" w:lastRowLastColumn="0"/>
            </w:pPr>
            <w:r w:rsidRPr="00AB408F">
              <w:rPr>
                <w:rFonts w:eastAsia="Times New Roman" w:cs="Segoe UI"/>
                <w:bCs/>
              </w:rPr>
              <w:t>65% to 79.9%</w:t>
            </w:r>
          </w:p>
        </w:tc>
      </w:tr>
      <w:tr w:rsidR="00D02EFF" w:rsidRPr="004D2525" w14:paraId="44E3842C" w14:textId="77777777" w:rsidTr="00D02EFF">
        <w:trPr>
          <w:trHeight w:val="360"/>
        </w:trPr>
        <w:tc>
          <w:tcPr>
            <w:cnfStyle w:val="001000000000" w:firstRow="0" w:lastRow="0" w:firstColumn="1" w:lastColumn="0" w:oddVBand="0" w:evenVBand="0" w:oddHBand="0" w:evenHBand="0" w:firstRowFirstColumn="0" w:firstRowLastColumn="0" w:lastRowFirstColumn="0" w:lastRowLastColumn="0"/>
            <w:tcW w:w="3870" w:type="dxa"/>
            <w:vAlign w:val="center"/>
          </w:tcPr>
          <w:p w14:paraId="7DDA20D1" w14:textId="77777777" w:rsidR="00D02EFF" w:rsidRPr="008801BE" w:rsidRDefault="00D02EFF" w:rsidP="00D02EFF">
            <w:pPr>
              <w:spacing w:after="0"/>
              <w:jc w:val="left"/>
            </w:pPr>
            <w:r>
              <w:rPr>
                <w:b w:val="0"/>
                <w:bCs w:val="0"/>
              </w:rPr>
              <w:t>Tier 3: Needs Intervention</w:t>
            </w:r>
          </w:p>
        </w:tc>
        <w:tc>
          <w:tcPr>
            <w:tcW w:w="2425" w:type="dxa"/>
            <w:vAlign w:val="center"/>
          </w:tcPr>
          <w:p w14:paraId="3429DBD7" w14:textId="77777777" w:rsidR="00D02EFF" w:rsidRPr="00AB408F" w:rsidRDefault="00D02EFF" w:rsidP="00D02EFF">
            <w:pPr>
              <w:spacing w:after="0"/>
              <w:jc w:val="left"/>
              <w:cnfStyle w:val="000000000000" w:firstRow="0" w:lastRow="0" w:firstColumn="0" w:lastColumn="0" w:oddVBand="0" w:evenVBand="0" w:oddHBand="0" w:evenHBand="0" w:firstRowFirstColumn="0" w:firstRowLastColumn="0" w:lastRowFirstColumn="0" w:lastRowLastColumn="0"/>
            </w:pPr>
            <w:r w:rsidRPr="00AB408F">
              <w:rPr>
                <w:rFonts w:eastAsia="Times New Roman" w:cs="Segoe UI"/>
                <w:bCs/>
              </w:rPr>
              <w:t>50% to 64.9%</w:t>
            </w:r>
          </w:p>
        </w:tc>
      </w:tr>
      <w:tr w:rsidR="00D02EFF" w:rsidRPr="004D2525" w14:paraId="115A2278" w14:textId="77777777" w:rsidTr="00D02EFF">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870" w:type="dxa"/>
            <w:vAlign w:val="center"/>
          </w:tcPr>
          <w:p w14:paraId="6752673F" w14:textId="77777777" w:rsidR="00D02EFF" w:rsidRPr="008801BE" w:rsidRDefault="00D02EFF" w:rsidP="00D02EFF">
            <w:pPr>
              <w:spacing w:after="0"/>
              <w:jc w:val="left"/>
            </w:pPr>
            <w:r>
              <w:rPr>
                <w:b w:val="0"/>
                <w:bCs w:val="0"/>
              </w:rPr>
              <w:t>Tier 4: Needs Substantial Intervention</w:t>
            </w:r>
          </w:p>
        </w:tc>
        <w:tc>
          <w:tcPr>
            <w:tcW w:w="2425" w:type="dxa"/>
            <w:vAlign w:val="center"/>
          </w:tcPr>
          <w:p w14:paraId="5F4FBEDE" w14:textId="77777777" w:rsidR="00D02EFF" w:rsidRPr="00AB408F" w:rsidRDefault="00D02EFF" w:rsidP="00D02EFF">
            <w:pPr>
              <w:spacing w:after="0"/>
              <w:jc w:val="left"/>
              <w:cnfStyle w:val="000000100000" w:firstRow="0" w:lastRow="0" w:firstColumn="0" w:lastColumn="0" w:oddVBand="0" w:evenVBand="0" w:oddHBand="1" w:evenHBand="0" w:firstRowFirstColumn="0" w:firstRowLastColumn="0" w:lastRowFirstColumn="0" w:lastRowLastColumn="0"/>
            </w:pPr>
            <w:r w:rsidRPr="00AB408F">
              <w:rPr>
                <w:rFonts w:eastAsia="Times New Roman" w:cs="Segoe UI"/>
                <w:bCs/>
              </w:rPr>
              <w:t>less than 50%</w:t>
            </w:r>
          </w:p>
        </w:tc>
      </w:tr>
    </w:tbl>
    <w:p w14:paraId="0016E45B" w14:textId="77777777" w:rsidR="00613581" w:rsidRDefault="00613581" w:rsidP="00613581">
      <w:pPr>
        <w:ind w:firstLine="720"/>
      </w:pPr>
    </w:p>
    <w:p w14:paraId="132C6502" w14:textId="77777777" w:rsidR="00D02EFF" w:rsidRDefault="00D02EFF" w:rsidP="00613581">
      <w:pPr>
        <w:ind w:firstLine="720"/>
      </w:pPr>
    </w:p>
    <w:p w14:paraId="0B6150F9" w14:textId="77777777" w:rsidR="00D02EFF" w:rsidRDefault="00D02EFF" w:rsidP="00613581">
      <w:pPr>
        <w:ind w:firstLine="720"/>
      </w:pPr>
    </w:p>
    <w:p w14:paraId="62C3ACC9" w14:textId="77777777" w:rsidR="00D02EFF" w:rsidRDefault="00D02EFF" w:rsidP="00613581">
      <w:pPr>
        <w:ind w:firstLine="720"/>
      </w:pPr>
    </w:p>
    <w:p w14:paraId="3106E449" w14:textId="77777777" w:rsidR="00D02EFF" w:rsidRDefault="00D02EFF" w:rsidP="00613581">
      <w:pPr>
        <w:ind w:firstLine="720"/>
      </w:pPr>
    </w:p>
    <w:p w14:paraId="272DF27F" w14:textId="77777777" w:rsidR="00D02EFF" w:rsidRPr="00613581" w:rsidRDefault="00D02EFF" w:rsidP="00613581">
      <w:pPr>
        <w:ind w:firstLine="720"/>
      </w:pPr>
    </w:p>
    <w:p w14:paraId="18F8292D" w14:textId="5CFCC8FD" w:rsidR="00613581" w:rsidRDefault="00613581" w:rsidP="00613581">
      <w:pPr>
        <w:pStyle w:val="Heading3"/>
      </w:pPr>
      <w:r>
        <w:t>Risk Assessment</w:t>
      </w:r>
    </w:p>
    <w:p w14:paraId="03505135" w14:textId="77777777" w:rsidR="00613581" w:rsidRDefault="00613581" w:rsidP="00613581">
      <w:r>
        <w:t xml:space="preserve">The risk score is a measure of an LEA’s risk to the SEA. Each LEA is assigned a risk category based on its risk score that contributes to the LEA’s DMR and corresponding level of support. Table 2 lists the eleven factors included in the risk factor score and their factor weights. </w:t>
      </w:r>
    </w:p>
    <w:p w14:paraId="3B481806" w14:textId="77777777" w:rsidR="00613581" w:rsidRDefault="00613581" w:rsidP="00613581">
      <w:pPr>
        <w:pStyle w:val="Heading4"/>
      </w:pPr>
      <w:r>
        <w:t>Risk Factor Definitions</w:t>
      </w:r>
    </w:p>
    <w:p w14:paraId="57CE79BE" w14:textId="77777777" w:rsidR="00613581" w:rsidRDefault="00613581" w:rsidP="00613581">
      <w:pPr>
        <w:pStyle w:val="ListParagraph"/>
        <w:numPr>
          <w:ilvl w:val="0"/>
          <w:numId w:val="30"/>
        </w:numPr>
      </w:pPr>
      <w:r w:rsidRPr="5EF294CC">
        <w:rPr>
          <w:u w:val="single"/>
        </w:rPr>
        <w:t>MOE Results:</w:t>
      </w:r>
      <w:r>
        <w:t xml:space="preserve"> LEAs must expend an equal amount of state and/or local funds from year to year. LEAs not meeting Maintenance of Effort (MOE) are subject to a penalty for failure to meet MOE and funds could be withheld from State Aid, increasing the risk to the SEA.  Scoring Elements:</w:t>
      </w:r>
    </w:p>
    <w:p w14:paraId="27215D85" w14:textId="77777777" w:rsidR="00613581" w:rsidRDefault="00613581" w:rsidP="00613581">
      <w:pPr>
        <w:pStyle w:val="ListParagraph"/>
        <w:numPr>
          <w:ilvl w:val="1"/>
          <w:numId w:val="30"/>
        </w:numPr>
      </w:pPr>
      <w:r>
        <w:rPr>
          <w:u w:val="single"/>
        </w:rPr>
        <w:t>Met MOE:</w:t>
      </w:r>
      <w:r>
        <w:t xml:space="preserve"> zero points</w:t>
      </w:r>
    </w:p>
    <w:p w14:paraId="460D7595" w14:textId="77777777" w:rsidR="00613581" w:rsidRDefault="00613581" w:rsidP="00613581">
      <w:pPr>
        <w:pStyle w:val="ListParagraph"/>
        <w:numPr>
          <w:ilvl w:val="1"/>
          <w:numId w:val="30"/>
        </w:numPr>
      </w:pPr>
      <w:r>
        <w:rPr>
          <w:u w:val="single"/>
        </w:rPr>
        <w:t>Not met MOE:</w:t>
      </w:r>
      <w:r>
        <w:t xml:space="preserve"> 10 points</w:t>
      </w:r>
    </w:p>
    <w:p w14:paraId="0D64ACCC" w14:textId="77777777" w:rsidR="00613581" w:rsidRDefault="00613581" w:rsidP="00613581">
      <w:pPr>
        <w:pStyle w:val="ListParagraph"/>
        <w:numPr>
          <w:ilvl w:val="0"/>
          <w:numId w:val="30"/>
        </w:numPr>
        <w:spacing w:after="160"/>
      </w:pPr>
      <w:r w:rsidRPr="5EF294CC">
        <w:rPr>
          <w:u w:val="single"/>
        </w:rPr>
        <w:t>Timely &amp; Finalized Assurances and LEA Agreements</w:t>
      </w:r>
      <w:r>
        <w:t>: LEAs must complete the Oklahoma Assurances and LEA Agreement by June 30 annually.  Scoring Elements:</w:t>
      </w:r>
    </w:p>
    <w:p w14:paraId="6A45D584" w14:textId="77777777" w:rsidR="00613581" w:rsidRDefault="00613581" w:rsidP="00613581">
      <w:pPr>
        <w:pStyle w:val="ListParagraph"/>
        <w:numPr>
          <w:ilvl w:val="1"/>
          <w:numId w:val="30"/>
        </w:numPr>
        <w:spacing w:after="160"/>
      </w:pPr>
      <w:r>
        <w:rPr>
          <w:u w:val="single"/>
        </w:rPr>
        <w:t>Met submission requirements:</w:t>
      </w:r>
      <w:r>
        <w:t xml:space="preserve"> zero points</w:t>
      </w:r>
    </w:p>
    <w:p w14:paraId="141D06C4" w14:textId="77777777" w:rsidR="00613581" w:rsidRDefault="00613581" w:rsidP="00613581">
      <w:pPr>
        <w:pStyle w:val="ListParagraph"/>
        <w:numPr>
          <w:ilvl w:val="1"/>
          <w:numId w:val="30"/>
        </w:numPr>
        <w:spacing w:after="160"/>
      </w:pPr>
      <w:r>
        <w:rPr>
          <w:u w:val="single"/>
        </w:rPr>
        <w:t>Not met (late or unfinished):</w:t>
      </w:r>
      <w:r>
        <w:t xml:space="preserve"> 1 point</w:t>
      </w:r>
    </w:p>
    <w:p w14:paraId="38995090" w14:textId="77777777" w:rsidR="00613581" w:rsidRPr="00DB1FB7" w:rsidRDefault="00613581" w:rsidP="00613581">
      <w:pPr>
        <w:pStyle w:val="ListParagraph"/>
        <w:numPr>
          <w:ilvl w:val="1"/>
          <w:numId w:val="30"/>
        </w:numPr>
        <w:spacing w:after="160"/>
      </w:pPr>
      <w:r>
        <w:rPr>
          <w:u w:val="single"/>
        </w:rPr>
        <w:t>Not met (late or unfinished for two or more years in a row):</w:t>
      </w:r>
      <w:r>
        <w:t xml:space="preserve"> 3 points</w:t>
      </w:r>
    </w:p>
    <w:p w14:paraId="6CB48977" w14:textId="77777777" w:rsidR="00613581" w:rsidRDefault="00613581" w:rsidP="00613581">
      <w:pPr>
        <w:pStyle w:val="ListParagraph"/>
        <w:numPr>
          <w:ilvl w:val="0"/>
          <w:numId w:val="30"/>
        </w:numPr>
        <w:spacing w:after="160"/>
      </w:pPr>
      <w:r w:rsidRPr="5EF294CC">
        <w:rPr>
          <w:u w:val="single"/>
        </w:rPr>
        <w:t>Size of Award</w:t>
      </w:r>
      <w:r>
        <w:t>: The higher the award amount, the higher the financial risk to the SEA. Scoring Elements:</w:t>
      </w:r>
    </w:p>
    <w:p w14:paraId="650A7C4F" w14:textId="77777777" w:rsidR="00613581" w:rsidRDefault="00613581" w:rsidP="00613581">
      <w:pPr>
        <w:pStyle w:val="ListParagraph"/>
        <w:numPr>
          <w:ilvl w:val="1"/>
          <w:numId w:val="30"/>
        </w:numPr>
        <w:spacing w:after="160"/>
      </w:pPr>
      <w:r>
        <w:rPr>
          <w:u w:val="single"/>
        </w:rPr>
        <w:t>&lt;$100,000:</w:t>
      </w:r>
      <w:r>
        <w:t xml:space="preserve"> zero points</w:t>
      </w:r>
    </w:p>
    <w:p w14:paraId="5E4FDA0F" w14:textId="77777777" w:rsidR="00613581" w:rsidRDefault="00613581" w:rsidP="00613581">
      <w:pPr>
        <w:pStyle w:val="ListParagraph"/>
        <w:numPr>
          <w:ilvl w:val="1"/>
          <w:numId w:val="30"/>
        </w:numPr>
        <w:spacing w:after="160"/>
      </w:pPr>
      <w:r>
        <w:rPr>
          <w:u w:val="single"/>
        </w:rPr>
        <w:t>$100,000 to 500,000:</w:t>
      </w:r>
      <w:r>
        <w:t xml:space="preserve"> 1 point</w:t>
      </w:r>
    </w:p>
    <w:p w14:paraId="386D58DA" w14:textId="77777777" w:rsidR="00613581" w:rsidRDefault="00613581" w:rsidP="00613581">
      <w:pPr>
        <w:pStyle w:val="ListParagraph"/>
        <w:numPr>
          <w:ilvl w:val="1"/>
          <w:numId w:val="30"/>
        </w:numPr>
        <w:spacing w:after="160"/>
      </w:pPr>
      <w:r>
        <w:rPr>
          <w:u w:val="single"/>
        </w:rPr>
        <w:t>$500,000 to 900,000:</w:t>
      </w:r>
      <w:r>
        <w:t xml:space="preserve"> 2 points  </w:t>
      </w:r>
    </w:p>
    <w:p w14:paraId="55F67025" w14:textId="77777777" w:rsidR="00613581" w:rsidRDefault="00613581" w:rsidP="00613581">
      <w:pPr>
        <w:pStyle w:val="ListParagraph"/>
        <w:numPr>
          <w:ilvl w:val="1"/>
          <w:numId w:val="30"/>
        </w:numPr>
        <w:spacing w:after="160"/>
      </w:pPr>
      <w:r>
        <w:rPr>
          <w:u w:val="single"/>
        </w:rPr>
        <w:t>&gt;$900,000:</w:t>
      </w:r>
      <w:r>
        <w:t xml:space="preserve"> 3 points           </w:t>
      </w:r>
    </w:p>
    <w:p w14:paraId="6A392A2F" w14:textId="59586BB4" w:rsidR="00613581" w:rsidRPr="0044160A" w:rsidRDefault="00613581" w:rsidP="00613581">
      <w:pPr>
        <w:pStyle w:val="ListParagraph"/>
        <w:numPr>
          <w:ilvl w:val="0"/>
          <w:numId w:val="30"/>
        </w:numPr>
        <w:spacing w:after="160"/>
        <w:rPr>
          <w:u w:val="single"/>
        </w:rPr>
      </w:pPr>
      <w:r w:rsidRPr="2469CE08">
        <w:rPr>
          <w:u w:val="single"/>
        </w:rPr>
        <w:t>Change in SPED Director</w:t>
      </w:r>
      <w:r>
        <w:t>: LEAs who have appointed or assigned the special education duties to a new individual in the past two years will receive a higher risk score.</w:t>
      </w:r>
      <w:r w:rsidR="70EC2F39">
        <w:t xml:space="preserve"> </w:t>
      </w:r>
      <w:r>
        <w:t>Scoring Elements:</w:t>
      </w:r>
    </w:p>
    <w:p w14:paraId="2E1438BF" w14:textId="77777777" w:rsidR="00613581" w:rsidRDefault="00613581" w:rsidP="00613581">
      <w:pPr>
        <w:pStyle w:val="ListParagraph"/>
        <w:numPr>
          <w:ilvl w:val="1"/>
          <w:numId w:val="30"/>
        </w:numPr>
        <w:spacing w:after="160"/>
        <w:rPr>
          <w:u w:val="single"/>
        </w:rPr>
      </w:pPr>
      <w:r>
        <w:rPr>
          <w:u w:val="single"/>
        </w:rPr>
        <w:t>No change in two+ years:</w:t>
      </w:r>
      <w:r w:rsidRPr="0044160A">
        <w:t xml:space="preserve"> zero points</w:t>
      </w:r>
    </w:p>
    <w:p w14:paraId="58D1D1E6" w14:textId="77777777" w:rsidR="00613581" w:rsidRDefault="00613581" w:rsidP="00613581">
      <w:pPr>
        <w:pStyle w:val="ListParagraph"/>
        <w:numPr>
          <w:ilvl w:val="1"/>
          <w:numId w:val="30"/>
        </w:numPr>
        <w:spacing w:after="160"/>
        <w:rPr>
          <w:u w:val="single"/>
        </w:rPr>
      </w:pPr>
      <w:r>
        <w:rPr>
          <w:u w:val="single"/>
        </w:rPr>
        <w:t>Second year in LEA:</w:t>
      </w:r>
      <w:r w:rsidRPr="0044160A">
        <w:t xml:space="preserve"> 1 point</w:t>
      </w:r>
    </w:p>
    <w:p w14:paraId="046E4E95" w14:textId="4E7CE4F1" w:rsidR="00613581" w:rsidRPr="00F40C90" w:rsidRDefault="00613581" w:rsidP="00613581">
      <w:pPr>
        <w:pStyle w:val="ListParagraph"/>
        <w:numPr>
          <w:ilvl w:val="1"/>
          <w:numId w:val="30"/>
        </w:numPr>
        <w:spacing w:after="160"/>
        <w:rPr>
          <w:u w:val="single"/>
        </w:rPr>
      </w:pPr>
      <w:r w:rsidRPr="668D6748">
        <w:rPr>
          <w:u w:val="single"/>
        </w:rPr>
        <w:t>First year in LEA:</w:t>
      </w:r>
      <w:r>
        <w:t xml:space="preserve"> 2 points</w:t>
      </w:r>
    </w:p>
    <w:p w14:paraId="16C95E6F" w14:textId="77777777" w:rsidR="00613581" w:rsidRDefault="00613581" w:rsidP="00613581">
      <w:pPr>
        <w:pStyle w:val="ListParagraph"/>
        <w:numPr>
          <w:ilvl w:val="0"/>
          <w:numId w:val="30"/>
        </w:numPr>
        <w:spacing w:after="160"/>
      </w:pPr>
      <w:r w:rsidRPr="5EF294CC">
        <w:rPr>
          <w:u w:val="single"/>
        </w:rPr>
        <w:t xml:space="preserve">Excess Cost Results: </w:t>
      </w:r>
      <w:r>
        <w:t>Excess Costs are costs over and above what the LEA spends on average for all students enrolled at the elementary or secondary level. Any LEA found not meeting excess cost could incur a penalty, requiring SEA to withhold a portion of funds from State Aid, increasing the risk to the SEA.  Scoring Elements:</w:t>
      </w:r>
    </w:p>
    <w:p w14:paraId="4638738F" w14:textId="77777777" w:rsidR="00613581" w:rsidRDefault="00613581" w:rsidP="00613581">
      <w:pPr>
        <w:pStyle w:val="ListParagraph"/>
        <w:numPr>
          <w:ilvl w:val="1"/>
          <w:numId w:val="30"/>
        </w:numPr>
        <w:spacing w:after="160"/>
      </w:pPr>
      <w:r>
        <w:rPr>
          <w:u w:val="single"/>
        </w:rPr>
        <w:t>Met Excess Cost:</w:t>
      </w:r>
      <w:r>
        <w:t xml:space="preserve"> zero points</w:t>
      </w:r>
    </w:p>
    <w:p w14:paraId="7EB6075E" w14:textId="0FD3F742" w:rsidR="00613581" w:rsidRDefault="00613581" w:rsidP="00613581">
      <w:pPr>
        <w:pStyle w:val="ListParagraph"/>
        <w:numPr>
          <w:ilvl w:val="1"/>
          <w:numId w:val="30"/>
        </w:numPr>
        <w:spacing w:after="160"/>
      </w:pPr>
      <w:r w:rsidRPr="668D6748">
        <w:rPr>
          <w:u w:val="single"/>
        </w:rPr>
        <w:t>Not met Excess Cost:</w:t>
      </w:r>
      <w:r>
        <w:t xml:space="preserve"> 10 points</w:t>
      </w:r>
    </w:p>
    <w:p w14:paraId="284599DC" w14:textId="77777777" w:rsidR="00613581" w:rsidRPr="0044160A" w:rsidRDefault="00613581" w:rsidP="00613581">
      <w:pPr>
        <w:pStyle w:val="ListParagraph"/>
        <w:numPr>
          <w:ilvl w:val="0"/>
          <w:numId w:val="30"/>
        </w:numPr>
        <w:spacing w:after="160"/>
        <w:rPr>
          <w:u w:val="single"/>
        </w:rPr>
      </w:pPr>
      <w:r w:rsidRPr="5EF294CC">
        <w:rPr>
          <w:u w:val="single"/>
        </w:rPr>
        <w:lastRenderedPageBreak/>
        <w:t>Special Education Identification Rate</w:t>
      </w:r>
      <w:r>
        <w:t>: LEAs with very high special education identification rates may need additional support, increasing the risk to the SEA. Scoring Elements:</w:t>
      </w:r>
    </w:p>
    <w:p w14:paraId="112C5861" w14:textId="77777777" w:rsidR="00613581" w:rsidRPr="0044160A" w:rsidRDefault="00613581" w:rsidP="00613581">
      <w:pPr>
        <w:pStyle w:val="ListParagraph"/>
        <w:numPr>
          <w:ilvl w:val="1"/>
          <w:numId w:val="30"/>
        </w:numPr>
        <w:spacing w:after="160"/>
        <w:rPr>
          <w:u w:val="single"/>
        </w:rPr>
      </w:pPr>
      <w:r>
        <w:rPr>
          <w:u w:val="single"/>
        </w:rPr>
        <w:t>Less than twice the State average:</w:t>
      </w:r>
      <w:r w:rsidRPr="0044160A">
        <w:t xml:space="preserve"> zero points</w:t>
      </w:r>
    </w:p>
    <w:p w14:paraId="6D473157" w14:textId="77777777" w:rsidR="00613581" w:rsidRPr="00726CA1" w:rsidRDefault="00613581" w:rsidP="00613581">
      <w:pPr>
        <w:pStyle w:val="ListParagraph"/>
        <w:numPr>
          <w:ilvl w:val="1"/>
          <w:numId w:val="30"/>
        </w:numPr>
        <w:spacing w:after="160"/>
        <w:rPr>
          <w:u w:val="single"/>
        </w:rPr>
      </w:pPr>
      <w:r>
        <w:rPr>
          <w:u w:val="single"/>
        </w:rPr>
        <w:t>More than twice the State average:</w:t>
      </w:r>
      <w:r w:rsidRPr="0044160A">
        <w:t xml:space="preserve"> 3 points</w:t>
      </w:r>
    </w:p>
    <w:p w14:paraId="5F3CC7F8" w14:textId="77777777" w:rsidR="00613581" w:rsidRDefault="00613581" w:rsidP="00613581">
      <w:pPr>
        <w:pStyle w:val="ListParagraph"/>
        <w:numPr>
          <w:ilvl w:val="0"/>
          <w:numId w:val="30"/>
        </w:numPr>
        <w:spacing w:after="160"/>
      </w:pPr>
      <w:r w:rsidRPr="5EF294CC">
        <w:rPr>
          <w:u w:val="single"/>
        </w:rPr>
        <w:t>Recent Audit Findings</w:t>
      </w:r>
      <w:r>
        <w:t>: Any Independent Audit findings related to special education increase the LEAs risk to the SEA.  Scoring Elements:</w:t>
      </w:r>
    </w:p>
    <w:p w14:paraId="39D06E8E" w14:textId="77777777" w:rsidR="00613581" w:rsidRDefault="00613581" w:rsidP="00613581">
      <w:pPr>
        <w:pStyle w:val="ListParagraph"/>
        <w:numPr>
          <w:ilvl w:val="1"/>
          <w:numId w:val="30"/>
        </w:numPr>
        <w:spacing w:after="160"/>
      </w:pPr>
      <w:r>
        <w:rPr>
          <w:u w:val="single"/>
        </w:rPr>
        <w:t xml:space="preserve"> No findings:</w:t>
      </w:r>
      <w:r>
        <w:t xml:space="preserve"> zero points</w:t>
      </w:r>
    </w:p>
    <w:p w14:paraId="0C2E01ED" w14:textId="77777777" w:rsidR="00613581" w:rsidRDefault="00613581" w:rsidP="00613581">
      <w:pPr>
        <w:pStyle w:val="ListParagraph"/>
        <w:numPr>
          <w:ilvl w:val="1"/>
          <w:numId w:val="30"/>
        </w:numPr>
        <w:spacing w:after="160"/>
      </w:pPr>
      <w:r>
        <w:rPr>
          <w:u w:val="single"/>
        </w:rPr>
        <w:t>Other/SPED:</w:t>
      </w:r>
      <w:r>
        <w:t xml:space="preserve"> 3 points</w:t>
      </w:r>
    </w:p>
    <w:p w14:paraId="5C0C8762" w14:textId="77777777" w:rsidR="00613581" w:rsidRDefault="00613581" w:rsidP="00613581">
      <w:pPr>
        <w:pStyle w:val="ListParagraph"/>
        <w:numPr>
          <w:ilvl w:val="1"/>
          <w:numId w:val="30"/>
        </w:numPr>
        <w:spacing w:after="160"/>
      </w:pPr>
      <w:r>
        <w:rPr>
          <w:u w:val="single"/>
        </w:rPr>
        <w:t>SPED (with or without other):</w:t>
      </w:r>
      <w:r>
        <w:t xml:space="preserve"> 5 points</w:t>
      </w:r>
    </w:p>
    <w:p w14:paraId="67B2B3D5" w14:textId="0A3DEA05" w:rsidR="00613581" w:rsidRDefault="00613581" w:rsidP="00613581">
      <w:pPr>
        <w:pStyle w:val="ListParagraph"/>
        <w:numPr>
          <w:ilvl w:val="0"/>
          <w:numId w:val="30"/>
        </w:numPr>
        <w:spacing w:after="160"/>
      </w:pPr>
      <w:r w:rsidRPr="668D6748">
        <w:rPr>
          <w:u w:val="single"/>
        </w:rPr>
        <w:t>Special Design</w:t>
      </w:r>
      <w:r>
        <w:t>: LEAs that participate in COOPs or Interlocal, and/or are designated as a charter or virtual school increase the LEAs risk to the SEA.  Scoring Elements:</w:t>
      </w:r>
    </w:p>
    <w:p w14:paraId="4DA9EE89" w14:textId="77777777" w:rsidR="00613581" w:rsidRDefault="00613581" w:rsidP="00613581">
      <w:pPr>
        <w:pStyle w:val="ListParagraph"/>
        <w:numPr>
          <w:ilvl w:val="1"/>
          <w:numId w:val="30"/>
        </w:numPr>
        <w:spacing w:after="160"/>
      </w:pPr>
      <w:r>
        <w:rPr>
          <w:u w:val="single"/>
        </w:rPr>
        <w:t>No special design:</w:t>
      </w:r>
      <w:r>
        <w:t xml:space="preserve"> zero points</w:t>
      </w:r>
    </w:p>
    <w:p w14:paraId="0B30D6CA" w14:textId="77777777" w:rsidR="00613581" w:rsidRDefault="00613581" w:rsidP="00613581">
      <w:pPr>
        <w:pStyle w:val="ListParagraph"/>
        <w:numPr>
          <w:ilvl w:val="1"/>
          <w:numId w:val="30"/>
        </w:numPr>
        <w:spacing w:after="160"/>
      </w:pPr>
      <w:r>
        <w:rPr>
          <w:u w:val="single"/>
        </w:rPr>
        <w:t>Has a special design:</w:t>
      </w:r>
      <w:r>
        <w:t xml:space="preserve"> 2 points</w:t>
      </w:r>
    </w:p>
    <w:p w14:paraId="6BACAEC4" w14:textId="77777777" w:rsidR="00613581" w:rsidRDefault="00613581" w:rsidP="00613581">
      <w:pPr>
        <w:pStyle w:val="ListParagraph"/>
        <w:numPr>
          <w:ilvl w:val="0"/>
          <w:numId w:val="30"/>
        </w:numPr>
        <w:spacing w:after="160"/>
      </w:pPr>
      <w:r w:rsidRPr="60B3B31F">
        <w:rPr>
          <w:u w:val="single"/>
        </w:rPr>
        <w:t>Significant</w:t>
      </w:r>
      <w:r>
        <w:rPr>
          <w:u w:val="single"/>
        </w:rPr>
        <w:t xml:space="preserve">ly </w:t>
      </w:r>
      <w:r w:rsidRPr="60B3B31F">
        <w:rPr>
          <w:u w:val="single"/>
        </w:rPr>
        <w:t>Disproportionate</w:t>
      </w:r>
      <w:r>
        <w:t>: The LEA has been identified as significantly disproportionate.  Scoring Elements:</w:t>
      </w:r>
    </w:p>
    <w:p w14:paraId="5AB9758F" w14:textId="77777777" w:rsidR="00613581" w:rsidRPr="00A177F4" w:rsidRDefault="00613581" w:rsidP="00613581">
      <w:pPr>
        <w:pStyle w:val="ListParagraph"/>
        <w:numPr>
          <w:ilvl w:val="1"/>
          <w:numId w:val="30"/>
        </w:numPr>
        <w:spacing w:after="160"/>
      </w:pPr>
      <w:r w:rsidRPr="00A177F4">
        <w:rPr>
          <w:u w:val="single"/>
        </w:rPr>
        <w:t>Has NOT been identified as significantly disproportionate</w:t>
      </w:r>
      <w:r>
        <w:t>: zero points</w:t>
      </w:r>
    </w:p>
    <w:p w14:paraId="17DFDF92" w14:textId="77777777" w:rsidR="00613581" w:rsidRDefault="00613581" w:rsidP="00613581">
      <w:pPr>
        <w:pStyle w:val="ListParagraph"/>
        <w:numPr>
          <w:ilvl w:val="1"/>
          <w:numId w:val="30"/>
        </w:numPr>
        <w:spacing w:after="160"/>
      </w:pPr>
      <w:r>
        <w:rPr>
          <w:u w:val="single"/>
        </w:rPr>
        <w:t>Has been identified as significantly disproportionate:</w:t>
      </w:r>
      <w:r>
        <w:t xml:space="preserve"> 2 points</w:t>
      </w:r>
    </w:p>
    <w:p w14:paraId="029097BE" w14:textId="77777777" w:rsidR="00613581" w:rsidRDefault="00613581" w:rsidP="00613581">
      <w:pPr>
        <w:pStyle w:val="ListParagraph"/>
        <w:numPr>
          <w:ilvl w:val="0"/>
          <w:numId w:val="30"/>
        </w:numPr>
        <w:spacing w:after="160"/>
      </w:pPr>
      <w:r w:rsidRPr="5EF294CC">
        <w:rPr>
          <w:u w:val="single"/>
        </w:rPr>
        <w:t>Late Claim Submitted</w:t>
      </w:r>
      <w:r>
        <w:t>: Claims must be submitted by August 1st. Any claim submitted after the due date must go before the State Board of Education for approval.  Late claims pose a risk to the SEA.  Scoring Elements:</w:t>
      </w:r>
    </w:p>
    <w:p w14:paraId="001A143E" w14:textId="77777777" w:rsidR="00613581" w:rsidRDefault="00613581" w:rsidP="00613581">
      <w:pPr>
        <w:pStyle w:val="ListParagraph"/>
        <w:numPr>
          <w:ilvl w:val="1"/>
          <w:numId w:val="30"/>
        </w:numPr>
        <w:spacing w:after="160"/>
      </w:pPr>
      <w:r>
        <w:rPr>
          <w:u w:val="single"/>
        </w:rPr>
        <w:t>No late claims have been submitted:</w:t>
      </w:r>
      <w:r>
        <w:t xml:space="preserve"> zero points</w:t>
      </w:r>
    </w:p>
    <w:p w14:paraId="03873531" w14:textId="77777777" w:rsidR="00613581" w:rsidRDefault="00613581" w:rsidP="00613581">
      <w:pPr>
        <w:pStyle w:val="ListParagraph"/>
        <w:numPr>
          <w:ilvl w:val="1"/>
          <w:numId w:val="30"/>
        </w:numPr>
        <w:spacing w:after="160"/>
      </w:pPr>
      <w:r>
        <w:rPr>
          <w:u w:val="single"/>
        </w:rPr>
        <w:t>There are late claims submitted:</w:t>
      </w:r>
      <w:r>
        <w:t xml:space="preserve"> 3 points</w:t>
      </w:r>
    </w:p>
    <w:p w14:paraId="751058C8" w14:textId="77777777" w:rsidR="00613581" w:rsidRDefault="00613581" w:rsidP="00613581">
      <w:pPr>
        <w:pStyle w:val="ListParagraph"/>
        <w:numPr>
          <w:ilvl w:val="1"/>
          <w:numId w:val="30"/>
        </w:numPr>
        <w:spacing w:after="160"/>
      </w:pPr>
      <w:r>
        <w:rPr>
          <w:u w:val="single"/>
        </w:rPr>
        <w:t>There are late claims submitted for two or more years in a row:</w:t>
      </w:r>
      <w:r>
        <w:t xml:space="preserve"> 5 points</w:t>
      </w:r>
    </w:p>
    <w:p w14:paraId="0F2AE542" w14:textId="68807044" w:rsidR="00613581" w:rsidRDefault="00613581" w:rsidP="00613581">
      <w:pPr>
        <w:pStyle w:val="ListParagraph"/>
        <w:numPr>
          <w:ilvl w:val="0"/>
          <w:numId w:val="30"/>
        </w:numPr>
        <w:spacing w:after="160"/>
      </w:pPr>
      <w:r w:rsidRPr="668D6748">
        <w:rPr>
          <w:u w:val="single"/>
        </w:rPr>
        <w:t>Complaint Count:</w:t>
      </w:r>
      <w:r>
        <w:t xml:space="preserve"> Higher numbers of complaints that resulted in findings against the LEA are at greater risk to the SEA.  I</w:t>
      </w:r>
      <w:r w:rsidR="4DF98DFE">
        <w:t>f</w:t>
      </w:r>
      <w:r>
        <w:t xml:space="preserve"> the LEA has two or more complaints in a single school year that results in findings against the LEA, then the LEA is a greater risk to the SEA. Scoring Elements:</w:t>
      </w:r>
    </w:p>
    <w:p w14:paraId="7BA9C9A6" w14:textId="77777777" w:rsidR="00613581" w:rsidRDefault="00613581" w:rsidP="00613581">
      <w:pPr>
        <w:pStyle w:val="ListParagraph"/>
        <w:numPr>
          <w:ilvl w:val="1"/>
          <w:numId w:val="30"/>
        </w:numPr>
        <w:spacing w:after="160"/>
      </w:pPr>
      <w:r>
        <w:rPr>
          <w:u w:val="single"/>
        </w:rPr>
        <w:t>No State complaints or one with findings:</w:t>
      </w:r>
      <w:r>
        <w:t xml:space="preserve"> zero points</w:t>
      </w:r>
    </w:p>
    <w:p w14:paraId="3BA9D9BE" w14:textId="77777777" w:rsidR="00613581" w:rsidRDefault="00613581" w:rsidP="00613581">
      <w:pPr>
        <w:pStyle w:val="ListParagraph"/>
        <w:numPr>
          <w:ilvl w:val="1"/>
          <w:numId w:val="30"/>
        </w:numPr>
        <w:spacing w:after="160"/>
      </w:pPr>
      <w:r>
        <w:rPr>
          <w:u w:val="single"/>
        </w:rPr>
        <w:t>State complaint(s) with findings (two or more):</w:t>
      </w:r>
      <w:r>
        <w:t xml:space="preserve"> 3 points</w:t>
      </w:r>
    </w:p>
    <w:p w14:paraId="7E133259" w14:textId="77777777" w:rsidR="00613581" w:rsidRDefault="00613581" w:rsidP="00613581">
      <w:pPr>
        <w:pStyle w:val="ListParagraph"/>
        <w:numPr>
          <w:ilvl w:val="0"/>
          <w:numId w:val="30"/>
        </w:numPr>
        <w:spacing w:after="160"/>
      </w:pPr>
      <w:r>
        <w:rPr>
          <w:u w:val="single"/>
        </w:rPr>
        <w:t>Years Since Prior On</w:t>
      </w:r>
      <w:r w:rsidRPr="00FF4529">
        <w:rPr>
          <w:u w:val="single"/>
        </w:rPr>
        <w:t>-site Monitoring</w:t>
      </w:r>
      <w:r>
        <w:t>: LEAs that have not received monitoring of the Special Education Program including a student confidential file review in more than six years are at greater risk to the SEA.  Scoring Elements:</w:t>
      </w:r>
    </w:p>
    <w:p w14:paraId="417F88DA" w14:textId="77777777" w:rsidR="00613581" w:rsidRDefault="00613581" w:rsidP="00613581">
      <w:pPr>
        <w:pStyle w:val="ListParagraph"/>
        <w:numPr>
          <w:ilvl w:val="1"/>
          <w:numId w:val="30"/>
        </w:numPr>
        <w:spacing w:after="160"/>
      </w:pPr>
      <w:r>
        <w:rPr>
          <w:u w:val="single"/>
        </w:rPr>
        <w:t>Six or fewer years since monitoring:</w:t>
      </w:r>
      <w:r>
        <w:t xml:space="preserve"> zero points</w:t>
      </w:r>
    </w:p>
    <w:p w14:paraId="54B1EB3C" w14:textId="77777777" w:rsidR="00613581" w:rsidRDefault="00613581" w:rsidP="00613581">
      <w:pPr>
        <w:pStyle w:val="ListParagraph"/>
        <w:numPr>
          <w:ilvl w:val="1"/>
          <w:numId w:val="30"/>
        </w:numPr>
        <w:spacing w:after="160"/>
      </w:pPr>
      <w:r>
        <w:rPr>
          <w:u w:val="single"/>
        </w:rPr>
        <w:t>More than six years since monitoring:</w:t>
      </w:r>
      <w:r>
        <w:t xml:space="preserve"> 5 points</w:t>
      </w:r>
    </w:p>
    <w:p w14:paraId="489A470C" w14:textId="77777777" w:rsidR="00613581" w:rsidRDefault="00613581" w:rsidP="00613581">
      <w:pPr>
        <w:pStyle w:val="ListParagraph"/>
        <w:numPr>
          <w:ilvl w:val="0"/>
          <w:numId w:val="30"/>
        </w:numPr>
        <w:spacing w:after="160"/>
      </w:pPr>
      <w:r>
        <w:rPr>
          <w:u w:val="single"/>
        </w:rPr>
        <w:t>Years Since Prior On</w:t>
      </w:r>
      <w:r w:rsidRPr="00FF4529">
        <w:rPr>
          <w:u w:val="single"/>
        </w:rPr>
        <w:t>-site Monitoring</w:t>
      </w:r>
      <w:r>
        <w:t>: LEAs that have not received monitoring of the Special Education Program including a student confidential file review in more than six years are at greater risk to the SEA.</w:t>
      </w:r>
    </w:p>
    <w:p w14:paraId="61A46090" w14:textId="77777777" w:rsidR="00613581" w:rsidRDefault="00613581" w:rsidP="00613581">
      <w:pPr>
        <w:pStyle w:val="ListParagraph"/>
        <w:numPr>
          <w:ilvl w:val="1"/>
          <w:numId w:val="30"/>
        </w:numPr>
        <w:spacing w:after="160"/>
      </w:pPr>
      <w:r>
        <w:rPr>
          <w:u w:val="single"/>
        </w:rPr>
        <w:t>Six or fewer years since monitoring:</w:t>
      </w:r>
      <w:r>
        <w:t xml:space="preserve"> zero points</w:t>
      </w:r>
    </w:p>
    <w:p w14:paraId="7A195FE8" w14:textId="77777777" w:rsidR="00613581" w:rsidRDefault="00613581" w:rsidP="00613581">
      <w:pPr>
        <w:pStyle w:val="ListParagraph"/>
        <w:numPr>
          <w:ilvl w:val="1"/>
          <w:numId w:val="30"/>
        </w:numPr>
        <w:spacing w:after="160"/>
      </w:pPr>
      <w:r w:rsidRPr="3D90721D">
        <w:rPr>
          <w:u w:val="single"/>
        </w:rPr>
        <w:t>More than six years since monitoring:</w:t>
      </w:r>
      <w:r>
        <w:t xml:space="preserve"> 5 points</w:t>
      </w:r>
    </w:p>
    <w:p w14:paraId="2AA1BCB9" w14:textId="1B2290A3" w:rsidR="5D509D5F" w:rsidRDefault="5D509D5F" w:rsidP="3D90721D">
      <w:pPr>
        <w:pStyle w:val="Heading4"/>
      </w:pPr>
      <w:r>
        <w:t>Bonus Point</w:t>
      </w:r>
    </w:p>
    <w:p w14:paraId="391B4B82" w14:textId="33E6CB41" w:rsidR="5D509D5F" w:rsidRDefault="5D509D5F" w:rsidP="3D90721D">
      <w:pPr>
        <w:pStyle w:val="ListParagraph"/>
        <w:numPr>
          <w:ilvl w:val="0"/>
          <w:numId w:val="1"/>
        </w:numPr>
      </w:pPr>
      <w:r>
        <w:t>Attending the First</w:t>
      </w:r>
      <w:r w:rsidR="4D087377">
        <w:t>-</w:t>
      </w:r>
      <w:r>
        <w:t xml:space="preserve">Year Director’s </w:t>
      </w:r>
      <w:r w:rsidR="5C972DBC">
        <w:t>Program</w:t>
      </w:r>
      <w:r>
        <w:t xml:space="preserve"> (earn 1 point)</w:t>
      </w:r>
    </w:p>
    <w:p w14:paraId="3A814131" w14:textId="77777777" w:rsidR="00613581" w:rsidRDefault="00613581" w:rsidP="00613581">
      <w:pPr>
        <w:pStyle w:val="Heading4"/>
      </w:pPr>
      <w:r>
        <w:t>Risk categories</w:t>
      </w:r>
    </w:p>
    <w:p w14:paraId="0BAEBCA9" w14:textId="77777777" w:rsidR="00613581" w:rsidRDefault="00613581" w:rsidP="00613581">
      <w:r>
        <w:t xml:space="preserve">Table 4 describes the risk categories and associated points spread for each. LEAs in risk category 1 are considered very low risk. An LEA assigned any other risk category does not adequately meet risk targets and will be required to engage in various monitoring and/or improvement activities, as described by its overall DMR and level of support. The risk factors are scored according to the values listed in Table 2, then all factor values are summed. </w:t>
      </w:r>
      <w:r>
        <w:lastRenderedPageBreak/>
        <w:t>The total possible risk score is 50, which OSDE-SES would interpret as imminent failure. A score of zero would be interpreted as extremely low risk.</w:t>
      </w:r>
    </w:p>
    <w:p w14:paraId="055F0A64" w14:textId="49885A4A" w:rsidR="00613581" w:rsidRDefault="00613581" w:rsidP="00613581">
      <w:pPr>
        <w:pStyle w:val="Heading2"/>
        <w:jc w:val="center"/>
      </w:pPr>
      <w:r w:rsidRPr="5EF294CC">
        <w:rPr>
          <w:sz w:val="28"/>
        </w:rPr>
        <w:t>Table</w:t>
      </w:r>
      <w:r>
        <w:rPr>
          <w:sz w:val="28"/>
        </w:rPr>
        <w:t xml:space="preserve"> 4</w:t>
      </w:r>
      <w:r w:rsidRPr="5EF294CC">
        <w:rPr>
          <w:sz w:val="28"/>
        </w:rPr>
        <w:t>: Risk Categories</w:t>
      </w:r>
    </w:p>
    <w:tbl>
      <w:tblPr>
        <w:tblStyle w:val="GridTable4-Accent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2880"/>
      </w:tblGrid>
      <w:tr w:rsidR="00613581" w:rsidRPr="005405C2" w14:paraId="52DEBB5D" w14:textId="77777777" w:rsidTr="00C15F3D">
        <w:trPr>
          <w:cnfStyle w:val="100000000000" w:firstRow="1" w:lastRow="0" w:firstColumn="0" w:lastColumn="0" w:oddVBand="0" w:evenVBand="0" w:oddHBand="0" w:evenHBand="0" w:firstRowFirstColumn="0" w:firstRowLastColumn="0" w:lastRowFirstColumn="0" w:lastRowLastColumn="0"/>
          <w:trHeight w:val="586"/>
          <w:jc w:val="center"/>
        </w:trPr>
        <w:tc>
          <w:tcPr>
            <w:cnfStyle w:val="001000000000" w:firstRow="0" w:lastRow="0" w:firstColumn="1" w:lastColumn="0" w:oddVBand="0" w:evenVBand="0" w:oddHBand="0" w:evenHBand="0" w:firstRowFirstColumn="0" w:firstRowLastColumn="0" w:lastRowFirstColumn="0" w:lastRowLastColumn="0"/>
            <w:tcW w:w="3055" w:type="dxa"/>
            <w:tcBorders>
              <w:top w:val="single" w:sz="4" w:space="0" w:color="auto"/>
              <w:left w:val="single" w:sz="4" w:space="0" w:color="auto"/>
              <w:right w:val="single" w:sz="4" w:space="0" w:color="auto"/>
            </w:tcBorders>
            <w:vAlign w:val="center"/>
          </w:tcPr>
          <w:p w14:paraId="48CEAD1D" w14:textId="77777777" w:rsidR="00613581" w:rsidRPr="005405C2" w:rsidRDefault="00613581" w:rsidP="00C15F3D">
            <w:pPr>
              <w:spacing w:after="0"/>
              <w:jc w:val="left"/>
            </w:pPr>
            <w:r w:rsidRPr="005405C2">
              <w:rPr>
                <w:color w:val="auto"/>
              </w:rPr>
              <w:t>Risk Category</w:t>
            </w:r>
          </w:p>
        </w:tc>
        <w:tc>
          <w:tcPr>
            <w:tcW w:w="2880" w:type="dxa"/>
            <w:tcBorders>
              <w:top w:val="single" w:sz="4" w:space="0" w:color="auto"/>
              <w:left w:val="single" w:sz="4" w:space="0" w:color="auto"/>
              <w:right w:val="single" w:sz="4" w:space="0" w:color="auto"/>
            </w:tcBorders>
            <w:vAlign w:val="center"/>
          </w:tcPr>
          <w:p w14:paraId="3BD41963" w14:textId="77777777" w:rsidR="00613581" w:rsidRPr="005405C2" w:rsidRDefault="00613581" w:rsidP="00C15F3D">
            <w:pPr>
              <w:spacing w:after="0"/>
              <w:jc w:val="center"/>
              <w:cnfStyle w:val="100000000000" w:firstRow="1" w:lastRow="0" w:firstColumn="0" w:lastColumn="0" w:oddVBand="0" w:evenVBand="0" w:oddHBand="0" w:evenHBand="0" w:firstRowFirstColumn="0" w:firstRowLastColumn="0" w:lastRowFirstColumn="0" w:lastRowLastColumn="0"/>
              <w:rPr>
                <w:b w:val="0"/>
                <w:bCs w:val="0"/>
              </w:rPr>
            </w:pPr>
            <w:r w:rsidRPr="5EF294CC">
              <w:rPr>
                <w:color w:val="auto"/>
              </w:rPr>
              <w:t>Risk Score</w:t>
            </w:r>
          </w:p>
        </w:tc>
      </w:tr>
      <w:tr w:rsidR="00613581" w:rsidRPr="005405C2" w14:paraId="3C828A13" w14:textId="77777777" w:rsidTr="00C15F3D">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055" w:type="dxa"/>
            <w:tcBorders>
              <w:top w:val="single" w:sz="4" w:space="0" w:color="auto"/>
              <w:right w:val="single" w:sz="4" w:space="0" w:color="auto"/>
            </w:tcBorders>
            <w:vAlign w:val="center"/>
          </w:tcPr>
          <w:p w14:paraId="45C6B4CE" w14:textId="77777777" w:rsidR="00613581" w:rsidRPr="005405C2" w:rsidRDefault="00613581" w:rsidP="00C15F3D">
            <w:pPr>
              <w:spacing w:after="0"/>
              <w:jc w:val="left"/>
              <w:rPr>
                <w:b w:val="0"/>
                <w:bCs w:val="0"/>
              </w:rPr>
            </w:pPr>
            <w:r>
              <w:rPr>
                <w:b w:val="0"/>
                <w:bCs w:val="0"/>
              </w:rPr>
              <w:t>Category 1: Very Low Risk</w:t>
            </w:r>
          </w:p>
        </w:tc>
        <w:tc>
          <w:tcPr>
            <w:tcW w:w="2880" w:type="dxa"/>
            <w:tcBorders>
              <w:left w:val="single" w:sz="4" w:space="0" w:color="auto"/>
              <w:right w:val="single" w:sz="4" w:space="0" w:color="auto"/>
            </w:tcBorders>
            <w:vAlign w:val="center"/>
          </w:tcPr>
          <w:p w14:paraId="73130A64" w14:textId="77777777" w:rsidR="00613581" w:rsidRPr="000578A4" w:rsidRDefault="00613581" w:rsidP="00C15F3D">
            <w:pPr>
              <w:spacing w:after="0"/>
              <w:jc w:val="center"/>
              <w:cnfStyle w:val="000000100000" w:firstRow="0" w:lastRow="0" w:firstColumn="0" w:lastColumn="0" w:oddVBand="0" w:evenVBand="0" w:oddHBand="1" w:evenHBand="0" w:firstRowFirstColumn="0" w:firstRowLastColumn="0" w:lastRowFirstColumn="0" w:lastRowLastColumn="0"/>
            </w:pPr>
            <w:r w:rsidRPr="000578A4">
              <w:t>0 – 9 points</w:t>
            </w:r>
          </w:p>
        </w:tc>
      </w:tr>
      <w:tr w:rsidR="00613581" w:rsidRPr="005405C2" w14:paraId="72D7E0D4" w14:textId="77777777" w:rsidTr="00C15F3D">
        <w:trPr>
          <w:trHeight w:val="360"/>
          <w:jc w:val="center"/>
        </w:trPr>
        <w:tc>
          <w:tcPr>
            <w:cnfStyle w:val="001000000000" w:firstRow="0" w:lastRow="0" w:firstColumn="1" w:lastColumn="0" w:oddVBand="0" w:evenVBand="0" w:oddHBand="0" w:evenHBand="0" w:firstRowFirstColumn="0" w:firstRowLastColumn="0" w:lastRowFirstColumn="0" w:lastRowLastColumn="0"/>
            <w:tcW w:w="3055" w:type="dxa"/>
            <w:tcBorders>
              <w:right w:val="single" w:sz="4" w:space="0" w:color="auto"/>
            </w:tcBorders>
            <w:vAlign w:val="center"/>
          </w:tcPr>
          <w:p w14:paraId="76F7DC88" w14:textId="77777777" w:rsidR="00613581" w:rsidRPr="005405C2" w:rsidRDefault="00613581" w:rsidP="00C15F3D">
            <w:pPr>
              <w:spacing w:after="0"/>
              <w:jc w:val="left"/>
              <w:rPr>
                <w:b w:val="0"/>
                <w:bCs w:val="0"/>
              </w:rPr>
            </w:pPr>
            <w:r>
              <w:rPr>
                <w:b w:val="0"/>
                <w:bCs w:val="0"/>
              </w:rPr>
              <w:t>Category 2: Low Risk</w:t>
            </w:r>
          </w:p>
        </w:tc>
        <w:tc>
          <w:tcPr>
            <w:tcW w:w="2880" w:type="dxa"/>
            <w:tcBorders>
              <w:left w:val="single" w:sz="4" w:space="0" w:color="auto"/>
              <w:right w:val="single" w:sz="4" w:space="0" w:color="auto"/>
            </w:tcBorders>
            <w:vAlign w:val="center"/>
          </w:tcPr>
          <w:p w14:paraId="1DD4413F" w14:textId="77777777" w:rsidR="00613581" w:rsidRPr="000578A4" w:rsidRDefault="00613581" w:rsidP="00C15F3D">
            <w:pPr>
              <w:spacing w:after="0"/>
              <w:jc w:val="center"/>
              <w:cnfStyle w:val="000000000000" w:firstRow="0" w:lastRow="0" w:firstColumn="0" w:lastColumn="0" w:oddVBand="0" w:evenVBand="0" w:oddHBand="0" w:evenHBand="0" w:firstRowFirstColumn="0" w:firstRowLastColumn="0" w:lastRowFirstColumn="0" w:lastRowLastColumn="0"/>
            </w:pPr>
            <w:r w:rsidRPr="000578A4">
              <w:t>10 – 18 points</w:t>
            </w:r>
          </w:p>
        </w:tc>
      </w:tr>
      <w:tr w:rsidR="00613581" w:rsidRPr="005405C2" w14:paraId="4854FF52" w14:textId="77777777" w:rsidTr="00C15F3D">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055" w:type="dxa"/>
            <w:tcBorders>
              <w:right w:val="single" w:sz="4" w:space="0" w:color="auto"/>
            </w:tcBorders>
            <w:vAlign w:val="center"/>
          </w:tcPr>
          <w:p w14:paraId="5ED92823" w14:textId="77777777" w:rsidR="00613581" w:rsidRPr="005405C2" w:rsidRDefault="00613581" w:rsidP="00C15F3D">
            <w:pPr>
              <w:spacing w:after="0"/>
              <w:jc w:val="left"/>
              <w:rPr>
                <w:b w:val="0"/>
                <w:bCs w:val="0"/>
              </w:rPr>
            </w:pPr>
            <w:r>
              <w:rPr>
                <w:b w:val="0"/>
                <w:bCs w:val="0"/>
              </w:rPr>
              <w:t>Category 3: Moderate Risk</w:t>
            </w:r>
          </w:p>
        </w:tc>
        <w:tc>
          <w:tcPr>
            <w:tcW w:w="2880" w:type="dxa"/>
            <w:tcBorders>
              <w:left w:val="single" w:sz="4" w:space="0" w:color="auto"/>
              <w:right w:val="single" w:sz="4" w:space="0" w:color="auto"/>
            </w:tcBorders>
            <w:vAlign w:val="center"/>
          </w:tcPr>
          <w:p w14:paraId="4BE5C21F" w14:textId="77777777" w:rsidR="00613581" w:rsidRPr="000578A4" w:rsidRDefault="00613581" w:rsidP="00C15F3D">
            <w:pPr>
              <w:spacing w:after="0"/>
              <w:jc w:val="center"/>
              <w:cnfStyle w:val="000000100000" w:firstRow="0" w:lastRow="0" w:firstColumn="0" w:lastColumn="0" w:oddVBand="0" w:evenVBand="0" w:oddHBand="1" w:evenHBand="0" w:firstRowFirstColumn="0" w:firstRowLastColumn="0" w:lastRowFirstColumn="0" w:lastRowLastColumn="0"/>
            </w:pPr>
            <w:r>
              <w:t>19 – 32</w:t>
            </w:r>
            <w:r w:rsidRPr="000578A4">
              <w:t xml:space="preserve"> points</w:t>
            </w:r>
          </w:p>
        </w:tc>
      </w:tr>
      <w:tr w:rsidR="00613581" w:rsidRPr="005405C2" w14:paraId="3C9E69F0" w14:textId="77777777" w:rsidTr="00C15F3D">
        <w:trPr>
          <w:trHeight w:val="360"/>
          <w:jc w:val="center"/>
        </w:trPr>
        <w:tc>
          <w:tcPr>
            <w:cnfStyle w:val="001000000000" w:firstRow="0" w:lastRow="0" w:firstColumn="1" w:lastColumn="0" w:oddVBand="0" w:evenVBand="0" w:oddHBand="0" w:evenHBand="0" w:firstRowFirstColumn="0" w:firstRowLastColumn="0" w:lastRowFirstColumn="0" w:lastRowLastColumn="0"/>
            <w:tcW w:w="3055" w:type="dxa"/>
            <w:tcBorders>
              <w:right w:val="single" w:sz="4" w:space="0" w:color="auto"/>
            </w:tcBorders>
            <w:vAlign w:val="center"/>
          </w:tcPr>
          <w:p w14:paraId="7FD3C161" w14:textId="77777777" w:rsidR="00613581" w:rsidRPr="005405C2" w:rsidRDefault="00613581" w:rsidP="00C15F3D">
            <w:pPr>
              <w:spacing w:after="0"/>
              <w:jc w:val="left"/>
              <w:rPr>
                <w:b w:val="0"/>
                <w:bCs w:val="0"/>
              </w:rPr>
            </w:pPr>
            <w:r>
              <w:rPr>
                <w:b w:val="0"/>
                <w:bCs w:val="0"/>
              </w:rPr>
              <w:t>Category 4: High Risk</w:t>
            </w:r>
          </w:p>
        </w:tc>
        <w:tc>
          <w:tcPr>
            <w:tcW w:w="2880" w:type="dxa"/>
            <w:tcBorders>
              <w:left w:val="single" w:sz="4" w:space="0" w:color="auto"/>
              <w:right w:val="single" w:sz="4" w:space="0" w:color="auto"/>
            </w:tcBorders>
            <w:vAlign w:val="center"/>
          </w:tcPr>
          <w:p w14:paraId="79AEA936" w14:textId="77777777" w:rsidR="00613581" w:rsidRPr="000578A4" w:rsidRDefault="00613581" w:rsidP="00C15F3D">
            <w:pPr>
              <w:spacing w:after="0"/>
              <w:jc w:val="center"/>
              <w:cnfStyle w:val="000000000000" w:firstRow="0" w:lastRow="0" w:firstColumn="0" w:lastColumn="0" w:oddVBand="0" w:evenVBand="0" w:oddHBand="0" w:evenHBand="0" w:firstRowFirstColumn="0" w:firstRowLastColumn="0" w:lastRowFirstColumn="0" w:lastRowLastColumn="0"/>
            </w:pPr>
            <w:r>
              <w:t>33 – 50</w:t>
            </w:r>
            <w:r w:rsidRPr="000578A4">
              <w:t xml:space="preserve"> points</w:t>
            </w:r>
          </w:p>
        </w:tc>
      </w:tr>
    </w:tbl>
    <w:p w14:paraId="7F412E13" w14:textId="05BC897D" w:rsidR="00613581" w:rsidRPr="0041578E" w:rsidRDefault="00613581" w:rsidP="00613581">
      <w:r>
        <w:t>For sample forms, please reference Appendix</w:t>
      </w:r>
      <w:r w:rsidR="4178FEAE">
        <w:t xml:space="preserve"> A</w:t>
      </w:r>
      <w:r>
        <w:t xml:space="preserve"> .</w:t>
      </w:r>
    </w:p>
    <w:p w14:paraId="02917EC6" w14:textId="77777777" w:rsidR="00613581" w:rsidRDefault="00613581" w:rsidP="00613581">
      <w:pPr>
        <w:pStyle w:val="Heading3"/>
      </w:pPr>
      <w:r>
        <w:t>Differentiated Monitoring Result</w:t>
      </w:r>
    </w:p>
    <w:p w14:paraId="22B92CC0" w14:textId="0B09B09E" w:rsidR="00613581" w:rsidRDefault="00613581" w:rsidP="00613581">
      <w:r>
        <w:t>The Differentiated Monitoring Result (DMR) is the state’s tool for identifying an LEAs</w:t>
      </w:r>
      <w:r w:rsidR="352790A5">
        <w:t>’</w:t>
      </w:r>
      <w:r>
        <w:t xml:space="preserve"> required level of support and associated monitoring and/or improvement activities. Determination Tiers and Risk Categories are designated according to the formulas outlined previously. Each LEA receives one Determination Tier and one Risk Category. Whichever outcome demonstrates the higher need is the DMR. For example, if LEA X is rated a Tier 2 on its Determination Tier and a Category 3 on its Risk Category, its designated DMR is “Level 3.” If LEA Y receives a determination Tier 1 and a Category 1 on its Risk Rating, its designated DMR is “Level 1.” This DMR directly corresponds to the assigned level of support during the next fiscal year. </w:t>
      </w:r>
    </w:p>
    <w:p w14:paraId="34F68BC8" w14:textId="77777777" w:rsidR="00613581" w:rsidRDefault="00613581" w:rsidP="00613581">
      <w:pPr>
        <w:pStyle w:val="Heading3"/>
      </w:pPr>
      <w:r>
        <w:t>Levels of support</w:t>
      </w:r>
    </w:p>
    <w:p w14:paraId="02F7BB69" w14:textId="372576C7" w:rsidR="00613581" w:rsidRDefault="00613581" w:rsidP="00613581">
      <w:r>
        <w:t>Based on the LEA’s assigned level of support, corresponding “integrated monitoring” activities are required of the LEA that are intended to improve LEA compliance and/or performance. The activities associated with each level of support are listed in Table 5. Activities associated with the letters in the table below are described in the following sections.</w:t>
      </w:r>
    </w:p>
    <w:p w14:paraId="6BE6B10C" w14:textId="77777777" w:rsidR="006A2015" w:rsidRDefault="006A2015" w:rsidP="006A2015">
      <w:pPr>
        <w:pStyle w:val="Heading4"/>
        <w:rPr>
          <w:sz w:val="28"/>
        </w:rPr>
      </w:pPr>
      <w:r w:rsidRPr="5EF294CC">
        <w:rPr>
          <w:sz w:val="28"/>
        </w:rPr>
        <w:t>Table 5: Levels of Support</w:t>
      </w:r>
    </w:p>
    <w:p w14:paraId="24E3BC4D" w14:textId="51A7E983" w:rsidR="00B37785" w:rsidRPr="00B37785" w:rsidRDefault="00B37785" w:rsidP="00B37785">
      <w:pPr>
        <w:jc w:val="center"/>
      </w:pPr>
      <w:r w:rsidRPr="00B37785">
        <w:rPr>
          <w:noProof/>
        </w:rPr>
        <w:drawing>
          <wp:inline distT="0" distB="0" distL="0" distR="0" wp14:anchorId="31B630D7" wp14:editId="708E338F">
            <wp:extent cx="4944165" cy="1781424"/>
            <wp:effectExtent l="0" t="0" r="0" b="9525"/>
            <wp:docPr id="592177317" name="Picture 1" descr="Chart showing four levels of support, corresponding risk levels, determination categories, and required integrated monitoring activities A through G. Level 1: Very Low (VL) risk, Meets Requirements (MR), requires activities A, B, C, D, E, and G. Level 2: Low (L) risk, Not Applicable (NA), requires all seven activities. Level 3: Medium (M) risk, Needs Intervention (NI), requires all seven activities. Level 4: High (H) risk, Needs Substantial Intervention (NSI), requires all seven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177317" name="Picture 1" descr="Chart showing four levels of support, corresponding risk levels, determination categories, and required integrated monitoring activities A through G. Level 1: Very Low (VL) risk, Meets Requirements (MR), requires activities A, B, C, D, E, and G. Level 2: Low (L) risk, Not Applicable (NA), requires all seven activities. Level 3: Medium (M) risk, Needs Intervention (NI), requires all seven activities. Level 4: High (H) risk, Needs Substantial Intervention (NSI), requires all seven activities."/>
                    <pic:cNvPicPr/>
                  </pic:nvPicPr>
                  <pic:blipFill>
                    <a:blip r:embed="rId25"/>
                    <a:stretch>
                      <a:fillRect/>
                    </a:stretch>
                  </pic:blipFill>
                  <pic:spPr>
                    <a:xfrm>
                      <a:off x="0" y="0"/>
                      <a:ext cx="4944165" cy="1781424"/>
                    </a:xfrm>
                    <a:prstGeom prst="rect">
                      <a:avLst/>
                    </a:prstGeom>
                  </pic:spPr>
                </pic:pic>
              </a:graphicData>
            </a:graphic>
          </wp:inline>
        </w:drawing>
      </w:r>
    </w:p>
    <w:p w14:paraId="0C230E07" w14:textId="77777777" w:rsidR="006A2015" w:rsidRPr="004E0238" w:rsidRDefault="006A2015" w:rsidP="006A2015"/>
    <w:p w14:paraId="6F04CDC7" w14:textId="77777777" w:rsidR="00C70FED" w:rsidRDefault="00C70FED" w:rsidP="006A2015">
      <w:pPr>
        <w:tabs>
          <w:tab w:val="left" w:pos="8295"/>
        </w:tabs>
        <w:spacing w:before="360"/>
        <w:rPr>
          <w:b/>
          <w:bCs/>
        </w:rPr>
      </w:pPr>
    </w:p>
    <w:p w14:paraId="296A8FD9" w14:textId="77777777" w:rsidR="00B37785" w:rsidRDefault="00B37785" w:rsidP="006A2015">
      <w:pPr>
        <w:tabs>
          <w:tab w:val="left" w:pos="8295"/>
        </w:tabs>
        <w:spacing w:before="360"/>
        <w:rPr>
          <w:b/>
          <w:bCs/>
        </w:rPr>
      </w:pPr>
    </w:p>
    <w:p w14:paraId="6D64007D" w14:textId="678779FD" w:rsidR="006A2015" w:rsidRDefault="006A2015" w:rsidP="006A2015">
      <w:pPr>
        <w:tabs>
          <w:tab w:val="left" w:pos="8295"/>
        </w:tabs>
        <w:spacing w:before="360"/>
      </w:pPr>
      <w:r w:rsidRPr="5EF294CC">
        <w:rPr>
          <w:b/>
          <w:bCs/>
        </w:rPr>
        <w:lastRenderedPageBreak/>
        <w:t>List of required activities</w:t>
      </w:r>
      <w:r>
        <w:tab/>
      </w:r>
    </w:p>
    <w:p w14:paraId="3073A356" w14:textId="77777777" w:rsidR="006A2015" w:rsidRDefault="006A2015" w:rsidP="006A2015">
      <w:pPr>
        <w:pStyle w:val="ListParagraph"/>
        <w:numPr>
          <w:ilvl w:val="0"/>
          <w:numId w:val="23"/>
        </w:numPr>
      </w:pPr>
      <w:r>
        <w:rPr>
          <w:noProof/>
        </w:rPr>
        <mc:AlternateContent>
          <mc:Choice Requires="wps">
            <w:drawing>
              <wp:anchor distT="0" distB="0" distL="114300" distR="114300" simplePos="0" relativeHeight="251658240" behindDoc="0" locked="0" layoutInCell="1" allowOverlap="1" wp14:anchorId="7FBA5EA6" wp14:editId="2BCDF653">
                <wp:simplePos x="0" y="0"/>
                <wp:positionH relativeFrom="column">
                  <wp:posOffset>2979793</wp:posOffset>
                </wp:positionH>
                <wp:positionV relativeFrom="paragraph">
                  <wp:posOffset>10950</wp:posOffset>
                </wp:positionV>
                <wp:extent cx="722630" cy="1310854"/>
                <wp:effectExtent l="0" t="0" r="39370" b="22860"/>
                <wp:wrapNone/>
                <wp:docPr id="635491746" name="Right Brace 3"/>
                <wp:cNvGraphicFramePr/>
                <a:graphic xmlns:a="http://schemas.openxmlformats.org/drawingml/2006/main">
                  <a:graphicData uri="http://schemas.microsoft.com/office/word/2010/wordprocessingShape">
                    <wps:wsp>
                      <wps:cNvSpPr/>
                      <wps:spPr>
                        <a:xfrm>
                          <a:off x="0" y="0"/>
                          <a:ext cx="722630" cy="1310854"/>
                        </a:xfrm>
                        <a:prstGeom prst="rightBrace">
                          <a:avLst/>
                        </a:prstGeom>
                        <a:noFill/>
                        <a:ln w="12700" cap="flat" cmpd="sng" algn="ctr">
                          <a:solidFill>
                            <a:srgbClr val="F692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6E24FF5">
              <v:shape id="Right Brace 3" style="position:absolute;margin-left:234.65pt;margin-top:.85pt;width:56.9pt;height:103.2pt;z-index:25166029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strokecolor="#f69200" strokeweight="1pt" type="#_x0000_t88" adj="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" w14:anchorId="2F43D82B">
                <v:stroke joinstyle="miter"/>
              </v:shape>
            </w:pict>
          </mc:Fallback>
        </mc:AlternateContent>
      </w:r>
      <w:r>
        <w:t>Targeted Technical Assistance</w:t>
      </w:r>
    </w:p>
    <w:p w14:paraId="5F4DF1AF" w14:textId="77777777" w:rsidR="006A2015" w:rsidRDefault="006A2015" w:rsidP="006A2015">
      <w:pPr>
        <w:pStyle w:val="ListParagraph"/>
        <w:numPr>
          <w:ilvl w:val="0"/>
          <w:numId w:val="23"/>
        </w:numPr>
      </w:pPr>
      <w:r>
        <w:t>Self-Assessment Toolkits/Root Cause</w:t>
      </w:r>
    </w:p>
    <w:p w14:paraId="4C3D9F70" w14:textId="77777777" w:rsidR="006A2015" w:rsidRDefault="006A2015" w:rsidP="006A2015">
      <w:pPr>
        <w:pStyle w:val="ListParagraph"/>
        <w:numPr>
          <w:ilvl w:val="0"/>
          <w:numId w:val="23"/>
        </w:numPr>
      </w:pPr>
      <w:r>
        <w:t>Improvement Plan</w:t>
      </w:r>
    </w:p>
    <w:p w14:paraId="731A75DC" w14:textId="77777777" w:rsidR="006A2015" w:rsidRDefault="006A2015" w:rsidP="006A2015">
      <w:pPr>
        <w:pStyle w:val="ListParagraph"/>
        <w:numPr>
          <w:ilvl w:val="0"/>
          <w:numId w:val="23"/>
        </w:numPr>
      </w:pPr>
      <w:r>
        <w:t>Progress Monitoring</w:t>
      </w:r>
    </w:p>
    <w:p w14:paraId="59286185" w14:textId="77777777" w:rsidR="006A2015" w:rsidRDefault="006A2015" w:rsidP="006A2015">
      <w:pPr>
        <w:pStyle w:val="ListParagraph"/>
        <w:numPr>
          <w:ilvl w:val="0"/>
          <w:numId w:val="23"/>
        </w:numPr>
      </w:pPr>
      <w:r>
        <w:t xml:space="preserve">District Professional Development                                   </w:t>
      </w:r>
      <w:r w:rsidRPr="5EF294CC">
        <w:rPr>
          <w:b/>
          <w:bCs/>
        </w:rPr>
        <w:t>Integrated monitoring activities</w:t>
      </w:r>
    </w:p>
    <w:p w14:paraId="7D321B08" w14:textId="77777777" w:rsidR="006A2015" w:rsidRPr="00E75BE1" w:rsidRDefault="006A2015" w:rsidP="006A2015">
      <w:pPr>
        <w:pStyle w:val="ListParagraph"/>
        <w:numPr>
          <w:ilvl w:val="0"/>
          <w:numId w:val="23"/>
        </w:numPr>
      </w:pPr>
      <w:r>
        <w:t>Data</w:t>
      </w:r>
      <w:r w:rsidRPr="5EF294CC">
        <w:rPr>
          <w:b/>
          <w:bCs/>
        </w:rPr>
        <w:t xml:space="preserve"> </w:t>
      </w:r>
      <w:r>
        <w:t>Retreat</w:t>
      </w:r>
      <w:r>
        <w:tab/>
      </w:r>
      <w:r>
        <w:tab/>
      </w:r>
      <w:r>
        <w:tab/>
      </w:r>
      <w:r>
        <w:tab/>
        <w:t xml:space="preserve">                  </w:t>
      </w:r>
    </w:p>
    <w:p w14:paraId="0643FB72" w14:textId="77777777" w:rsidR="006A2015" w:rsidRDefault="006A2015" w:rsidP="006A2015">
      <w:pPr>
        <w:pStyle w:val="ListParagraph"/>
        <w:numPr>
          <w:ilvl w:val="0"/>
          <w:numId w:val="23"/>
        </w:numPr>
      </w:pPr>
      <w:r>
        <w:t>Withheld Funds</w:t>
      </w:r>
    </w:p>
    <w:p w14:paraId="7911E980" w14:textId="77777777" w:rsidR="006A2015" w:rsidRDefault="006A2015" w:rsidP="006A2015">
      <w:pPr>
        <w:pStyle w:val="ListParagraph"/>
        <w:ind w:left="1080"/>
      </w:pPr>
    </w:p>
    <w:p w14:paraId="3F37D055" w14:textId="77777777" w:rsidR="006A2015" w:rsidRDefault="006A2015" w:rsidP="006A2015">
      <w:pPr>
        <w:pStyle w:val="Heading3"/>
      </w:pPr>
      <w:r>
        <w:t>Required Integrated Monitoring Activities</w:t>
      </w:r>
    </w:p>
    <w:p w14:paraId="5B401808" w14:textId="77777777" w:rsidR="006A2015" w:rsidRDefault="006A2015" w:rsidP="006A2015">
      <w:pPr>
        <w:pStyle w:val="Heading3"/>
        <w:numPr>
          <w:ilvl w:val="0"/>
          <w:numId w:val="25"/>
        </w:numPr>
      </w:pPr>
      <w:r>
        <w:t>Targeted Technical Assistance (TTA)</w:t>
      </w:r>
    </w:p>
    <w:p w14:paraId="44E6CBDD" w14:textId="77777777" w:rsidR="006A2015" w:rsidRDefault="006A2015" w:rsidP="006A2015">
      <w:r>
        <w:t xml:space="preserve">Targeted technical assistance (TTA), in the form of an integrated monitoring activity, is a purposeful and planned series of activities. TTA activities are selected and coordinated in collaboration with each LEA by the OSDE-SES. The LEA then carries out these activities at the school or districtwide level with continued support from the OSDE-SES. As a result, these activities increase the capacity of the LEA to support improved outcomes for students.  </w:t>
      </w:r>
    </w:p>
    <w:p w14:paraId="6527B8C5" w14:textId="77777777" w:rsidR="006A2015" w:rsidRPr="00026B80" w:rsidRDefault="006A2015" w:rsidP="006A2015">
      <w:r>
        <w:t>TTA activities are concern specific, highly focused, and supported by data. Examples of data the OSDE-SES may use when creating TTA for an LEA include the LEA’s level of IDEA compliance, the LEA’s performance on results-based indicators, the LEA’s performance on compliance-based indicators, or a combination of any of these components. Ultimately, TTA is designed to build the capacity of individuals, schools, and LEAs to plan, implement, and support improved outcomes for their students with Individualized Education Programs.</w:t>
      </w:r>
    </w:p>
    <w:p w14:paraId="3FE85574" w14:textId="77777777" w:rsidR="006A2015" w:rsidRPr="00026B80" w:rsidRDefault="006A2015" w:rsidP="006A2015">
      <w:pPr>
        <w:pStyle w:val="Heading3"/>
        <w:numPr>
          <w:ilvl w:val="0"/>
          <w:numId w:val="25"/>
        </w:numPr>
      </w:pPr>
      <w:r>
        <w:t>Self-Assessment Toolkits/Root Cause Analysis</w:t>
      </w:r>
    </w:p>
    <w:p w14:paraId="4F230E98" w14:textId="77777777" w:rsidR="006A2015" w:rsidRDefault="006A2015" w:rsidP="006A2015">
      <w:r>
        <w:t>Self-assessment toolkits are required of all districts assigned to levels of support 1, 2, 3, and 4. The goal is to encourage districts to consider their strengths, weaknesses, and root causes related to one or more indicators on the determination rating or risk factors. They are meant to give an accurate picture of the LEA, school, and teacher practices and are supported by documentation. The use of self-assessments is an important part of the TTA process described above. They are also an important part of improving teaching and learning in schools. Honest self-assessment lays the groundwork for reflective practice that is focused on improving outcomes.</w:t>
      </w:r>
    </w:p>
    <w:p w14:paraId="0EF3B3B0" w14:textId="77777777" w:rsidR="006A2015" w:rsidRDefault="006A2015" w:rsidP="006A2015">
      <w:pPr>
        <w:pStyle w:val="Heading3"/>
        <w:numPr>
          <w:ilvl w:val="0"/>
          <w:numId w:val="25"/>
        </w:numPr>
      </w:pPr>
      <w:r>
        <w:t>Improvement Plan/Progress Monitoring</w:t>
      </w:r>
    </w:p>
    <w:p w14:paraId="364131F1" w14:textId="77777777" w:rsidR="006A2015" w:rsidRDefault="006A2015" w:rsidP="006A2015">
      <w:r>
        <w:t>The improvement plan is required of LEAs completing a Self-Assessment Toolkit. It is intended to serve as a tool for LEAs to use to guide improvement in risk, compliance, and/or student performance. OSDE-SES will assist the LEA in defining what should be included in the improvement plan, timelines, and support. OSDE-SES will support and monitor the implementation of the improvement plan over time.</w:t>
      </w:r>
    </w:p>
    <w:p w14:paraId="7E25BD91" w14:textId="77777777" w:rsidR="006A2015" w:rsidRDefault="006A2015" w:rsidP="006A2015">
      <w:pPr>
        <w:pStyle w:val="Heading3"/>
        <w:numPr>
          <w:ilvl w:val="0"/>
          <w:numId w:val="25"/>
        </w:numPr>
      </w:pPr>
      <w:r>
        <w:t>Progress Monitoring</w:t>
      </w:r>
    </w:p>
    <w:p w14:paraId="08E66DC6" w14:textId="77777777" w:rsidR="006A2015" w:rsidRPr="00CB2EB9" w:rsidRDefault="006A2015" w:rsidP="006A2015">
      <w:r>
        <w:t>Progress monitoring of the LEA improvement plan is required.  The purpose of the progress monitoring is to ensure LEAs are reviewing data and the improvement plan to ensure adequate progress.  If there is little to no progress, the LEA must identify why and make any necessary changes or edits to the improvement plan to ensure adequate growth before the next District Data Profiles (DDP) are released on November 15th.  Progress monitoring results are due to the Oklahoma State Department of Education, Special Education Services no later than March 31</w:t>
      </w:r>
      <w:r w:rsidRPr="03D650D9">
        <w:rPr>
          <w:vertAlign w:val="superscript"/>
        </w:rPr>
        <w:t>st</w:t>
      </w:r>
      <w:r>
        <w:t xml:space="preserve"> and May 31</w:t>
      </w:r>
      <w:r w:rsidRPr="03D650D9">
        <w:rPr>
          <w:vertAlign w:val="superscript"/>
        </w:rPr>
        <w:t>st</w:t>
      </w:r>
      <w:r>
        <w:t xml:space="preserve">.  </w:t>
      </w:r>
    </w:p>
    <w:p w14:paraId="0B0DEF6B" w14:textId="77777777" w:rsidR="006A2015" w:rsidRDefault="006A2015" w:rsidP="006A2015">
      <w:pPr>
        <w:pStyle w:val="Heading3"/>
        <w:numPr>
          <w:ilvl w:val="0"/>
          <w:numId w:val="25"/>
        </w:numPr>
      </w:pPr>
      <w:r>
        <w:lastRenderedPageBreak/>
        <w:t xml:space="preserve">District Professional Development </w:t>
      </w:r>
    </w:p>
    <w:p w14:paraId="797A9046" w14:textId="1DD7460A" w:rsidR="006A2015" w:rsidRDefault="006A2015" w:rsidP="006A2015">
      <w:r>
        <w:t xml:space="preserve">LEAs required to conduct this activity will work with an OSDE-SES specialist to determine the appropriate module(s)/training. Professional development must be related to the indicators on the determination rating or risk factors in need of improvement. </w:t>
      </w:r>
    </w:p>
    <w:p w14:paraId="00C7BBA8" w14:textId="77777777" w:rsidR="006A2015" w:rsidRDefault="006A2015" w:rsidP="006A2015">
      <w:pPr>
        <w:pStyle w:val="Heading3"/>
        <w:numPr>
          <w:ilvl w:val="0"/>
          <w:numId w:val="25"/>
        </w:numPr>
      </w:pPr>
      <w:r>
        <w:t>Data Retreat</w:t>
      </w:r>
    </w:p>
    <w:p w14:paraId="0976BD4E" w14:textId="77777777" w:rsidR="006A2015" w:rsidRPr="00026B80" w:rsidRDefault="006A2015" w:rsidP="006A2015">
      <w:r>
        <w:t xml:space="preserve">LEAs assigned levels of support 2, 3, and 4 are required to send personnel responsible for data management to a data retreat provided by the compliance team.  DMR level 2 are required to participate in a half day training while DMR Level 3 and 4 must attend a full day training. These training events will be held annually and will guide personnel through how to conduct root cause analyses and how to use data to inform program improvement. </w:t>
      </w:r>
    </w:p>
    <w:p w14:paraId="2B48FF54" w14:textId="77777777" w:rsidR="006A2015" w:rsidRPr="00110BCD" w:rsidRDefault="006A2015" w:rsidP="006A2015">
      <w:pPr>
        <w:pStyle w:val="Heading3"/>
        <w:numPr>
          <w:ilvl w:val="0"/>
          <w:numId w:val="25"/>
        </w:numPr>
      </w:pPr>
      <w:r>
        <w:t>Withheld Funds</w:t>
      </w:r>
    </w:p>
    <w:p w14:paraId="2A77FC04" w14:textId="77777777" w:rsidR="006A2015" w:rsidRDefault="006A2015" w:rsidP="006A2015">
      <w:r>
        <w:t xml:space="preserve">The OSDE-SES may withhold funds, in whole or in part, in accordance with the federal regulations at 34 CFR §§ 300.604 and 300.605. OSDE may choose to withhold funds if required timelines are not met during the differentiated monitoring process.  More information is below. </w:t>
      </w:r>
    </w:p>
    <w:p w14:paraId="580BF404" w14:textId="77777777" w:rsidR="006A2015" w:rsidRDefault="006A2015" w:rsidP="006A2015">
      <w:pPr>
        <w:pStyle w:val="Heading3"/>
      </w:pPr>
      <w:r>
        <w:t>Required Activities in Response to Noncompliance</w:t>
      </w:r>
    </w:p>
    <w:p w14:paraId="5D9D1561" w14:textId="77777777" w:rsidR="006A2015" w:rsidRPr="004E0238" w:rsidRDefault="006A2015" w:rsidP="006A2015">
      <w:r>
        <w:t>As stated previously, each state is required to report all findings of noncompliance on APR indicators 4 and 9 through 13. Any LEA that is not 100 percent compliant must resolve all noncompliance in student records and confirm its resolution (“prong 1” activities) and then be monitored for continuous compliance (“prong 2” activities). These are federally required monitoring activities.</w:t>
      </w:r>
    </w:p>
    <w:p w14:paraId="6E4A1D2D" w14:textId="77777777" w:rsidR="006A2015" w:rsidRPr="004E0238" w:rsidRDefault="006A2015" w:rsidP="006A2015">
      <w:pPr>
        <w:pStyle w:val="Heading3"/>
      </w:pPr>
      <w:r>
        <w:t>Assurance Statement</w:t>
      </w:r>
    </w:p>
    <w:p w14:paraId="6E2AC3C9" w14:textId="6DFDBC19" w:rsidR="006A2015" w:rsidRDefault="006A2015" w:rsidP="006A2015">
      <w:pPr>
        <w:rPr>
          <w:rFonts w:eastAsia="Times New Roman"/>
        </w:rPr>
      </w:pPr>
      <w:r>
        <w:t xml:space="preserve">LEAs found in noncompliance are required to provide the OSDE-SES with a letter of assurance. The purpose of the assurance statement is for the LEA to inform the OSDE-SES that LEA will correct its noncompliance to 100%. </w:t>
      </w:r>
      <w:r w:rsidRPr="5EF294CC">
        <w:rPr>
          <w:rFonts w:eastAsia="Times New Roman"/>
        </w:rPr>
        <w:t xml:space="preserve">In accordance with 34 CFR 300.600(e), noncompliance must be corrected as soon as possible, and in no case later than one year from the date on which the LEA is notified of a finding of noncompliance. </w:t>
      </w:r>
    </w:p>
    <w:p w14:paraId="79A5ED87" w14:textId="77777777" w:rsidR="006A2015" w:rsidRDefault="006A2015" w:rsidP="006A2015">
      <w:pPr>
        <w:pStyle w:val="Heading3"/>
      </w:pPr>
      <w:r>
        <w:t>DMR Levels and required activities</w:t>
      </w:r>
    </w:p>
    <w:p w14:paraId="6D964974" w14:textId="77777777" w:rsidR="006A2015" w:rsidRPr="0000142B" w:rsidRDefault="006A2015" w:rsidP="006A2015">
      <w:r>
        <w:t>Beginning 2025-2026 School year.</w:t>
      </w:r>
    </w:p>
    <w:tbl>
      <w:tblPr>
        <w:tblStyle w:val="TableGrid"/>
        <w:tblpPr w:leftFromText="180" w:rightFromText="180" w:vertAnchor="text" w:horzAnchor="margin" w:tblpY="63"/>
        <w:tblW w:w="0" w:type="auto"/>
        <w:tblLook w:val="04A0" w:firstRow="1" w:lastRow="0" w:firstColumn="1" w:lastColumn="0" w:noHBand="0" w:noVBand="1"/>
      </w:tblPr>
      <w:tblGrid>
        <w:gridCol w:w="2697"/>
        <w:gridCol w:w="2697"/>
        <w:gridCol w:w="2698"/>
        <w:gridCol w:w="2698"/>
      </w:tblGrid>
      <w:tr w:rsidR="006A2015" w14:paraId="49A57C1D" w14:textId="77777777" w:rsidTr="00C15F3D">
        <w:tc>
          <w:tcPr>
            <w:tcW w:w="2697" w:type="dxa"/>
            <w:shd w:val="clear" w:color="auto" w:fill="E1EA9F" w:themeFill="accent2" w:themeFillTint="66"/>
          </w:tcPr>
          <w:p w14:paraId="398CD942" w14:textId="77777777" w:rsidR="006A2015" w:rsidRPr="002A1DB4" w:rsidRDefault="006A2015" w:rsidP="00C15F3D">
            <w:pPr>
              <w:spacing w:after="160"/>
              <w:rPr>
                <w:rStyle w:val="Heading2Char"/>
                <w:rFonts w:asciiTheme="minorHAnsi" w:eastAsiaTheme="minorEastAsia" w:hAnsiTheme="minorHAnsi" w:cstheme="minorBidi"/>
                <w:color w:val="auto"/>
                <w:sz w:val="24"/>
                <w:szCs w:val="24"/>
              </w:rPr>
            </w:pPr>
            <w:bookmarkStart w:id="12" w:name="_Toc89169705"/>
            <w:bookmarkStart w:id="13" w:name="_Hlk198042466"/>
            <w:r w:rsidRPr="5EF294CC">
              <w:rPr>
                <w:rStyle w:val="Heading2Char"/>
                <w:rFonts w:asciiTheme="minorHAnsi" w:eastAsiaTheme="minorEastAsia" w:hAnsiTheme="minorHAnsi" w:cstheme="minorBidi"/>
                <w:color w:val="auto"/>
                <w:sz w:val="24"/>
                <w:szCs w:val="24"/>
              </w:rPr>
              <w:t>D</w:t>
            </w:r>
            <w:r w:rsidRPr="5EF294CC">
              <w:rPr>
                <w:rStyle w:val="Heading2Char"/>
                <w:color w:val="auto"/>
                <w:sz w:val="24"/>
                <w:szCs w:val="24"/>
              </w:rPr>
              <w:t>MR Level 1</w:t>
            </w:r>
          </w:p>
        </w:tc>
        <w:tc>
          <w:tcPr>
            <w:tcW w:w="2697" w:type="dxa"/>
            <w:shd w:val="clear" w:color="auto" w:fill="E1EA9F" w:themeFill="accent2" w:themeFillTint="66"/>
          </w:tcPr>
          <w:p w14:paraId="6B778507" w14:textId="77777777" w:rsidR="006A2015" w:rsidRPr="002A1DB4" w:rsidRDefault="006A2015" w:rsidP="00C15F3D">
            <w:pPr>
              <w:spacing w:after="160"/>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D</w:t>
            </w:r>
            <w:r w:rsidRPr="5EF294CC">
              <w:rPr>
                <w:rStyle w:val="Heading2Char"/>
                <w:color w:val="auto"/>
                <w:sz w:val="24"/>
                <w:szCs w:val="24"/>
              </w:rPr>
              <w:t>MR Level 2</w:t>
            </w:r>
          </w:p>
        </w:tc>
        <w:tc>
          <w:tcPr>
            <w:tcW w:w="2698" w:type="dxa"/>
            <w:shd w:val="clear" w:color="auto" w:fill="E1EA9F" w:themeFill="accent2" w:themeFillTint="66"/>
          </w:tcPr>
          <w:p w14:paraId="63374564" w14:textId="77777777" w:rsidR="006A2015" w:rsidRDefault="006A2015" w:rsidP="00C15F3D">
            <w:pPr>
              <w:spacing w:after="160"/>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DMR Level 3</w:t>
            </w:r>
          </w:p>
        </w:tc>
        <w:tc>
          <w:tcPr>
            <w:tcW w:w="2698" w:type="dxa"/>
            <w:shd w:val="clear" w:color="auto" w:fill="E1EA9F" w:themeFill="accent2" w:themeFillTint="66"/>
          </w:tcPr>
          <w:p w14:paraId="5A6E043D" w14:textId="77777777" w:rsidR="006A2015" w:rsidRDefault="006A2015" w:rsidP="00C15F3D">
            <w:pPr>
              <w:spacing w:after="160"/>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DMR Level 4</w:t>
            </w:r>
          </w:p>
        </w:tc>
      </w:tr>
      <w:tr w:rsidR="006A2015" w14:paraId="6AC58FB2" w14:textId="77777777" w:rsidTr="00C15F3D">
        <w:tc>
          <w:tcPr>
            <w:tcW w:w="2697" w:type="dxa"/>
          </w:tcPr>
          <w:p w14:paraId="6C974A36" w14:textId="77777777" w:rsidR="006A2015" w:rsidRDefault="006A2015" w:rsidP="00C15F3D">
            <w:p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Toolkits must be completed for the following indicators the LEA is not meeting the target.</w:t>
            </w:r>
          </w:p>
          <w:p w14:paraId="0306E61E" w14:textId="77777777" w:rsidR="006A2015" w:rsidRDefault="006A2015" w:rsidP="00C15F3D">
            <w:pPr>
              <w:pStyle w:val="ListParagraph"/>
              <w:numPr>
                <w:ilvl w:val="0"/>
                <w:numId w:val="30"/>
              </w:num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Indicators 4, 9, 10</w:t>
            </w:r>
          </w:p>
          <w:p w14:paraId="3AB6C0F9" w14:textId="77777777" w:rsidR="006A2015" w:rsidRDefault="006A2015" w:rsidP="00C15F3D">
            <w:pPr>
              <w:pStyle w:val="ListParagraph"/>
              <w:numPr>
                <w:ilvl w:val="0"/>
                <w:numId w:val="30"/>
              </w:num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Indicators 11, 12, &amp; 13</w:t>
            </w:r>
          </w:p>
          <w:p w14:paraId="1015F385" w14:textId="77777777" w:rsidR="006A2015" w:rsidRPr="00D623B8" w:rsidRDefault="006A2015" w:rsidP="00C15F3D">
            <w:pPr>
              <w:pStyle w:val="ListParagraph"/>
              <w:numPr>
                <w:ilvl w:val="0"/>
                <w:numId w:val="30"/>
              </w:num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Indicator 3</w:t>
            </w:r>
          </w:p>
        </w:tc>
        <w:tc>
          <w:tcPr>
            <w:tcW w:w="2697" w:type="dxa"/>
          </w:tcPr>
          <w:p w14:paraId="352BDE61" w14:textId="77777777" w:rsidR="006A2015" w:rsidRDefault="006A2015" w:rsidP="00C15F3D">
            <w:pPr>
              <w:spacing w:after="160"/>
              <w:jc w:val="left"/>
              <w:rPr>
                <w:rStyle w:val="Heading2Char"/>
                <w:rFonts w:asciiTheme="minorHAnsi" w:eastAsiaTheme="minorEastAsia" w:hAnsiTheme="minorHAnsi" w:cstheme="minorBidi"/>
                <w:color w:val="auto"/>
                <w:sz w:val="24"/>
                <w:szCs w:val="24"/>
              </w:rPr>
            </w:pPr>
            <w:r w:rsidRPr="03D650D9">
              <w:rPr>
                <w:rStyle w:val="Heading2Char"/>
                <w:rFonts w:asciiTheme="minorHAnsi" w:eastAsiaTheme="minorEastAsia" w:hAnsiTheme="minorHAnsi" w:cstheme="minorBidi"/>
                <w:color w:val="auto"/>
                <w:sz w:val="24"/>
                <w:szCs w:val="24"/>
              </w:rPr>
              <w:t>Toolkits must be completed for the following indicators the LEA is not meeting the target.</w:t>
            </w:r>
          </w:p>
          <w:p w14:paraId="6EFEF764" w14:textId="77777777" w:rsidR="006A2015" w:rsidRDefault="006A2015" w:rsidP="00C15F3D">
            <w:pPr>
              <w:pStyle w:val="ListParagraph"/>
              <w:numPr>
                <w:ilvl w:val="0"/>
                <w:numId w:val="30"/>
              </w:num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Indicators 4, 9, 10</w:t>
            </w:r>
          </w:p>
          <w:p w14:paraId="4665B475" w14:textId="77777777" w:rsidR="006A2015" w:rsidRDefault="006A2015" w:rsidP="00C15F3D">
            <w:pPr>
              <w:pStyle w:val="ListParagraph"/>
              <w:numPr>
                <w:ilvl w:val="0"/>
                <w:numId w:val="30"/>
              </w:num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Indicators 11, 12, &amp; 13</w:t>
            </w:r>
          </w:p>
          <w:p w14:paraId="46C8D388" w14:textId="77777777" w:rsidR="006A2015" w:rsidRDefault="006A2015" w:rsidP="00C15F3D">
            <w:pPr>
              <w:pStyle w:val="ListParagraph"/>
              <w:numPr>
                <w:ilvl w:val="0"/>
                <w:numId w:val="30"/>
              </w:num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Indicators 1, 2, 3, &amp; 7</w:t>
            </w:r>
          </w:p>
          <w:p w14:paraId="2167D8E2" w14:textId="77777777" w:rsidR="006A2015" w:rsidRDefault="006A2015" w:rsidP="00C15F3D">
            <w:pPr>
              <w:pStyle w:val="ListParagraph"/>
              <w:numPr>
                <w:ilvl w:val="0"/>
                <w:numId w:val="30"/>
              </w:num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Fiscal</w:t>
            </w:r>
          </w:p>
          <w:p w14:paraId="27F80CBA" w14:textId="77777777" w:rsidR="006A2015" w:rsidRPr="00D623B8" w:rsidRDefault="006A2015" w:rsidP="00C15F3D">
            <w:p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lastRenderedPageBreak/>
              <w:t>The LEA will also participate in a ½ day data retreat</w:t>
            </w:r>
          </w:p>
        </w:tc>
        <w:tc>
          <w:tcPr>
            <w:tcW w:w="2698" w:type="dxa"/>
          </w:tcPr>
          <w:p w14:paraId="720CFF01" w14:textId="77777777" w:rsidR="006A2015" w:rsidRDefault="006A2015" w:rsidP="00C15F3D">
            <w:p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lastRenderedPageBreak/>
              <w:t>Toolkits must be completed for the following indicators the LEA is not meeting the target.</w:t>
            </w:r>
          </w:p>
          <w:p w14:paraId="779FB57B" w14:textId="77777777" w:rsidR="006A2015" w:rsidRDefault="006A2015" w:rsidP="00C15F3D">
            <w:pPr>
              <w:pStyle w:val="ListParagraph"/>
              <w:numPr>
                <w:ilvl w:val="0"/>
                <w:numId w:val="30"/>
              </w:num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Indicators 4, 9, 10</w:t>
            </w:r>
          </w:p>
          <w:p w14:paraId="45023415" w14:textId="77777777" w:rsidR="006A2015" w:rsidRDefault="006A2015" w:rsidP="00C15F3D">
            <w:pPr>
              <w:pStyle w:val="ListParagraph"/>
              <w:numPr>
                <w:ilvl w:val="0"/>
                <w:numId w:val="30"/>
              </w:num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Indicators 11, 12, &amp; 13</w:t>
            </w:r>
          </w:p>
          <w:p w14:paraId="0094E1F9" w14:textId="77777777" w:rsidR="006A2015" w:rsidRDefault="006A2015" w:rsidP="00C15F3D">
            <w:pPr>
              <w:pStyle w:val="ListParagraph"/>
              <w:numPr>
                <w:ilvl w:val="0"/>
                <w:numId w:val="30"/>
              </w:num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Indicators 1, 2, 3, &amp; 7</w:t>
            </w:r>
          </w:p>
          <w:p w14:paraId="6AADC6DA" w14:textId="77777777" w:rsidR="006A2015" w:rsidRDefault="006A2015" w:rsidP="00C15F3D">
            <w:pPr>
              <w:pStyle w:val="ListParagraph"/>
              <w:numPr>
                <w:ilvl w:val="0"/>
                <w:numId w:val="30"/>
              </w:num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Fiscal</w:t>
            </w:r>
          </w:p>
          <w:p w14:paraId="27B27848" w14:textId="77777777" w:rsidR="006A2015" w:rsidRDefault="006A2015" w:rsidP="00C15F3D">
            <w:p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lastRenderedPageBreak/>
              <w:t>The LEA will also participate in a full day data retreat</w:t>
            </w:r>
          </w:p>
          <w:p w14:paraId="04BD345B" w14:textId="77777777" w:rsidR="006A2015" w:rsidRPr="00D623B8" w:rsidRDefault="006A2015" w:rsidP="00C15F3D">
            <w:p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Develop &amp; submit LEA processes for monitoring for each indicator of noncompliance.</w:t>
            </w:r>
          </w:p>
        </w:tc>
        <w:tc>
          <w:tcPr>
            <w:tcW w:w="2698" w:type="dxa"/>
          </w:tcPr>
          <w:p w14:paraId="698E447F" w14:textId="77777777" w:rsidR="006A2015" w:rsidRDefault="006A2015" w:rsidP="00C15F3D">
            <w:p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lastRenderedPageBreak/>
              <w:t>Toolkits must be completed for the following indicators the LEA is not meeting the target.</w:t>
            </w:r>
          </w:p>
          <w:p w14:paraId="11E6BA3F" w14:textId="77777777" w:rsidR="006A2015" w:rsidRDefault="006A2015" w:rsidP="00C15F3D">
            <w:pPr>
              <w:pStyle w:val="ListParagraph"/>
              <w:numPr>
                <w:ilvl w:val="0"/>
                <w:numId w:val="30"/>
              </w:num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Indicators 4, 9, 10</w:t>
            </w:r>
          </w:p>
          <w:p w14:paraId="5B83AAE6" w14:textId="77777777" w:rsidR="006A2015" w:rsidRDefault="006A2015" w:rsidP="00C15F3D">
            <w:pPr>
              <w:pStyle w:val="ListParagraph"/>
              <w:numPr>
                <w:ilvl w:val="0"/>
                <w:numId w:val="30"/>
              </w:num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Indicators 11, 12, &amp; 13</w:t>
            </w:r>
          </w:p>
          <w:p w14:paraId="6540133E" w14:textId="77777777" w:rsidR="006A2015" w:rsidRDefault="006A2015" w:rsidP="00C15F3D">
            <w:pPr>
              <w:pStyle w:val="ListParagraph"/>
              <w:numPr>
                <w:ilvl w:val="0"/>
                <w:numId w:val="30"/>
              </w:num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Indicators 1, 2, 3, &amp; 7</w:t>
            </w:r>
          </w:p>
          <w:p w14:paraId="662F1B9F" w14:textId="77777777" w:rsidR="006A2015" w:rsidRDefault="006A2015" w:rsidP="00C15F3D">
            <w:pPr>
              <w:pStyle w:val="ListParagraph"/>
              <w:numPr>
                <w:ilvl w:val="0"/>
                <w:numId w:val="30"/>
              </w:num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Fiscal</w:t>
            </w:r>
          </w:p>
          <w:p w14:paraId="38438465" w14:textId="77777777" w:rsidR="006A2015" w:rsidRDefault="006A2015" w:rsidP="00C15F3D">
            <w:p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lastRenderedPageBreak/>
              <w:t>The LEA will also participate in a full day data retreat</w:t>
            </w:r>
          </w:p>
          <w:p w14:paraId="113AE42C" w14:textId="77777777" w:rsidR="006A2015" w:rsidRDefault="006A2015" w:rsidP="00C15F3D">
            <w:p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Develop &amp; submit LEA processes for monitoring of indicators of noncompliance.</w:t>
            </w:r>
          </w:p>
          <w:p w14:paraId="1B50186B" w14:textId="77777777" w:rsidR="006A2015" w:rsidRPr="00D623B8" w:rsidRDefault="006A2015" w:rsidP="00C15F3D">
            <w:pPr>
              <w:spacing w:after="160"/>
              <w:jc w:val="left"/>
              <w:rPr>
                <w:rStyle w:val="Heading2Char"/>
                <w:rFonts w:asciiTheme="minorHAnsi" w:eastAsiaTheme="minorEastAsia" w:hAnsiTheme="minorHAnsi" w:cstheme="minorBidi"/>
                <w:color w:val="auto"/>
                <w:sz w:val="24"/>
                <w:szCs w:val="24"/>
              </w:rPr>
            </w:pPr>
            <w:r w:rsidRPr="5EF294CC">
              <w:rPr>
                <w:rStyle w:val="Heading2Char"/>
                <w:rFonts w:asciiTheme="minorHAnsi" w:eastAsiaTheme="minorEastAsia" w:hAnsiTheme="minorHAnsi" w:cstheme="minorBidi"/>
                <w:color w:val="auto"/>
                <w:sz w:val="24"/>
                <w:szCs w:val="24"/>
              </w:rPr>
              <w:t xml:space="preserve">LEA team will meet with SDE team quarterly to review data and progress for each indicator of noncompliance. </w:t>
            </w:r>
          </w:p>
        </w:tc>
      </w:tr>
    </w:tbl>
    <w:p w14:paraId="38267CCD" w14:textId="77777777" w:rsidR="006A2015" w:rsidRDefault="006A2015" w:rsidP="006A2015">
      <w:pPr>
        <w:pStyle w:val="Heading3"/>
        <w:keepNext/>
        <w:keepLines/>
        <w:spacing w:before="160" w:after="80"/>
        <w:jc w:val="both"/>
      </w:pPr>
    </w:p>
    <w:p w14:paraId="378E95EC" w14:textId="77777777" w:rsidR="006A2015" w:rsidRPr="004E0238" w:rsidRDefault="006A2015" w:rsidP="006A2015">
      <w:pPr>
        <w:pStyle w:val="Heading3"/>
        <w:keepNext/>
        <w:keepLines/>
        <w:spacing w:before="160" w:after="80"/>
        <w:jc w:val="both"/>
      </w:pPr>
      <w:r>
        <w:t xml:space="preserve"> Prong II: Systemic Compliance</w:t>
      </w:r>
      <w:bookmarkEnd w:id="12"/>
      <w:r>
        <w:t xml:space="preserve"> (Indicators 11, 12, 13) and Student Confidential Records Review </w:t>
      </w:r>
    </w:p>
    <w:p w14:paraId="2E9195EF" w14:textId="106C0F76" w:rsidR="006A2015" w:rsidRDefault="006A2015" w:rsidP="006A2015">
      <w:r>
        <w:t xml:space="preserve">OSEP requires states to verify systemic compliance, or “Prong II,” as part of the correction of findings of noncompliance process that must be completed within one year of issuing a written finding of noncompliance to an LEA.  Prong II reviews ensure that LEAs with findings of noncompliance have addressed the source of the noncompliance in the indicator(s) of interest or student specific file reviews and that they are now correctly implementing the IDEA regulatory requirements. OSDE-SES refers to this Prong II process as systemic compliance reviews. Below you will find specific information for the </w:t>
      </w:r>
      <w:r w:rsidR="41E27F2B">
        <w:t>i</w:t>
      </w:r>
      <w:r>
        <w:t xml:space="preserve">ndicators and student specific file review. </w:t>
      </w:r>
    </w:p>
    <w:p w14:paraId="2231BC88" w14:textId="77777777" w:rsidR="006A2015" w:rsidRDefault="006A2015" w:rsidP="006A2015">
      <w:pPr>
        <w:pStyle w:val="Heading4"/>
      </w:pPr>
      <w:r>
        <w:t>Compliance Indicators Prong II Systemic Compliance Review (Indicators 4, 9, 10, 11, 12, and 13)</w:t>
      </w:r>
    </w:p>
    <w:p w14:paraId="691A648D" w14:textId="77777777" w:rsidR="006A2015" w:rsidRPr="004E0238" w:rsidRDefault="006A2015" w:rsidP="006A2015">
      <w:r>
        <w:t xml:space="preserve">OSDE-SES conducts systemic compliance reviews through a sampling process by which data is pulled from EdPlan to identify potential student records that require compliance reviews related to the specific to the area of the identified noncompliance. The random sampling (Prong II Systemic Compliance Review) will begin in March of each year, after LEAs have corrected student-specific noncompliance and implemented their corrective actions and continue until the LEAs have demonstrated 100% compliance for the specific indicator(s) (Indicators 4, 9, 10,  11, 12, and 13) with identified noncompliance. </w:t>
      </w:r>
    </w:p>
    <w:p w14:paraId="34906970" w14:textId="77777777" w:rsidR="006A2015" w:rsidRDefault="006A2015" w:rsidP="006A2015">
      <w:r>
        <w:t>Random samples of student records selected to complete Prong II, or systemic compliance reviews for Indicators 4, 9, 10, 11, 12, and 13 will be pulled from an LEA’s full set of student records relevant to the indicator for a specific sampling period.  Once the LEA demonstrates 100% compliance within a sampling period, their findings of noncompliance will be considered closed out. The number of records reviewed will be 10% or if 1 file is 10% then 3 files will be selected, up to a maximum of 35 records selected. However, if 10% of this population equals three or fewer records, all records will be reviewed. The OSDE-SES will begin the Prong II random sampling of records in April for the month of March, May for the month of April, June for the month of May, September for the month of August, October for the month of September, November for the month of October, and so on until the LEA demonstrates 100%.</w:t>
      </w:r>
    </w:p>
    <w:p w14:paraId="2329BCF7" w14:textId="77777777" w:rsidR="006A2015" w:rsidRDefault="006A2015" w:rsidP="006A2015">
      <w:pPr>
        <w:ind w:left="720"/>
      </w:pPr>
      <w:r>
        <w:t>Example 1: An LEA has a finding of noncompliance related to Indicator 13 and the first sampling period for systemic compliance reviews is the month of March for the most recent school year. There are 35 IEPs completed in March for secondary transition-aged students who require transition plans. OSDE-SES will review 10%, or 3 records, from this sampling period to review for compliance with regulatory requirements.</w:t>
      </w:r>
    </w:p>
    <w:p w14:paraId="134309F4" w14:textId="77777777" w:rsidR="006A2015" w:rsidRPr="00D651C7" w:rsidRDefault="006A2015" w:rsidP="006A2015">
      <w:pPr>
        <w:ind w:left="720"/>
      </w:pPr>
      <w:r>
        <w:lastRenderedPageBreak/>
        <w:t>Example 2: An LEA has a finding of noncompliance for Indicator 11 and the first sampling period for systemic compliance reviews is the month of March for the most recent school year. There are 10 initial evaluations completed within the month of March, and 10% of this population would be 1 student but the minimum number of records reviewed for a sampling period is 3. Accordingly, OSDE-SES will randomly sample 3 records from this sampling period to review for compliance with regulatory requirements.</w:t>
      </w:r>
    </w:p>
    <w:p w14:paraId="0DE18E4A" w14:textId="77777777" w:rsidR="006A2015" w:rsidRDefault="006A2015" w:rsidP="006A2015">
      <w:pPr>
        <w:spacing w:after="160"/>
      </w:pPr>
      <w:r>
        <w:t>If an LEA does not have subsequent student records available in a given sampling period, OSDE-SES will include the LEA in reviews for the next sampling period. For example, if an LEA with noncompliance for Indicator 12 does not have any students transitioning from Part C to Part B within the month of March, OSDE-SES will wait to review data in the month of April. If no new records are available through October of the following school year, OSDE-SES will look for other evidence of implementation of regulatory requirements (e.g., training materials, LEA-developed tools or processes to address area(s) of noncompliance finding, documented policies and procedures addressing area(s) of noncompliance finding) to verify systemic compliance and implementation of regulatory requirements.</w:t>
      </w:r>
    </w:p>
    <w:p w14:paraId="211C6CA6" w14:textId="77777777" w:rsidR="006A2015" w:rsidRPr="00D651C7" w:rsidRDefault="006A2015" w:rsidP="006A2015">
      <w:pPr>
        <w:pStyle w:val="Heading4"/>
      </w:pPr>
      <w:r>
        <w:t>Differentiated Monitoring Cycle (DMC) Prong II Systemic Compliance Review</w:t>
      </w:r>
    </w:p>
    <w:p w14:paraId="5A80E5E2" w14:textId="77777777" w:rsidR="006A2015" w:rsidRDefault="006A2015" w:rsidP="006A2015">
      <w:pPr>
        <w:spacing w:after="160"/>
      </w:pPr>
      <w:r>
        <w:t xml:space="preserve">LEAs that have completed their student file review of the DMC will also have a Prong II Systemic Compliance review for student confidential record review.  </w:t>
      </w:r>
      <w:r w:rsidRPr="0000142B">
        <w:t>The Prong II or systemic compliance review must be completed within one year of the issuance of the DMC Monitoring Report.  For example, the LEA receives their DMC monitoring report on October 1</w:t>
      </w:r>
      <w:r w:rsidRPr="0000142B">
        <w:rPr>
          <w:vertAlign w:val="superscript"/>
        </w:rPr>
        <w:t>st</w:t>
      </w:r>
      <w:r>
        <w:t xml:space="preserve"> p</w:t>
      </w:r>
      <w:r w:rsidRPr="0000142B">
        <w:t>rong I</w:t>
      </w:r>
      <w:r>
        <w:t>I</w:t>
      </w:r>
      <w:r w:rsidRPr="0000142B">
        <w:t xml:space="preserve"> corrections will be required to meet compliance by </w:t>
      </w:r>
      <w:r>
        <w:t>October</w:t>
      </w:r>
      <w:r w:rsidRPr="0000142B">
        <w:t xml:space="preserve"> 1</w:t>
      </w:r>
      <w:r w:rsidRPr="0000142B">
        <w:rPr>
          <w:vertAlign w:val="superscript"/>
        </w:rPr>
        <w:t>st</w:t>
      </w:r>
      <w:r>
        <w:rPr>
          <w:vertAlign w:val="superscript"/>
        </w:rPr>
        <w:t xml:space="preserve"> </w:t>
      </w:r>
      <w:r>
        <w:t xml:space="preserve">of the following year. </w:t>
      </w:r>
      <w:r w:rsidRPr="0000142B">
        <w:t xml:space="preserve"> </w:t>
      </w:r>
    </w:p>
    <w:p w14:paraId="1DFFF72E" w14:textId="77777777" w:rsidR="006A2015" w:rsidRDefault="006A2015" w:rsidP="006A2015">
      <w:pPr>
        <w:spacing w:after="160"/>
      </w:pPr>
      <w:r>
        <w:t xml:space="preserve">The OSDE-SES will complete a sampling of new records that have had a new eligibility and/or IEP, only reviewing the areas of identified noncompliance.  The number of records that will be reviewed with be 10% with a maximum of 35 records and no fewer than 3 records. </w:t>
      </w:r>
    </w:p>
    <w:bookmarkEnd w:id="13"/>
    <w:p w14:paraId="2F449E29" w14:textId="4083E06E" w:rsidR="2F6BAAC9" w:rsidRDefault="2F6BAAC9" w:rsidP="7F34516E">
      <w:r w:rsidRPr="5EF294CC">
        <w:rPr>
          <w:rStyle w:val="Heading2Char"/>
        </w:rPr>
        <w:t>Selective Review</w:t>
      </w:r>
      <w:r>
        <w:t xml:space="preserve">  </w:t>
      </w:r>
    </w:p>
    <w:p w14:paraId="3DBB2C2E" w14:textId="611A146D" w:rsidR="00880635" w:rsidRDefault="00880635">
      <w:bookmarkStart w:id="14" w:name="_Hlk178769060"/>
      <w:r>
        <w:t xml:space="preserve">Office of Special Education Programs (OSEP) issued an OSEP QA 23-01 document to assist states in meeting the general supervision responsibilities under Part B of the IDEA.  According to the OSEP QA 23-01, the following guidance aligns </w:t>
      </w:r>
      <w:r w:rsidR="00165A14">
        <w:t>with</w:t>
      </w:r>
      <w:r>
        <w:t xml:space="preserve"> the Selective Review process.</w:t>
      </w:r>
    </w:p>
    <w:p w14:paraId="3DF21113" w14:textId="77777777" w:rsidR="00165A14" w:rsidRDefault="00880635">
      <w:r>
        <w:t>B1: What is an “area of concern”?</w:t>
      </w:r>
    </w:p>
    <w:p w14:paraId="4E2F8C61" w14:textId="16EDDAC7" w:rsidR="00165A14" w:rsidRDefault="00165A14">
      <w:r>
        <w:t xml:space="preserve">Answer: Although not defined in IDEA and its implementing regulation an “area of concern” means a credible allegation regarding an IDEA policy, procedure, or practice, or other requirement that raises one or more potential implementation or compliance issues, if confirmed true. Such credible allegations (e.g., information and awareness) may come from integrated monitoring activities, data reviews, grant reviews, stakeholder calls, media reports, dispute resolution systems, or other mechanisms that relate to IDEA implementation. </w:t>
      </w:r>
    </w:p>
    <w:p w14:paraId="35996E17" w14:textId="684567EF" w:rsidR="00880635" w:rsidRDefault="00880635">
      <w:r>
        <w:t>B2: What actions must a State take when made aware of an area of concern with an LEA’s program’s implementation of IDEA?</w:t>
      </w:r>
    </w:p>
    <w:p w14:paraId="582AA4F7" w14:textId="5889C10E" w:rsidR="00880635" w:rsidRDefault="00880635">
      <w:r>
        <w:t xml:space="preserve">Answer: The State must ensure that its general supervision system includes policies, procedures, and </w:t>
      </w:r>
      <w:r w:rsidR="00165A14">
        <w:t>practices</w:t>
      </w:r>
      <w:r>
        <w:t xml:space="preserve"> that are reasonably designed to consider and address areas of concern (i.e., credible allegations of LEAs program) in a timely manner.  34 CFR §§300. 149 and 303.120.  A </w:t>
      </w:r>
      <w:r w:rsidR="00165A14">
        <w:t>State</w:t>
      </w:r>
      <w:r>
        <w:t xml:space="preserve"> must conduct proper due </w:t>
      </w:r>
      <w:r w:rsidR="00165A14">
        <w:t>diligence when made aware of an area of concern regarding an LEA’s program implementation of IDEA and reach a conclusion in a reasonable amount of time. A State’s proper due diligence activities may include but are not limited to: conducting clarifying legal research, interviewing staff, parents of children with disabilities, children with disabilities, and groups that represent the families and communities served but the LEA’s program, and reviewing and analyzing data or information.</w:t>
      </w:r>
      <w:bookmarkEnd w:id="14"/>
    </w:p>
    <w:p w14:paraId="4D4FF0EE" w14:textId="32A1F759" w:rsidR="7F34516E" w:rsidRDefault="1D6E9B28" w:rsidP="7F34516E">
      <w:r>
        <w:lastRenderedPageBreak/>
        <w:t>The selective review process is intended to enable the SDE to investigate credible allegations</w:t>
      </w:r>
      <w:r w:rsidR="00710393">
        <w:t xml:space="preserve"> of noncompliance</w:t>
      </w:r>
      <w:r>
        <w:t xml:space="preserve"> in an effort to support LEAs. When issues of concern are brought to OSDE-SES’s attention regarding an LEA’s implementation of IDEA, a selective review may be conducted to determine</w:t>
      </w:r>
      <w:r w:rsidR="00710393">
        <w:t xml:space="preserve"> </w:t>
      </w:r>
      <w:r w:rsidR="003D7FFD">
        <w:t xml:space="preserve">if </w:t>
      </w:r>
      <w:r w:rsidR="00710393">
        <w:t>any noncompliance</w:t>
      </w:r>
      <w:r w:rsidR="003D7FFD">
        <w:t xml:space="preserve"> exists</w:t>
      </w:r>
      <w:r w:rsidR="00710393">
        <w:t xml:space="preserve"> and</w:t>
      </w:r>
      <w:r>
        <w:t xml:space="preserve"> the level of assistance needed. For example, OSDE-SES may determine an LEA needs a comprehensive on-site review or targeted technical assistance, depending on the information provided, the source of that information, and other relevant factors. Selective reviews</w:t>
      </w:r>
      <w:r w:rsidR="003D7FFD">
        <w:t xml:space="preserve"> may</w:t>
      </w:r>
      <w:r>
        <w:t xml:space="preserve"> consider (but are not limited to) the following data elements: stakeholder concerns, phone log information,</w:t>
      </w:r>
      <w:r w:rsidR="003D7FFD">
        <w:t xml:space="preserve"> </w:t>
      </w:r>
      <w:r>
        <w:t xml:space="preserve"> </w:t>
      </w:r>
      <w:r w:rsidR="003D7FFD">
        <w:t xml:space="preserve">state </w:t>
      </w:r>
      <w:r>
        <w:t xml:space="preserve">complaint, due process hearing requests or hearing results, mediation, email correspondence, </w:t>
      </w:r>
      <w:r w:rsidR="45727A3B">
        <w:t xml:space="preserve">District Data Profile (DDP), Differentiated Monitoring Results (DMR), </w:t>
      </w:r>
      <w:r w:rsidR="00710393">
        <w:t>fiscal,</w:t>
      </w:r>
      <w:r w:rsidR="003D7FFD">
        <w:t xml:space="preserve"> </w:t>
      </w:r>
      <w:r w:rsidR="00252635">
        <w:t>student-level</w:t>
      </w:r>
      <w:r w:rsidR="003D7FFD">
        <w:t xml:space="preserve"> file review</w:t>
      </w:r>
      <w:r w:rsidR="00710393">
        <w:t xml:space="preserve"> </w:t>
      </w:r>
      <w:r>
        <w:t>and critical and/or special investigative audits and findings related to special education.</w:t>
      </w:r>
      <w:r w:rsidR="003D7FFD">
        <w:t xml:space="preserve"> Any identified noncompliance will result in a formal letter of noncompliance with a corrective action plan (CAP).</w:t>
      </w:r>
      <w:r>
        <w:t xml:space="preserve"> These may happen at any time and are unrelated to the differentiated monitoring process, except that a selective review may be deemed necessary as a result of the DMR process.</w:t>
      </w:r>
    </w:p>
    <w:p w14:paraId="68687D88" w14:textId="48C9368E" w:rsidR="00785C8A" w:rsidRDefault="00785C8A" w:rsidP="00785C8A">
      <w:pPr>
        <w:pStyle w:val="Heading2"/>
      </w:pPr>
      <w:r>
        <w:t>Longstanding Noncompliance</w:t>
      </w:r>
    </w:p>
    <w:p w14:paraId="51CB20BA" w14:textId="43FC8CA3" w:rsidR="00785C8A" w:rsidRDefault="00785C8A" w:rsidP="00785C8A">
      <w:r>
        <w:t>Office of Special Education Programs (OSEP) issued an OSEP QA 23-01 document to assist states in meeting the general supervision responsibilities under Part B of the IDEA.  According to the OSEP QA 23-01, the following guidance aligns with the Longstanding Noncompliance Expectations.</w:t>
      </w:r>
    </w:p>
    <w:p w14:paraId="78B371AF" w14:textId="455E6F43" w:rsidR="00785C8A" w:rsidRDefault="00785C8A" w:rsidP="00785C8A">
      <w:r>
        <w:t>B17: What factors should a Stat</w:t>
      </w:r>
      <w:r w:rsidR="3BC8D202">
        <w:t>e</w:t>
      </w:r>
      <w:r w:rsidR="00D8B53B">
        <w:t xml:space="preserve"> </w:t>
      </w:r>
      <w:r>
        <w:t>consider if an LEA provider has longstanding noncompliance with the IDEA requirement?</w:t>
      </w:r>
    </w:p>
    <w:p w14:paraId="5FD13AB7" w14:textId="4149B141" w:rsidR="00785C8A" w:rsidRDefault="00785C8A" w:rsidP="00785C8A">
      <w:r>
        <w:t xml:space="preserve">Answer: If an LEA provider did not correct identified </w:t>
      </w:r>
      <w:r w:rsidR="000F1CFF">
        <w:t>noncompliance</w:t>
      </w:r>
      <w:r>
        <w:t xml:space="preserve"> in a timely manner (i.e.</w:t>
      </w:r>
      <w:r w:rsidR="000F1CFF">
        <w:t xml:space="preserve">, within one year from the written notification of noncompliance), the State must still verify that the noncompliance was subsequently corrected.  If an LEA provider is not yet correctly implementing the statutory or regulatory requirement(s), the State needs to identify the cause(s) of continuing noncompliance and take steps to address the continued lack of compliance including, as appropriate, enforcement actions. </w:t>
      </w:r>
    </w:p>
    <w:p w14:paraId="47D32453" w14:textId="108FB874" w:rsidR="00785C8A" w:rsidRDefault="000F1CFF" w:rsidP="000F1CFF">
      <w:r>
        <w:t>Additional required steps for any LEA that has not corrected noncompliance within one year of the written finding will be subject to additional corrective actions as listed in the Tiered process beginning on page 2</w:t>
      </w:r>
      <w:r w:rsidR="006E6E07">
        <w:t>8</w:t>
      </w:r>
      <w:r>
        <w:t xml:space="preserve"> of this manual.  Longstanding noncompliance applies to Indicators 3, 4, 7, 9, 10, 11, 12, 13, unresolved Selective Review </w:t>
      </w:r>
      <w:r w:rsidR="006A6502">
        <w:t>findings,</w:t>
      </w:r>
      <w:r>
        <w:t xml:space="preserve"> cyclical monitoring</w:t>
      </w:r>
      <w:r w:rsidR="006A6502">
        <w:t xml:space="preserve"> findings, state complaint findings, and mediation agreement</w:t>
      </w:r>
      <w:r>
        <w:t>.</w:t>
      </w:r>
      <w:r w:rsidR="003D7FFD">
        <w:t xml:space="preserve"> If additional supports are not correcting noncompliance, the LEA may receive an accreditation notice or a deficiency.</w:t>
      </w:r>
    </w:p>
    <w:p w14:paraId="0FF9D29B" w14:textId="0BA4AED0" w:rsidR="69B25E94" w:rsidRDefault="69B25E94" w:rsidP="00785C8A">
      <w:pPr>
        <w:pStyle w:val="Heading2"/>
      </w:pPr>
      <w:r>
        <w:t>Significant Disproportiona</w:t>
      </w:r>
      <w:r w:rsidR="00710393">
        <w:t>li</w:t>
      </w:r>
      <w:r>
        <w:t>t</w:t>
      </w:r>
      <w:r w:rsidR="00710393">
        <w:t>y</w:t>
      </w:r>
    </w:p>
    <w:p w14:paraId="13A95EA3" w14:textId="23AB70B8" w:rsidR="6B43477A" w:rsidRPr="00710393" w:rsidRDefault="6B43477A" w:rsidP="5EF294CC">
      <w:pPr>
        <w:spacing w:after="160" w:line="257" w:lineRule="auto"/>
        <w:rPr>
          <w:rFonts w:eastAsia="Calibri" w:cs="Calibri"/>
        </w:rPr>
      </w:pPr>
      <w:r w:rsidRPr="3CB2A6ED">
        <w:rPr>
          <w:rFonts w:eastAsia="Calibri" w:cs="Calibri"/>
        </w:rPr>
        <w:t>In accordance with IDEA 34 CFR § 300.</w:t>
      </w:r>
      <w:r w:rsidR="1A6BB5D5" w:rsidRPr="3CB2A6ED">
        <w:rPr>
          <w:rFonts w:eastAsia="Calibri" w:cs="Calibri"/>
        </w:rPr>
        <w:t>646</w:t>
      </w:r>
      <w:r w:rsidRPr="3CB2A6ED">
        <w:rPr>
          <w:rFonts w:eastAsia="Calibri" w:cs="Calibri"/>
        </w:rPr>
        <w:t xml:space="preserve">, comprehensive coordinated early intervening services (CCEIS) are services provided to children and youth in early childhood and /or kindergarten through grades 12 who are not currently identified as needing special education and related services, but who need additional academic and behavioral supports to succeed in a general education environment. The 2016 regulations, which went into effect in May 2019, governing CCEIS required states to incorporate early childhood data in the risk ratio calculations </w:t>
      </w:r>
      <w:r w:rsidR="00710393" w:rsidRPr="3CB2A6ED">
        <w:rPr>
          <w:rFonts w:eastAsia="Calibri" w:cs="Calibri"/>
        </w:rPr>
        <w:t xml:space="preserve">beginning </w:t>
      </w:r>
      <w:r w:rsidRPr="3CB2A6ED">
        <w:rPr>
          <w:rFonts w:eastAsia="Calibri" w:cs="Calibri"/>
        </w:rPr>
        <w:t xml:space="preserve">in July 2020.  Oklahoma uses a three-year pattern to identify LEAs as having significant disproportionality.  </w:t>
      </w:r>
    </w:p>
    <w:p w14:paraId="7088FEE7" w14:textId="5BF604AA" w:rsidR="6B43477A" w:rsidRPr="00710393" w:rsidRDefault="6B43477A" w:rsidP="5EF294CC">
      <w:pPr>
        <w:spacing w:after="160" w:line="257" w:lineRule="auto"/>
        <w:rPr>
          <w:rFonts w:eastAsia="Calibri" w:cs="Calibri"/>
        </w:rPr>
      </w:pPr>
      <w:r w:rsidRPr="5EF294CC">
        <w:rPr>
          <w:rFonts w:eastAsia="Calibri" w:cs="Calibri"/>
        </w:rPr>
        <w:t>Local Education Agencies (LEAs) identified as having significant disproportionality, as defined by the state, are required to set aside 15% of their new</w:t>
      </w:r>
      <w:r w:rsidR="00710393" w:rsidRPr="5EF294CC">
        <w:rPr>
          <w:rFonts w:eastAsia="Calibri" w:cs="Calibri"/>
        </w:rPr>
        <w:t xml:space="preserve"> IDEA</w:t>
      </w:r>
      <w:r w:rsidRPr="5EF294CC">
        <w:rPr>
          <w:rFonts w:eastAsia="Calibri" w:cs="Calibri"/>
        </w:rPr>
        <w:t xml:space="preserve"> allocation</w:t>
      </w:r>
      <w:r w:rsidR="00710393" w:rsidRPr="5EF294CC">
        <w:rPr>
          <w:rFonts w:eastAsia="Calibri" w:cs="Calibri"/>
        </w:rPr>
        <w:t>s</w:t>
      </w:r>
      <w:r w:rsidRPr="5EF294CC">
        <w:rPr>
          <w:rFonts w:eastAsia="Calibri" w:cs="Calibri"/>
        </w:rPr>
        <w:t xml:space="preserve"> for the development and provisions of comprehensive coordinated early intervening services (CCEIS) for student</w:t>
      </w:r>
      <w:r w:rsidR="00710393" w:rsidRPr="5EF294CC">
        <w:rPr>
          <w:rFonts w:eastAsia="Calibri" w:cs="Calibri"/>
        </w:rPr>
        <w:t>’s</w:t>
      </w:r>
      <w:r w:rsidRPr="5EF294CC">
        <w:rPr>
          <w:rFonts w:eastAsia="Calibri" w:cs="Calibri"/>
        </w:rPr>
        <w:t xml:space="preserve"> not currently identified as needing special education services.  LEAs may also voluntarily set aside funds (up to 15%) for the development and provisions of CCEIS.</w:t>
      </w:r>
    </w:p>
    <w:p w14:paraId="10933BC5" w14:textId="32774143" w:rsidR="6B43477A" w:rsidRPr="00710393" w:rsidRDefault="6B43477A" w:rsidP="5EF294CC">
      <w:pPr>
        <w:spacing w:after="160" w:line="257" w:lineRule="auto"/>
        <w:rPr>
          <w:rFonts w:eastAsia="Calibri" w:cs="Calibri"/>
        </w:rPr>
      </w:pPr>
      <w:r w:rsidRPr="5EF294CC">
        <w:rPr>
          <w:rFonts w:eastAsia="Calibri" w:cs="Calibri"/>
        </w:rPr>
        <w:lastRenderedPageBreak/>
        <w:t>The rationale for using IDEA funds for CCEIS is based on research showing that the earlier a child’s learning problems or difficulties are identified, the more quickly and effectively the problems and difficulties can be addressed and the greater the chan</w:t>
      </w:r>
      <w:r w:rsidR="00B15466" w:rsidRPr="5EF294CC">
        <w:rPr>
          <w:rFonts w:eastAsia="Calibri" w:cs="Calibri"/>
        </w:rPr>
        <w:t xml:space="preserve">ce </w:t>
      </w:r>
      <w:r w:rsidRPr="5EF294CC">
        <w:rPr>
          <w:rFonts w:eastAsia="Calibri" w:cs="Calibri"/>
        </w:rPr>
        <w:t xml:space="preserve">that the child’s problems will be ameliorated or decreased in severity.  </w:t>
      </w:r>
    </w:p>
    <w:p w14:paraId="27AB9EA8" w14:textId="7387359C" w:rsidR="6B43477A" w:rsidRPr="00710393" w:rsidRDefault="6B43477A" w:rsidP="5EF294CC">
      <w:pPr>
        <w:rPr>
          <w:rFonts w:eastAsia="Calibri" w:cs="Calibri"/>
        </w:rPr>
      </w:pPr>
      <w:r w:rsidRPr="5EF294CC">
        <w:rPr>
          <w:rFonts w:eastAsia="Calibri" w:cs="Calibri"/>
        </w:rPr>
        <w:t>The current CCEIS District Profiles include the federally required seven racial</w:t>
      </w:r>
      <w:r w:rsidR="00B15466" w:rsidRPr="5EF294CC">
        <w:rPr>
          <w:rFonts w:eastAsia="Calibri" w:cs="Calibri"/>
        </w:rPr>
        <w:t xml:space="preserve"> </w:t>
      </w:r>
      <w:r w:rsidRPr="5EF294CC">
        <w:rPr>
          <w:rFonts w:eastAsia="Calibri" w:cs="Calibri"/>
        </w:rPr>
        <w:t>and ethnic groups in the areas of identification, disability category, education environment category, and five disciplinary action categories</w:t>
      </w:r>
      <w:r w:rsidR="00B15466" w:rsidRPr="5EF294CC">
        <w:rPr>
          <w:rFonts w:eastAsia="Calibri" w:cs="Calibri"/>
        </w:rPr>
        <w:t>.</w:t>
      </w:r>
    </w:p>
    <w:p w14:paraId="589F5131" w14:textId="75AA1429" w:rsidR="7F34516E" w:rsidRPr="000F1CFF" w:rsidRDefault="0AB7872F" w:rsidP="5EF294CC">
      <w:pPr>
        <w:rPr>
          <w:rFonts w:eastAsia="Tw Cen MT" w:cs="Tw Cen MT"/>
        </w:rPr>
      </w:pPr>
      <w:r w:rsidRPr="2469CE08">
        <w:rPr>
          <w:rFonts w:eastAsia="Tw Cen MT" w:cs="Tw Cen MT"/>
        </w:rPr>
        <w:t xml:space="preserve">For additional information regarding significant disproportionality, refer to the </w:t>
      </w:r>
      <w:hyperlink r:id="rId26">
        <w:r w:rsidRPr="00B37785">
          <w:rPr>
            <w:rStyle w:val="Hyperlink"/>
            <w:rFonts w:eastAsia="Tw Cen MT" w:cs="Tw Cen MT"/>
            <w:color w:val="auto"/>
          </w:rPr>
          <w:t>OSDE-SES website</w:t>
        </w:r>
      </w:hyperlink>
      <w:r w:rsidR="6972D354" w:rsidRPr="2469CE08">
        <w:rPr>
          <w:rFonts w:eastAsia="Tw Cen MT" w:cs="Tw Cen MT"/>
        </w:rPr>
        <w:t>.</w:t>
      </w:r>
    </w:p>
    <w:p w14:paraId="44450FE6" w14:textId="0844076D" w:rsidR="30C0AD2E" w:rsidRDefault="30C0AD2E" w:rsidP="1DAA4332">
      <w:pPr>
        <w:pStyle w:val="Heading1"/>
        <w:jc w:val="left"/>
      </w:pPr>
      <w:bookmarkStart w:id="15" w:name="_Toc238561215"/>
      <w:r>
        <w:t>Targeted Technical Assistance and Professional Development</w:t>
      </w:r>
      <w:bookmarkEnd w:id="15"/>
    </w:p>
    <w:p w14:paraId="65E27BA7" w14:textId="48F67755" w:rsidR="6C96A492" w:rsidRPr="00B15466" w:rsidRDefault="6C96A492" w:rsidP="5EF294CC">
      <w:pPr>
        <w:shd w:val="clear" w:color="auto" w:fill="FFFFFF" w:themeFill="background1"/>
        <w:spacing w:before="210" w:after="210"/>
        <w:rPr>
          <w:rFonts w:eastAsia="Tw Cen MT" w:cs="Tw Cen MT"/>
          <w:color w:val="333333"/>
        </w:rPr>
      </w:pPr>
      <w:r w:rsidRPr="2469CE08">
        <w:rPr>
          <w:rFonts w:eastAsia="Tw Cen MT" w:cs="Tw Cen MT"/>
          <w:color w:val="333333"/>
        </w:rPr>
        <w:t xml:space="preserve">Implementing effective PD requires responsiveness to educators' needs and the contexts in which teaching and learning will occur. OSDE-Special Education Services is committed to their ongoing </w:t>
      </w:r>
      <w:r w:rsidR="009729DA" w:rsidRPr="2469CE08">
        <w:rPr>
          <w:rFonts w:eastAsia="Tw Cen MT" w:cs="Tw Cen MT"/>
          <w:color w:val="333333"/>
        </w:rPr>
        <w:t xml:space="preserve">and effective professional development. </w:t>
      </w:r>
      <w:r w:rsidRPr="2469CE08">
        <w:rPr>
          <w:rFonts w:eastAsia="Tw Cen MT" w:cs="Tw Cen MT"/>
          <w:color w:val="333333"/>
        </w:rPr>
        <w:t xml:space="preserve">OSDE-SES partners with districts in providing educators with professional learning options. </w:t>
      </w:r>
      <w:r w:rsidR="009729DA" w:rsidRPr="2469CE08">
        <w:rPr>
          <w:rFonts w:eastAsia="Tw Cen MT" w:cs="Tw Cen MT"/>
          <w:color w:val="333333"/>
        </w:rPr>
        <w:t>OSDE-SES provides professional development in a variety of formats for varying purposes.  OSDE-SES makes use of asynchronous modules for building foundational knowledge, webinars to build basic knowledge and regional in-person training to provide depth and brea</w:t>
      </w:r>
      <w:r w:rsidR="5A8791A3" w:rsidRPr="2469CE08">
        <w:rPr>
          <w:rFonts w:eastAsia="Tw Cen MT" w:cs="Tw Cen MT"/>
          <w:color w:val="333333"/>
        </w:rPr>
        <w:t>d</w:t>
      </w:r>
      <w:r w:rsidR="009729DA" w:rsidRPr="2469CE08">
        <w:rPr>
          <w:rFonts w:eastAsia="Tw Cen MT" w:cs="Tw Cen MT"/>
          <w:color w:val="333333"/>
        </w:rPr>
        <w:t xml:space="preserve">th of knowledge. </w:t>
      </w:r>
      <w:r w:rsidRPr="2469CE08">
        <w:rPr>
          <w:rFonts w:eastAsia="Tw Cen MT" w:cs="Tw Cen MT"/>
          <w:color w:val="333333"/>
        </w:rPr>
        <w:t>Professional development sessions include relevant background information, activities, and/or a presentation for special education</w:t>
      </w:r>
      <w:r w:rsidR="009729DA" w:rsidRPr="2469CE08">
        <w:rPr>
          <w:rFonts w:eastAsia="Tw Cen MT" w:cs="Tw Cen MT"/>
          <w:color w:val="333333"/>
        </w:rPr>
        <w:t xml:space="preserve"> compliance</w:t>
      </w:r>
      <w:r w:rsidRPr="2469CE08">
        <w:rPr>
          <w:rFonts w:eastAsia="Tw Cen MT" w:cs="Tw Cen MT"/>
          <w:color w:val="333333"/>
        </w:rPr>
        <w:t xml:space="preserve"> and instructional topics. These PD Sessions are perfect to support administrators, educators, and support staff. To learn more about the module descriptions, please view the </w:t>
      </w:r>
      <w:hyperlink r:id="rId27">
        <w:r w:rsidRPr="00B37785">
          <w:rPr>
            <w:rStyle w:val="Hyperlink"/>
            <w:rFonts w:eastAsia="Tw Cen MT" w:cs="Tw Cen MT"/>
            <w:color w:val="auto"/>
          </w:rPr>
          <w:t>District-Level Professional Development</w:t>
        </w:r>
      </w:hyperlink>
      <w:r w:rsidRPr="2469CE08">
        <w:rPr>
          <w:rFonts w:eastAsia="Tw Cen MT" w:cs="Tw Cen MT"/>
          <w:color w:val="333333"/>
        </w:rPr>
        <w:t xml:space="preserve">. </w:t>
      </w:r>
    </w:p>
    <w:p w14:paraId="760D31FE" w14:textId="44CC5F8C" w:rsidR="30C0AD2E" w:rsidRDefault="30C0AD2E" w:rsidP="7F34516E">
      <w:pPr>
        <w:pStyle w:val="Heading1"/>
      </w:pPr>
      <w:bookmarkStart w:id="16" w:name="_Toc238561216"/>
      <w:r>
        <w:t>Improvement, Corrections, Incentives &amp; Sanctions</w:t>
      </w:r>
      <w:bookmarkEnd w:id="16"/>
    </w:p>
    <w:p w14:paraId="75F94D8C" w14:textId="540B02B9" w:rsidR="46134EED" w:rsidRDefault="46134EED" w:rsidP="7F34516E">
      <w:r>
        <w:t xml:space="preserve">The improvement, corrections, incentives and sanctions below detail the supports and steps a LEA may be required to complete as a result of </w:t>
      </w:r>
      <w:r w:rsidR="4A90208A">
        <w:t>continuous</w:t>
      </w:r>
      <w:r>
        <w:t xml:space="preserve"> noncompliance </w:t>
      </w:r>
      <w:r w:rsidR="48F3B53F">
        <w:t>related</w:t>
      </w:r>
      <w:r w:rsidR="48AFD1D2">
        <w:t xml:space="preserve"> to</w:t>
      </w:r>
      <w:r w:rsidR="48F3B53F">
        <w:t xml:space="preserve"> the differentiated </w:t>
      </w:r>
      <w:r w:rsidR="32E953E9">
        <w:t>monitoring</w:t>
      </w:r>
      <w:r w:rsidR="48F3B53F">
        <w:t xml:space="preserve"> process</w:t>
      </w:r>
      <w:r w:rsidR="2C6FFD16">
        <w:t xml:space="preserve"> (DMR)</w:t>
      </w:r>
      <w:r w:rsidR="48F3B53F">
        <w:t xml:space="preserve">. </w:t>
      </w:r>
      <w:r w:rsidR="09660E30">
        <w:t xml:space="preserve"> </w:t>
      </w:r>
      <w:r w:rsidR="24F4F1F8">
        <w:t>T</w:t>
      </w:r>
      <w:r w:rsidR="09660E30">
        <w:t xml:space="preserve">he tiered process described below is designed to encourage LEAs to </w:t>
      </w:r>
      <w:r w:rsidR="3BB6986B">
        <w:t>continually</w:t>
      </w:r>
      <w:r w:rsidR="09660E30">
        <w:t xml:space="preserve"> monitor </w:t>
      </w:r>
      <w:r w:rsidR="003D7FFD">
        <w:t xml:space="preserve">progress </w:t>
      </w:r>
      <w:r w:rsidR="09660E30">
        <w:t>towards the</w:t>
      </w:r>
      <w:r w:rsidR="009729DA">
        <w:t xml:space="preserve"> required</w:t>
      </w:r>
      <w:r w:rsidR="09660E30">
        <w:t xml:space="preserve"> </w:t>
      </w:r>
      <w:r w:rsidR="0163DE00">
        <w:t>improvement</w:t>
      </w:r>
      <w:r w:rsidR="09660E30">
        <w:t xml:space="preserve"> plans.  As the LEAs make progress, t</w:t>
      </w:r>
      <w:r w:rsidR="1837E039">
        <w:t>he LEA will remain at the</w:t>
      </w:r>
      <w:r w:rsidR="009729DA">
        <w:t xml:space="preserve"> assigned</w:t>
      </w:r>
      <w:r w:rsidR="1837E039">
        <w:t xml:space="preserve"> tier until the LEA has met the expected target.  However, if the LEA does not make progress, the LEA will move to the tier below and will then be required to </w:t>
      </w:r>
      <w:r w:rsidR="01350F1C">
        <w:t xml:space="preserve">complete additional activities in an effort to facilitate moving towards compliance. </w:t>
      </w:r>
    </w:p>
    <w:p w14:paraId="3B056AD3" w14:textId="5DC5EF73" w:rsidR="00ED1376" w:rsidRPr="004E0238" w:rsidRDefault="00ED1376" w:rsidP="00ED1376">
      <w:pPr>
        <w:pStyle w:val="Heading2"/>
      </w:pPr>
      <w:r>
        <w:t xml:space="preserve">Continuous </w:t>
      </w:r>
      <w:r w:rsidR="00E960FD">
        <w:t>N</w:t>
      </w:r>
      <w:r>
        <w:t xml:space="preserve">oncompliance and/or not </w:t>
      </w:r>
      <w:r w:rsidR="00E960FD">
        <w:t>M</w:t>
      </w:r>
      <w:r>
        <w:t xml:space="preserve">eeting </w:t>
      </w:r>
      <w:r w:rsidR="00E960FD">
        <w:t>T</w:t>
      </w:r>
      <w:r>
        <w:t xml:space="preserve">arget </w:t>
      </w:r>
      <w:r w:rsidR="664014BB">
        <w:t xml:space="preserve">for </w:t>
      </w:r>
      <w:r w:rsidR="00E960FD">
        <w:t>M</w:t>
      </w:r>
      <w:r>
        <w:t xml:space="preserve">ultiple </w:t>
      </w:r>
      <w:r w:rsidR="00E960FD">
        <w:t>Y</w:t>
      </w:r>
      <w:r>
        <w:t>ears</w:t>
      </w:r>
    </w:p>
    <w:p w14:paraId="67A3CFCD" w14:textId="35EB6E45" w:rsidR="0069240B" w:rsidRDefault="2390E211" w:rsidP="0069240B">
      <w:r>
        <w:t>LEA</w:t>
      </w:r>
      <w:r w:rsidR="3C7FE869">
        <w:t>s will have additional required activities if found in noncompliance and/or ha</w:t>
      </w:r>
      <w:r w:rsidR="74CDDB03">
        <w:t>ve</w:t>
      </w:r>
      <w:r w:rsidR="3C7FE869">
        <w:t xml:space="preserve"> not met the state target in the same area/indicator across three consecutive years. The purpose of these activities is for the LEA to work with </w:t>
      </w:r>
      <w:r w:rsidR="06B6D9B9">
        <w:t xml:space="preserve">district staff and </w:t>
      </w:r>
      <w:r w:rsidR="3C7FE869">
        <w:t xml:space="preserve">the community as a team to meet compliance requirements and performance expectations. </w:t>
      </w:r>
    </w:p>
    <w:p w14:paraId="325CE46A" w14:textId="18F4DA09" w:rsidR="6C989C50" w:rsidRDefault="6C989C50" w:rsidP="7F34516E">
      <w:r>
        <w:t xml:space="preserve">Below outlines two types of tiered processes.  </w:t>
      </w:r>
    </w:p>
    <w:p w14:paraId="1F27E858" w14:textId="68E0E48F" w:rsidR="0727BAE1" w:rsidRDefault="0727BAE1" w:rsidP="00B70782">
      <w:pPr>
        <w:pStyle w:val="ListParagraph"/>
        <w:numPr>
          <w:ilvl w:val="0"/>
          <w:numId w:val="12"/>
        </w:numPr>
      </w:pPr>
      <w:r>
        <w:t>Indicators 4, 9, &amp; 10 concerns but policy, procedures &amp; practices are not prob</w:t>
      </w:r>
      <w:r w:rsidR="69BF9378">
        <w:t>lematic</w:t>
      </w:r>
    </w:p>
    <w:p w14:paraId="4A508E96" w14:textId="19713755" w:rsidR="69BF9378" w:rsidRDefault="69BF9378" w:rsidP="00B70782">
      <w:pPr>
        <w:pStyle w:val="ListParagraph"/>
        <w:numPr>
          <w:ilvl w:val="0"/>
          <w:numId w:val="12"/>
        </w:numPr>
      </w:pPr>
      <w:r>
        <w:t>LEAs not meeting indicator(s) target(s) for multiple years</w:t>
      </w:r>
    </w:p>
    <w:p w14:paraId="67294D27" w14:textId="40FEB943" w:rsidR="69BF9378" w:rsidRDefault="69BF9378" w:rsidP="00102DAB">
      <w:pPr>
        <w:pStyle w:val="Heading2"/>
        <w:ind w:left="360"/>
      </w:pPr>
      <w:r>
        <w:t xml:space="preserve">Indicators 4, 9, &amp; 10 concerns but policy, procedures &amp; practices are </w:t>
      </w:r>
      <w:r w:rsidRPr="00A844E5">
        <w:rPr>
          <w:b/>
          <w:bCs/>
        </w:rPr>
        <w:t>not</w:t>
      </w:r>
      <w:r>
        <w:t xml:space="preserve"> problematic</w:t>
      </w:r>
    </w:p>
    <w:p w14:paraId="27DC5AF5" w14:textId="77777777" w:rsidR="009D62C6" w:rsidRPr="004E0238" w:rsidRDefault="009D62C6" w:rsidP="009D62C6">
      <w:pPr>
        <w:pStyle w:val="Heading3"/>
      </w:pPr>
      <w:r>
        <w:t>Indicators 4, 9, and/or 10</w:t>
      </w:r>
    </w:p>
    <w:p w14:paraId="4B9A3E92" w14:textId="0CF56EA6" w:rsidR="009D62C6" w:rsidRPr="004E0238" w:rsidRDefault="009D62C6" w:rsidP="009D62C6">
      <w:r>
        <w:t>If the LEA has exceeded the target for two or more consecutive years but the district Polic</w:t>
      </w:r>
      <w:r w:rsidR="004D5662">
        <w:t>ies</w:t>
      </w:r>
      <w:r w:rsidR="7132EFD5">
        <w:t>,</w:t>
      </w:r>
      <w:r>
        <w:t xml:space="preserve"> Procedures, and Practices (PPP) appear to </w:t>
      </w:r>
      <w:r w:rsidRPr="59056DEA">
        <w:rPr>
          <w:b/>
          <w:bCs/>
          <w:u w:val="single"/>
        </w:rPr>
        <w:t>not</w:t>
      </w:r>
      <w:r>
        <w:t xml:space="preserve"> be problematic, the LEA</w:t>
      </w:r>
      <w:r w:rsidR="00C15D68">
        <w:t xml:space="preserve"> still has </w:t>
      </w:r>
      <w:r w:rsidR="004D5662">
        <w:t xml:space="preserve">to </w:t>
      </w:r>
      <w:r w:rsidR="00C15D68">
        <w:t>work to bring the indicator into compliance</w:t>
      </w:r>
      <w:r w:rsidR="00102DAB">
        <w:t xml:space="preserve"> (at or below the state target)</w:t>
      </w:r>
      <w:r w:rsidR="00C15D68">
        <w:t xml:space="preserve"> and</w:t>
      </w:r>
      <w:r>
        <w:t xml:space="preserve"> will be required to </w:t>
      </w:r>
      <w:r w:rsidR="00C15D68">
        <w:t xml:space="preserve">identify the root cause and </w:t>
      </w:r>
      <w:r>
        <w:t xml:space="preserve">implement </w:t>
      </w:r>
      <w:r w:rsidR="00C15D68">
        <w:t>a plan</w:t>
      </w:r>
      <w:r w:rsidR="00102DAB">
        <w:t xml:space="preserve"> of correction.</w:t>
      </w:r>
      <w:r>
        <w:t xml:space="preserve">   </w:t>
      </w:r>
    </w:p>
    <w:p w14:paraId="775F5182" w14:textId="6B54D966" w:rsidR="009D62C6" w:rsidRPr="004E0238" w:rsidRDefault="009D62C6" w:rsidP="009D62C6">
      <w:pPr>
        <w:pStyle w:val="Heading3"/>
      </w:pPr>
      <w:r>
        <w:lastRenderedPageBreak/>
        <w:t xml:space="preserve">Tiered </w:t>
      </w:r>
      <w:r w:rsidR="004D5662">
        <w:t>P</w:t>
      </w:r>
      <w:r>
        <w:t>rocess</w:t>
      </w:r>
    </w:p>
    <w:p w14:paraId="1EC6ECB4" w14:textId="1BC9C6A0" w:rsidR="009D62C6" w:rsidRPr="004E0238" w:rsidRDefault="009D62C6" w:rsidP="009D62C6">
      <w:r>
        <w:t>The activities below</w:t>
      </w:r>
      <w:r w:rsidR="004D5662">
        <w:t xml:space="preserve"> are assigned </w:t>
      </w:r>
      <w:r>
        <w:t>on a tier</w:t>
      </w:r>
      <w:r w:rsidR="00954E73">
        <w:t>e</w:t>
      </w:r>
      <w:r>
        <w:t xml:space="preserve">d system depending on the number of consecutive years </w:t>
      </w:r>
      <w:r w:rsidR="004D5662">
        <w:t xml:space="preserve">of noncompliance </w:t>
      </w:r>
      <w:r>
        <w:t>for one area with a growth measure built in.  The tiered process is designed to provide additional supports to the LEAs special education department as they implement changes.  As the changes are implemented, the LEA should continuously monitor and adjust the plan to ensure growth.</w:t>
      </w:r>
    </w:p>
    <w:p w14:paraId="50736E43" w14:textId="77777777" w:rsidR="009D62C6" w:rsidRPr="004E0238" w:rsidRDefault="009D62C6" w:rsidP="009D62C6">
      <w:r w:rsidRPr="5EF294CC">
        <w:rPr>
          <w:b/>
          <w:bCs/>
        </w:rPr>
        <w:t>Tier 1: 2</w:t>
      </w:r>
      <w:r w:rsidRPr="5EF294CC">
        <w:rPr>
          <w:b/>
          <w:bCs/>
          <w:vertAlign w:val="superscript"/>
        </w:rPr>
        <w:t>nd</w:t>
      </w:r>
      <w:r w:rsidRPr="5EF294CC">
        <w:rPr>
          <w:b/>
          <w:bCs/>
        </w:rPr>
        <w:t xml:space="preserve"> year</w:t>
      </w:r>
      <w:r>
        <w:t xml:space="preserve"> exceeding the target for one or more of the indicators above. The LEA is required to complete the following additional activities:</w:t>
      </w:r>
    </w:p>
    <w:p w14:paraId="7759D501" w14:textId="77777777" w:rsidR="009D62C6" w:rsidRPr="004E0238" w:rsidRDefault="009D62C6" w:rsidP="00B70782">
      <w:pPr>
        <w:pStyle w:val="ListParagraph"/>
        <w:numPr>
          <w:ilvl w:val="0"/>
          <w:numId w:val="28"/>
        </w:numPr>
      </w:pPr>
      <w:r>
        <w:t>Identify the root cause related to the specific indicator.</w:t>
      </w:r>
    </w:p>
    <w:p w14:paraId="4C4D914E" w14:textId="77777777" w:rsidR="009D62C6" w:rsidRPr="004E0238" w:rsidRDefault="009D62C6" w:rsidP="00B70782">
      <w:pPr>
        <w:pStyle w:val="ListParagraph"/>
        <w:numPr>
          <w:ilvl w:val="0"/>
          <w:numId w:val="28"/>
        </w:numPr>
      </w:pPr>
      <w:r>
        <w:t>Update/develop and implement the LEAs policy, internal procedures, and document the LEAs practices related to the specific indicator.  Submit to the SDE for review.</w:t>
      </w:r>
    </w:p>
    <w:p w14:paraId="1C28E01A" w14:textId="1096E91D" w:rsidR="00CF5CD7" w:rsidRDefault="00CF5CD7" w:rsidP="00CF5CD7">
      <w:pPr>
        <w:spacing w:after="0"/>
      </w:pPr>
      <w:r>
        <w:t xml:space="preserve">-If the district has demonstrated a 10% or more growth while implementing their improvement plan, they will remain at their current </w:t>
      </w:r>
      <w:r w:rsidR="336FDFAA">
        <w:t>t</w:t>
      </w:r>
      <w:r>
        <w:t xml:space="preserve">ier for the next year.  If there is no growth or decline, they will move to the </w:t>
      </w:r>
      <w:r w:rsidR="22DEA291">
        <w:t>t</w:t>
      </w:r>
      <w:r>
        <w:t xml:space="preserve">ier below their current placement. </w:t>
      </w:r>
    </w:p>
    <w:p w14:paraId="5AC1C032" w14:textId="77777777" w:rsidR="00CF5CD7" w:rsidRPr="004E0238" w:rsidRDefault="00CF5CD7" w:rsidP="00CF5CD7">
      <w:pPr>
        <w:spacing w:after="0"/>
      </w:pPr>
    </w:p>
    <w:p w14:paraId="09244DB0" w14:textId="77777777" w:rsidR="009D62C6" w:rsidRPr="004E0238" w:rsidRDefault="009D62C6" w:rsidP="009D62C6">
      <w:r w:rsidRPr="5EF294CC">
        <w:rPr>
          <w:b/>
          <w:bCs/>
        </w:rPr>
        <w:t>Tier 2: 3</w:t>
      </w:r>
      <w:r w:rsidRPr="5EF294CC">
        <w:rPr>
          <w:b/>
          <w:bCs/>
          <w:vertAlign w:val="superscript"/>
        </w:rPr>
        <w:t>rd</w:t>
      </w:r>
      <w:r w:rsidRPr="5EF294CC">
        <w:rPr>
          <w:b/>
          <w:bCs/>
        </w:rPr>
        <w:t xml:space="preserve"> year</w:t>
      </w:r>
      <w:r>
        <w:t xml:space="preserve"> exceeding the target for one or more of the indicators above. The LEA is required to complete the following additional activities:</w:t>
      </w:r>
    </w:p>
    <w:p w14:paraId="50C50153" w14:textId="7F2B4768" w:rsidR="009D62C6" w:rsidRPr="004E0238" w:rsidRDefault="009D62C6" w:rsidP="00B70782">
      <w:pPr>
        <w:pStyle w:val="ListParagraph"/>
        <w:numPr>
          <w:ilvl w:val="0"/>
          <w:numId w:val="28"/>
        </w:numPr>
      </w:pPr>
      <w:r>
        <w:t>Review the previous year</w:t>
      </w:r>
      <w:r w:rsidR="00102DAB">
        <w:t>’</w:t>
      </w:r>
      <w:r>
        <w:t>s</w:t>
      </w:r>
      <w:r w:rsidR="00102DAB">
        <w:t xml:space="preserve"> </w:t>
      </w:r>
      <w:r>
        <w:t xml:space="preserve">root cause findings to assist in developing an improvement plan related to the specific indicator.  </w:t>
      </w:r>
    </w:p>
    <w:p w14:paraId="30D0A352" w14:textId="77777777" w:rsidR="009D62C6" w:rsidRPr="004E0238" w:rsidRDefault="009D62C6" w:rsidP="00B70782">
      <w:pPr>
        <w:pStyle w:val="ListParagraph"/>
        <w:numPr>
          <w:ilvl w:val="0"/>
          <w:numId w:val="28"/>
        </w:numPr>
      </w:pPr>
      <w:r>
        <w:t xml:space="preserve">Review the implementation of the PPP implemented the previous year.   Make any necessary updates or changes to ensure progress in the specific indicator. Submit to the SDE for review. </w:t>
      </w:r>
    </w:p>
    <w:p w14:paraId="4F165648" w14:textId="77777777" w:rsidR="009D62C6" w:rsidRPr="004E0238" w:rsidRDefault="009D62C6" w:rsidP="00B70782">
      <w:pPr>
        <w:pStyle w:val="ListParagraph"/>
        <w:numPr>
          <w:ilvl w:val="0"/>
          <w:numId w:val="28"/>
        </w:numPr>
      </w:pPr>
      <w:r>
        <w:t xml:space="preserve">Develop a plan for improvement, implement, and monitor not less than twice in a school year aligned to the specific indicator. </w:t>
      </w:r>
    </w:p>
    <w:p w14:paraId="1F6DE7A0" w14:textId="4686C83B" w:rsidR="00CF5CD7" w:rsidRPr="004E0238" w:rsidRDefault="00CF5CD7" w:rsidP="00CF5CD7">
      <w:pPr>
        <w:spacing w:after="0"/>
      </w:pPr>
      <w:r>
        <w:t xml:space="preserve">-If the district has demonstrated a 10% or more growth while implementing their improvement plan, they will remain at their current </w:t>
      </w:r>
      <w:r w:rsidR="720FFE1D">
        <w:t>t</w:t>
      </w:r>
      <w:r>
        <w:t xml:space="preserve">ier for the next year.  If there is no growth or decline, they will move to the </w:t>
      </w:r>
      <w:r w:rsidR="0A4FC9E6">
        <w:t>t</w:t>
      </w:r>
      <w:r>
        <w:t xml:space="preserve">ier below their current placement. </w:t>
      </w:r>
    </w:p>
    <w:p w14:paraId="367594A0" w14:textId="77777777" w:rsidR="009D62C6" w:rsidRPr="004E0238" w:rsidRDefault="009D62C6" w:rsidP="009D62C6"/>
    <w:p w14:paraId="57D39CFC" w14:textId="6346150E" w:rsidR="009D62C6" w:rsidRPr="004E0238" w:rsidRDefault="009D62C6" w:rsidP="009D62C6">
      <w:r w:rsidRPr="5EF294CC">
        <w:rPr>
          <w:b/>
          <w:bCs/>
        </w:rPr>
        <w:t>Tier 3: 4</w:t>
      </w:r>
      <w:r w:rsidRPr="5EF294CC">
        <w:rPr>
          <w:b/>
          <w:bCs/>
          <w:vertAlign w:val="superscript"/>
        </w:rPr>
        <w:t>th</w:t>
      </w:r>
      <w:r w:rsidRPr="5EF294CC">
        <w:rPr>
          <w:b/>
          <w:bCs/>
        </w:rPr>
        <w:t xml:space="preserve"> plus</w:t>
      </w:r>
      <w:r>
        <w:t xml:space="preserve"> years</w:t>
      </w:r>
      <w:r w:rsidR="004D5662">
        <w:t xml:space="preserve"> or more</w:t>
      </w:r>
      <w:r>
        <w:t xml:space="preserve"> of consecutive noncompliance in one or more areas listed above.  The LEA is required to complete the following additional activities:</w:t>
      </w:r>
    </w:p>
    <w:p w14:paraId="6C3A47BC" w14:textId="77777777" w:rsidR="009D62C6" w:rsidRPr="004E0238" w:rsidRDefault="009D62C6" w:rsidP="00B70782">
      <w:pPr>
        <w:numPr>
          <w:ilvl w:val="0"/>
          <w:numId w:val="31"/>
        </w:numPr>
        <w:spacing w:after="0"/>
      </w:pPr>
      <w:r>
        <w:t xml:space="preserve">Review the past two years’ root cause findings to assist in developing an improvement plan related to the specific indicator.  One SDE staff or contracted outside representative will participate in the team planning to support the identification of the root cause, data review, and the plan for improvement. </w:t>
      </w:r>
    </w:p>
    <w:p w14:paraId="12DEEF7C" w14:textId="2331B11C" w:rsidR="009D62C6" w:rsidRPr="004E0238" w:rsidRDefault="009D62C6" w:rsidP="00B70782">
      <w:pPr>
        <w:numPr>
          <w:ilvl w:val="0"/>
          <w:numId w:val="31"/>
        </w:numPr>
        <w:spacing w:after="0"/>
      </w:pPr>
      <w:r>
        <w:t xml:space="preserve">Use 615 </w:t>
      </w:r>
      <w:r w:rsidR="001F28E8">
        <w:t xml:space="preserve">professional development </w:t>
      </w:r>
      <w:r>
        <w:t>funds to address the improvement plan implementation related to the specific indicator. The amount or percentage of funds directed will be determined in consultation with OSDE-SES.</w:t>
      </w:r>
    </w:p>
    <w:p w14:paraId="0D962903" w14:textId="707C49F5" w:rsidR="009D62C6" w:rsidRPr="004E0238" w:rsidRDefault="009D62C6" w:rsidP="00B70782">
      <w:pPr>
        <w:numPr>
          <w:ilvl w:val="0"/>
          <w:numId w:val="31"/>
        </w:numPr>
        <w:spacing w:after="0"/>
      </w:pPr>
      <w:r>
        <w:t xml:space="preserve">Develop or utilize a parent Advisory Board, meeting quarterly, to discuss the root cause, the improvement plan developed, how the 615 funds will be utilized to support the plan and share progress towards the plan related to the specific indicator. </w:t>
      </w:r>
    </w:p>
    <w:p w14:paraId="1E73A77C" w14:textId="047FDE75" w:rsidR="0C8DC76D" w:rsidRDefault="0C8DC76D" w:rsidP="2469CE08">
      <w:pPr>
        <w:numPr>
          <w:ilvl w:val="0"/>
          <w:numId w:val="31"/>
        </w:numPr>
        <w:spacing w:after="0"/>
        <w:rPr>
          <w:color w:val="000000" w:themeColor="text1"/>
        </w:rPr>
      </w:pPr>
      <w:r w:rsidRPr="2469CE08">
        <w:rPr>
          <w:color w:val="000000" w:themeColor="text1"/>
        </w:rPr>
        <w:t>Invite parents to local school board meeting to hear the presentation and discussion for improvement and data trends for the past three years related to the area of noncompliance.</w:t>
      </w:r>
    </w:p>
    <w:p w14:paraId="279682A8" w14:textId="77777777" w:rsidR="00CF5CD7" w:rsidRPr="004E0238" w:rsidRDefault="00CF5CD7" w:rsidP="00CF5CD7">
      <w:pPr>
        <w:spacing w:after="0"/>
        <w:ind w:left="720"/>
      </w:pPr>
    </w:p>
    <w:p w14:paraId="2D12E2A3" w14:textId="5E38C72A" w:rsidR="00CF5CD7" w:rsidRPr="004E0238" w:rsidRDefault="2D29BAA1" w:rsidP="00CF5CD7">
      <w:pPr>
        <w:spacing w:after="0"/>
      </w:pPr>
      <w:r>
        <w:t>I</w:t>
      </w:r>
      <w:r w:rsidR="2351F210">
        <w:t xml:space="preserve">f the district has demonstrated a 10% or more growth while implementing their improvement plan, they will remain at their current </w:t>
      </w:r>
      <w:r w:rsidR="6EE87B5A">
        <w:t>ti</w:t>
      </w:r>
      <w:r w:rsidR="2351F210">
        <w:t xml:space="preserve">er for the next year.  If there is no growth or decline, they will move to the </w:t>
      </w:r>
      <w:r w:rsidR="64FED451">
        <w:t>t</w:t>
      </w:r>
      <w:r w:rsidR="2351F210">
        <w:t xml:space="preserve">ier below their current placement. </w:t>
      </w:r>
    </w:p>
    <w:p w14:paraId="3D07F999" w14:textId="0CDB0562" w:rsidR="3CBF6A82" w:rsidRDefault="3CBF6A82" w:rsidP="00102DAB">
      <w:pPr>
        <w:pStyle w:val="Heading2"/>
        <w:ind w:left="720"/>
      </w:pPr>
      <w:r>
        <w:lastRenderedPageBreak/>
        <w:t xml:space="preserve">LEA </w:t>
      </w:r>
      <w:r w:rsidR="1B609BD8" w:rsidRPr="03D650D9">
        <w:rPr>
          <w:b/>
          <w:bCs/>
        </w:rPr>
        <w:t>NOT</w:t>
      </w:r>
      <w:r>
        <w:t xml:space="preserve"> </w:t>
      </w:r>
      <w:r w:rsidR="777D8216">
        <w:t>M</w:t>
      </w:r>
      <w:r>
        <w:t>eeting Indicator Targets</w:t>
      </w:r>
      <w:r w:rsidR="000F1CFF">
        <w:t xml:space="preserve"> or </w:t>
      </w:r>
      <w:r w:rsidR="3605C41F">
        <w:t>C</w:t>
      </w:r>
      <w:r w:rsidR="000F1CFF">
        <w:t xml:space="preserve">ompliance </w:t>
      </w:r>
      <w:r w:rsidR="2E961684">
        <w:t>E</w:t>
      </w:r>
      <w:r w:rsidR="000F1CFF">
        <w:t>xpectations</w:t>
      </w:r>
      <w:r>
        <w:t xml:space="preserve"> for Multiple Years</w:t>
      </w:r>
    </w:p>
    <w:p w14:paraId="70C412AA" w14:textId="77777777" w:rsidR="00C9257B" w:rsidRPr="004E0238" w:rsidRDefault="00C9257B" w:rsidP="00C9257B">
      <w:pPr>
        <w:pStyle w:val="Heading3"/>
      </w:pPr>
      <w:r>
        <w:t>Indicators 4, 9 and/or 10</w:t>
      </w:r>
    </w:p>
    <w:p w14:paraId="2D0CF101" w14:textId="358758C8" w:rsidR="00C9257B" w:rsidRPr="004E0238" w:rsidRDefault="00C9257B" w:rsidP="00C9257B">
      <w:r>
        <w:t>If the LEA has been notified for three consecutive years that their policies, procedures, and/or practices</w:t>
      </w:r>
      <w:r w:rsidR="000D49C3">
        <w:t xml:space="preserve"> (PPP)</w:t>
      </w:r>
      <w:r>
        <w:t xml:space="preserve"> </w:t>
      </w:r>
      <w:r w:rsidRPr="5EF294CC">
        <w:rPr>
          <w:b/>
          <w:bCs/>
          <w:u w:val="single"/>
        </w:rPr>
        <w:t>are</w:t>
      </w:r>
      <w:r>
        <w:t xml:space="preserve"> contributing to overidentification</w:t>
      </w:r>
      <w:r w:rsidR="004D5662">
        <w:t>, the LEA</w:t>
      </w:r>
      <w:r w:rsidR="00C15D68">
        <w:t xml:space="preserve"> will be required to complete the appropriate tier</w:t>
      </w:r>
      <w:r w:rsidR="004D5662">
        <w:t xml:space="preserve"> activities</w:t>
      </w:r>
      <w:r w:rsidR="00C15D68">
        <w:t xml:space="preserve"> below. </w:t>
      </w:r>
    </w:p>
    <w:p w14:paraId="648686E8" w14:textId="77777777" w:rsidR="00C9257B" w:rsidRPr="004E0238" w:rsidRDefault="00C9257B" w:rsidP="00C9257B">
      <w:pPr>
        <w:pStyle w:val="Heading3"/>
      </w:pPr>
      <w:r>
        <w:t>Indicators 11, 12 and/or 13</w:t>
      </w:r>
    </w:p>
    <w:p w14:paraId="17F2606E" w14:textId="6521B98A" w:rsidR="00C9257B" w:rsidRPr="004E0238" w:rsidRDefault="00C9257B" w:rsidP="00C9257B">
      <w:r>
        <w:t>If the LEA has been identified as noncompliant</w:t>
      </w:r>
      <w:r w:rsidR="00891A58">
        <w:t xml:space="preserve"> (less than 100%)</w:t>
      </w:r>
      <w:r>
        <w:t xml:space="preserve"> for three consecutive years for the same indicator</w:t>
      </w:r>
      <w:r w:rsidR="00C15D68">
        <w:t xml:space="preserve"> will be required to complete the appropriate tier </w:t>
      </w:r>
      <w:r w:rsidR="004D5662">
        <w:t xml:space="preserve">activities </w:t>
      </w:r>
      <w:r w:rsidR="00C15D68">
        <w:t>below</w:t>
      </w:r>
      <w:r>
        <w:t>.</w:t>
      </w:r>
    </w:p>
    <w:p w14:paraId="38F75909" w14:textId="5A7C9F96" w:rsidR="002B576F" w:rsidRPr="004E0238" w:rsidRDefault="00102DAB" w:rsidP="00C9257B">
      <w:r w:rsidRPr="00102DAB">
        <w:t>L</w:t>
      </w:r>
      <w:r w:rsidR="002B576F">
        <w:t>EAs that ha</w:t>
      </w:r>
      <w:r w:rsidR="00B22926">
        <w:t>ve</w:t>
      </w:r>
      <w:r w:rsidR="002B576F">
        <w:t xml:space="preserve"> been identified as noncompliant for Indicator 11, 12, and/or 13 </w:t>
      </w:r>
      <w:r w:rsidR="00B22926">
        <w:t>and</w:t>
      </w:r>
      <w:r w:rsidR="002B576F">
        <w:t xml:space="preserve"> did not demonstrate compliance for two consecutive years as a part of the Prong II review may receive a </w:t>
      </w:r>
      <w:r w:rsidR="00B22926">
        <w:t>N</w:t>
      </w:r>
      <w:r w:rsidR="002B576F">
        <w:t>o</w:t>
      </w:r>
      <w:r w:rsidR="00F2016E">
        <w:t>tice on</w:t>
      </w:r>
      <w:r w:rsidR="002B576F">
        <w:t xml:space="preserve"> their accreditation report.</w:t>
      </w:r>
    </w:p>
    <w:p w14:paraId="486A0FE3" w14:textId="1DD8EEF1" w:rsidR="00C9257B" w:rsidRPr="004E0238" w:rsidRDefault="00C9257B" w:rsidP="00C9257B">
      <w:pPr>
        <w:pStyle w:val="Heading3"/>
      </w:pPr>
      <w:r>
        <w:t>DMR Level 4</w:t>
      </w:r>
    </w:p>
    <w:p w14:paraId="0828F5BC" w14:textId="576C7999" w:rsidR="1DAA4332" w:rsidRDefault="00C9257B" w:rsidP="1DAA4332">
      <w:r>
        <w:t>If the LEA has been identified as a DMR Level 4 in the same focus/target area of improvement for three consecutive years</w:t>
      </w:r>
      <w:r w:rsidR="00102DAB">
        <w:t>, the district</w:t>
      </w:r>
      <w:r w:rsidR="00555B3A">
        <w:t xml:space="preserve"> will be require</w:t>
      </w:r>
      <w:r w:rsidR="00102DAB">
        <w:t>d</w:t>
      </w:r>
      <w:r w:rsidR="00555B3A">
        <w:t xml:space="preserve"> to complete the appropriate tier activities below</w:t>
      </w:r>
      <w:r>
        <w:t>.</w:t>
      </w:r>
    </w:p>
    <w:p w14:paraId="340960B4" w14:textId="6F9DF1C3" w:rsidR="002B576F" w:rsidRPr="004E0238" w:rsidRDefault="002B576F" w:rsidP="002B576F">
      <w:pPr>
        <w:pStyle w:val="Heading3"/>
      </w:pPr>
      <w:r>
        <w:t xml:space="preserve">Tiered </w:t>
      </w:r>
      <w:r w:rsidR="004D5662">
        <w:t>P</w:t>
      </w:r>
      <w:r>
        <w:t>rocess</w:t>
      </w:r>
    </w:p>
    <w:p w14:paraId="4BD6FE9A" w14:textId="77777777" w:rsidR="001F28E8" w:rsidRPr="004E0238" w:rsidRDefault="001F28E8" w:rsidP="001F28E8">
      <w:r>
        <w:t>The activities below are assigned on a tiered system depending on the number of consecutive years of noncompliance for one area with a growth measure built in.  The tiered process is designed to provide additional supports to the LEAs special education department as they implement changes.  As the changes are implemented, the LEA should continuously monitor and adjust the plan to ensure growth.</w:t>
      </w:r>
    </w:p>
    <w:p w14:paraId="38D6E6ED" w14:textId="4C18A0C3" w:rsidR="00C9257B" w:rsidRPr="004E0238" w:rsidRDefault="004D6745" w:rsidP="00C9257B">
      <w:r w:rsidRPr="5EF294CC">
        <w:rPr>
          <w:b/>
          <w:bCs/>
        </w:rPr>
        <w:t xml:space="preserve">Tier 1: </w:t>
      </w:r>
      <w:r w:rsidR="00C9257B" w:rsidRPr="5EF294CC">
        <w:rPr>
          <w:b/>
          <w:bCs/>
        </w:rPr>
        <w:t>3</w:t>
      </w:r>
      <w:r w:rsidR="00C9257B" w:rsidRPr="5EF294CC">
        <w:rPr>
          <w:b/>
          <w:bCs/>
          <w:vertAlign w:val="superscript"/>
        </w:rPr>
        <w:t>rd</w:t>
      </w:r>
      <w:r w:rsidR="00C9257B" w:rsidRPr="5EF294CC">
        <w:rPr>
          <w:b/>
          <w:bCs/>
        </w:rPr>
        <w:t xml:space="preserve"> year</w:t>
      </w:r>
      <w:r w:rsidR="00C9257B">
        <w:t xml:space="preserve"> of consecutive noncompliance in one or more areas </w:t>
      </w:r>
      <w:r w:rsidR="00803289">
        <w:t>listed above</w:t>
      </w:r>
      <w:r w:rsidR="00C9257B">
        <w:t>.  The LEA is required to complete the following additional activities:</w:t>
      </w:r>
    </w:p>
    <w:p w14:paraId="2765ED4A" w14:textId="77777777" w:rsidR="00C9257B" w:rsidRPr="004E0238" w:rsidRDefault="00C9257B" w:rsidP="00B70782">
      <w:pPr>
        <w:numPr>
          <w:ilvl w:val="0"/>
          <w:numId w:val="31"/>
        </w:numPr>
        <w:spacing w:after="0"/>
      </w:pPr>
      <w:r>
        <w:t>Review the past two years’ root cause findings to assist in developing an improvement plan.</w:t>
      </w:r>
    </w:p>
    <w:p w14:paraId="0D4CE029" w14:textId="7078C61A" w:rsidR="00C9257B" w:rsidRPr="004E0238" w:rsidRDefault="00C9257B" w:rsidP="00B70782">
      <w:pPr>
        <w:numPr>
          <w:ilvl w:val="0"/>
          <w:numId w:val="31"/>
        </w:numPr>
        <w:spacing w:after="0"/>
      </w:pPr>
      <w:r>
        <w:t xml:space="preserve">Use 615 </w:t>
      </w:r>
      <w:r w:rsidR="001F28E8">
        <w:t xml:space="preserve">professional development </w:t>
      </w:r>
      <w:r>
        <w:t xml:space="preserve">funds to address the improvement plan implementation. The amount or percentage of funds directed will be determined in consultation with </w:t>
      </w:r>
      <w:r w:rsidR="00E960FD">
        <w:t>OSDE-SES</w:t>
      </w:r>
      <w:r>
        <w:t>.</w:t>
      </w:r>
    </w:p>
    <w:p w14:paraId="1FE6ECE3" w14:textId="77777777" w:rsidR="00F2016E" w:rsidRPr="004E0238" w:rsidRDefault="00F2016E" w:rsidP="00F2016E">
      <w:pPr>
        <w:spacing w:after="0"/>
      </w:pPr>
    </w:p>
    <w:p w14:paraId="67E69BBF" w14:textId="3AF65E72" w:rsidR="00CF5CD7" w:rsidRDefault="00CF5CD7" w:rsidP="00CF5CD7">
      <w:pPr>
        <w:spacing w:after="0"/>
        <w:ind w:left="360"/>
      </w:pPr>
      <w:r>
        <w:t xml:space="preserve">If the district has demonstrated a 10% or more growth while implementing their improvement plan, they will remain at their current </w:t>
      </w:r>
      <w:r w:rsidR="75E45B2A">
        <w:t>ti</w:t>
      </w:r>
      <w:r>
        <w:t xml:space="preserve">er for the next year.  If there is no growth or decline, they will move to the </w:t>
      </w:r>
      <w:r w:rsidR="5F9207CD">
        <w:t>t</w:t>
      </w:r>
      <w:r>
        <w:t xml:space="preserve">ier below their current placement. </w:t>
      </w:r>
    </w:p>
    <w:p w14:paraId="5E8371F9" w14:textId="77777777" w:rsidR="001F28E8" w:rsidRPr="004E0238" w:rsidRDefault="001F28E8" w:rsidP="00CF5CD7">
      <w:pPr>
        <w:spacing w:after="0"/>
        <w:ind w:left="360"/>
      </w:pPr>
    </w:p>
    <w:p w14:paraId="0D0BD8C9" w14:textId="4CAEF92A" w:rsidR="00C9257B" w:rsidRPr="004E0238" w:rsidRDefault="004D6745" w:rsidP="00C9257B">
      <w:r w:rsidRPr="5EF294CC">
        <w:rPr>
          <w:b/>
          <w:bCs/>
        </w:rPr>
        <w:t xml:space="preserve">Tier 2: </w:t>
      </w:r>
      <w:r w:rsidR="00C9257B" w:rsidRPr="5EF294CC">
        <w:rPr>
          <w:b/>
          <w:bCs/>
        </w:rPr>
        <w:t>4</w:t>
      </w:r>
      <w:r w:rsidR="00C9257B" w:rsidRPr="5EF294CC">
        <w:rPr>
          <w:b/>
          <w:bCs/>
          <w:vertAlign w:val="superscript"/>
        </w:rPr>
        <w:t>th</w:t>
      </w:r>
      <w:r w:rsidR="00C9257B" w:rsidRPr="5EF294CC">
        <w:rPr>
          <w:b/>
          <w:bCs/>
        </w:rPr>
        <w:t xml:space="preserve"> year</w:t>
      </w:r>
      <w:r w:rsidR="00C9257B">
        <w:t xml:space="preserve"> of consecutive noncompliance in one or more areas </w:t>
      </w:r>
      <w:r w:rsidR="00803289">
        <w:t>listed above</w:t>
      </w:r>
      <w:r w:rsidR="00C9257B">
        <w:t>.  The LEA is required to complete the following additional activities:</w:t>
      </w:r>
    </w:p>
    <w:p w14:paraId="1A8846E7" w14:textId="10EA1D99" w:rsidR="00C9257B" w:rsidRPr="004E0238" w:rsidRDefault="00C9257B" w:rsidP="00B70782">
      <w:pPr>
        <w:numPr>
          <w:ilvl w:val="0"/>
          <w:numId w:val="31"/>
        </w:numPr>
        <w:spacing w:after="0"/>
      </w:pPr>
      <w:r>
        <w:t>Review the past t</w:t>
      </w:r>
      <w:r w:rsidR="00F2016E">
        <w:t>hree</w:t>
      </w:r>
      <w:r>
        <w:t xml:space="preserve"> years’ root cause findings to assist in developing an improvement plan.</w:t>
      </w:r>
    </w:p>
    <w:p w14:paraId="7914C203" w14:textId="34ECB8CB" w:rsidR="00C9257B" w:rsidRPr="004E0238" w:rsidRDefault="00C9257B" w:rsidP="00B70782">
      <w:pPr>
        <w:numPr>
          <w:ilvl w:val="0"/>
          <w:numId w:val="31"/>
        </w:numPr>
        <w:spacing w:after="0"/>
      </w:pPr>
      <w:r>
        <w:t>Use 615</w:t>
      </w:r>
      <w:r w:rsidR="001F28E8">
        <w:t xml:space="preserve"> professional development </w:t>
      </w:r>
      <w:r>
        <w:t xml:space="preserve">funds to address the improvement plan implementation. The amount or percentage of funds directed will be determined in consultation with </w:t>
      </w:r>
      <w:r w:rsidR="00E960FD">
        <w:t>OSDE-SES</w:t>
      </w:r>
      <w:r>
        <w:t>.</w:t>
      </w:r>
    </w:p>
    <w:p w14:paraId="2C63F2D7" w14:textId="1CE6E07C" w:rsidR="00C9257B" w:rsidRPr="004E0238" w:rsidRDefault="00C9257B" w:rsidP="00B70782">
      <w:pPr>
        <w:numPr>
          <w:ilvl w:val="0"/>
          <w:numId w:val="31"/>
        </w:numPr>
        <w:spacing w:after="0"/>
      </w:pPr>
      <w:r>
        <w:t>Develop or utilize a parent Advisory Board, meeting quarterly, to discuss the root cause, the plan developed, how the 615</w:t>
      </w:r>
      <w:r w:rsidR="001F28E8">
        <w:t xml:space="preserve"> professional development </w:t>
      </w:r>
      <w:r>
        <w:t xml:space="preserve">funds will be utilized to support the plan and share progress towards the plan. </w:t>
      </w:r>
      <w:r w:rsidR="00125719">
        <w:t>The parent advisory board must include at least one parent of a child with disabilities for elementary, middle, and high</w:t>
      </w:r>
      <w:r w:rsidR="711929F3">
        <w:t xml:space="preserve"> school.</w:t>
      </w:r>
    </w:p>
    <w:p w14:paraId="48FC3155" w14:textId="77777777" w:rsidR="004D6745" w:rsidRPr="004E0238" w:rsidRDefault="004D6745" w:rsidP="004D6745">
      <w:pPr>
        <w:spacing w:after="0"/>
        <w:ind w:left="360"/>
      </w:pPr>
    </w:p>
    <w:p w14:paraId="6578D740" w14:textId="66440A0F" w:rsidR="00CF5CD7" w:rsidRPr="004E0238" w:rsidRDefault="00CF5CD7" w:rsidP="00CF5CD7">
      <w:pPr>
        <w:spacing w:after="0"/>
        <w:ind w:left="360"/>
      </w:pPr>
      <w:r>
        <w:lastRenderedPageBreak/>
        <w:t xml:space="preserve">If the district has demonstrated a 10% or more growth while implementing their improvement plan, they will remain at their current </w:t>
      </w:r>
      <w:r w:rsidR="4FDD770B">
        <w:t>ti</w:t>
      </w:r>
      <w:r>
        <w:t>er for the next year.  If there is no growth or decline, they will move to the</w:t>
      </w:r>
      <w:r w:rsidR="00102DAB">
        <w:t xml:space="preserve"> </w:t>
      </w:r>
      <w:r w:rsidR="52190137">
        <w:t>t</w:t>
      </w:r>
      <w:r>
        <w:t xml:space="preserve">ier below their current placement. </w:t>
      </w:r>
    </w:p>
    <w:p w14:paraId="15C21355" w14:textId="1167DE6D" w:rsidR="00C9257B" w:rsidRPr="004E0238" w:rsidRDefault="00C9257B" w:rsidP="00ED1376"/>
    <w:p w14:paraId="3E980C10" w14:textId="43561047" w:rsidR="00C9257B" w:rsidRPr="004E0238" w:rsidRDefault="004D6745" w:rsidP="00C9257B">
      <w:r w:rsidRPr="5EF294CC">
        <w:rPr>
          <w:b/>
          <w:bCs/>
        </w:rPr>
        <w:t xml:space="preserve">Tier 3: </w:t>
      </w:r>
      <w:r w:rsidR="00C9257B" w:rsidRPr="5EF294CC">
        <w:rPr>
          <w:b/>
          <w:bCs/>
        </w:rPr>
        <w:t>5</w:t>
      </w:r>
      <w:r w:rsidR="00C9257B" w:rsidRPr="5EF294CC">
        <w:rPr>
          <w:b/>
          <w:bCs/>
          <w:vertAlign w:val="superscript"/>
        </w:rPr>
        <w:t>th</w:t>
      </w:r>
      <w:r w:rsidR="00C9257B" w:rsidRPr="5EF294CC">
        <w:rPr>
          <w:b/>
          <w:bCs/>
        </w:rPr>
        <w:t xml:space="preserve"> plus</w:t>
      </w:r>
      <w:r w:rsidR="00C9257B">
        <w:t xml:space="preserve"> year</w:t>
      </w:r>
      <w:r w:rsidR="00F2016E">
        <w:t>s</w:t>
      </w:r>
      <w:r w:rsidR="00C9257B">
        <w:t xml:space="preserve"> of consecutive noncompliance in one or more areas </w:t>
      </w:r>
      <w:r w:rsidR="00803289">
        <w:t>listed above</w:t>
      </w:r>
      <w:r w:rsidR="00C9257B">
        <w:t>.  The LEA is required to complete the following additional activities:</w:t>
      </w:r>
    </w:p>
    <w:p w14:paraId="6A13949B" w14:textId="6198587C" w:rsidR="00C9257B" w:rsidRPr="004E0238" w:rsidRDefault="00C9257B" w:rsidP="00B70782">
      <w:pPr>
        <w:numPr>
          <w:ilvl w:val="0"/>
          <w:numId w:val="31"/>
        </w:numPr>
        <w:spacing w:after="0"/>
      </w:pPr>
      <w:r>
        <w:t xml:space="preserve">Review the past </w:t>
      </w:r>
      <w:r w:rsidR="00F2016E">
        <w:t>four</w:t>
      </w:r>
      <w:r>
        <w:t xml:space="preserve"> years’ root cause findings to assist in developing an improvement plan.</w:t>
      </w:r>
      <w:r w:rsidR="004D6745">
        <w:t xml:space="preserve">  One SDE staff</w:t>
      </w:r>
      <w:r w:rsidR="001A17E5">
        <w:t xml:space="preserve"> or contract</w:t>
      </w:r>
      <w:r w:rsidR="00B22926">
        <w:t>ed</w:t>
      </w:r>
      <w:r w:rsidR="001A17E5">
        <w:t xml:space="preserve"> outside representative </w:t>
      </w:r>
      <w:r w:rsidR="004D6745">
        <w:t xml:space="preserve">will participate in the team planning to support the identification of the root cause, data review, and the plan for improvement. </w:t>
      </w:r>
    </w:p>
    <w:p w14:paraId="0C38F380" w14:textId="73B83725" w:rsidR="00C9257B" w:rsidRPr="004E0238" w:rsidRDefault="00C9257B" w:rsidP="00B70782">
      <w:pPr>
        <w:numPr>
          <w:ilvl w:val="0"/>
          <w:numId w:val="31"/>
        </w:numPr>
        <w:spacing w:after="0"/>
      </w:pPr>
      <w:r>
        <w:t xml:space="preserve">Use 615 </w:t>
      </w:r>
      <w:r w:rsidR="001F28E8">
        <w:t xml:space="preserve">professional development </w:t>
      </w:r>
      <w:r>
        <w:t xml:space="preserve">funds to address the improvement plan implementation. The amount or percentage of funds directed will be determined in consultation with </w:t>
      </w:r>
      <w:r w:rsidR="00E960FD">
        <w:t>OSDE-SES</w:t>
      </w:r>
      <w:r>
        <w:t>.</w:t>
      </w:r>
    </w:p>
    <w:p w14:paraId="4F59FF52" w14:textId="7D287089" w:rsidR="004D6745" w:rsidRPr="004E0238" w:rsidRDefault="004D6745" w:rsidP="00B70782">
      <w:pPr>
        <w:numPr>
          <w:ilvl w:val="0"/>
          <w:numId w:val="31"/>
        </w:numPr>
        <w:spacing w:after="0"/>
      </w:pPr>
      <w:r>
        <w:t xml:space="preserve">Develop or utilize a parent Advisory Board, meeting quarterly, to discuss the root cause, the </w:t>
      </w:r>
      <w:r w:rsidR="001123BD">
        <w:t xml:space="preserve">improvement </w:t>
      </w:r>
      <w:r>
        <w:t xml:space="preserve">plan developed, how the 615 </w:t>
      </w:r>
      <w:r w:rsidR="001F28E8">
        <w:t xml:space="preserve">professional development </w:t>
      </w:r>
      <w:r>
        <w:t xml:space="preserve">funds will be utilized to support the plan and share progress towards the plan. </w:t>
      </w:r>
    </w:p>
    <w:p w14:paraId="3DA2481A" w14:textId="2C2176EB" w:rsidR="738C1520" w:rsidRDefault="738C1520" w:rsidP="2469CE08">
      <w:pPr>
        <w:numPr>
          <w:ilvl w:val="0"/>
          <w:numId w:val="31"/>
        </w:numPr>
        <w:spacing w:after="0"/>
        <w:rPr>
          <w:color w:val="000000" w:themeColor="text1"/>
        </w:rPr>
      </w:pPr>
      <w:r w:rsidRPr="2469CE08">
        <w:rPr>
          <w:color w:val="000000" w:themeColor="text1"/>
        </w:rPr>
        <w:t>Invite parents to local school board meeting to hear the presentation and discussion for improvement and data trends for the past three years related to the area of noncompliance.</w:t>
      </w:r>
    </w:p>
    <w:p w14:paraId="0E178D08" w14:textId="77777777" w:rsidR="002D290E" w:rsidRPr="004E0238" w:rsidRDefault="002D290E" w:rsidP="002D290E">
      <w:pPr>
        <w:spacing w:after="0"/>
        <w:ind w:left="360"/>
      </w:pPr>
    </w:p>
    <w:p w14:paraId="0FB55B0E" w14:textId="7823039F" w:rsidR="004D6745" w:rsidRPr="004E0238" w:rsidRDefault="4BC88E55" w:rsidP="004D6745">
      <w:pPr>
        <w:spacing w:after="0"/>
        <w:ind w:left="360"/>
      </w:pPr>
      <w:bookmarkStart w:id="17" w:name="_Hlk148592418"/>
      <w:r>
        <w:t>I</w:t>
      </w:r>
      <w:r w:rsidR="004D6745">
        <w:t>f the district has demonstrated a 10% or more growth while implementing the</w:t>
      </w:r>
      <w:r w:rsidR="001123BD">
        <w:t>ir improvement</w:t>
      </w:r>
      <w:r w:rsidR="004D6745">
        <w:t xml:space="preserve"> plan, they will remain at </w:t>
      </w:r>
      <w:r w:rsidR="001123BD">
        <w:t xml:space="preserve">their current </w:t>
      </w:r>
      <w:r w:rsidR="4A2032A2">
        <w:t>t</w:t>
      </w:r>
      <w:r w:rsidR="004D6745">
        <w:t xml:space="preserve">ier for the </w:t>
      </w:r>
      <w:r w:rsidR="001123BD">
        <w:t>next</w:t>
      </w:r>
      <w:r w:rsidR="004D6745">
        <w:t xml:space="preserve"> year.  If the</w:t>
      </w:r>
      <w:r w:rsidR="001123BD">
        <w:t>re is no growth or decline</w:t>
      </w:r>
      <w:r w:rsidR="004D6745">
        <w:t xml:space="preserve">, they will move to the </w:t>
      </w:r>
      <w:r w:rsidR="5FD29044">
        <w:t>t</w:t>
      </w:r>
      <w:r w:rsidR="004D6745">
        <w:t xml:space="preserve">ier below their current placement. </w:t>
      </w:r>
    </w:p>
    <w:bookmarkEnd w:id="17"/>
    <w:p w14:paraId="4837C551" w14:textId="03135E6C" w:rsidR="6952A7C3" w:rsidRDefault="6952A7C3"/>
    <w:p w14:paraId="6C1FBBEC" w14:textId="23A07A45" w:rsidR="009B5EAA" w:rsidRPr="004E0238" w:rsidRDefault="009B5EAA" w:rsidP="009B5EAA">
      <w:pPr>
        <w:pStyle w:val="Heading3"/>
      </w:pPr>
      <w:r>
        <w:t xml:space="preserve">Accreditation </w:t>
      </w:r>
      <w:r w:rsidR="00C175AD">
        <w:t>Warning</w:t>
      </w:r>
      <w:r w:rsidR="398E263A">
        <w:t xml:space="preserve"> and Accreditation Deficiency</w:t>
      </w:r>
    </w:p>
    <w:p w14:paraId="18794BAA" w14:textId="62C102D8" w:rsidR="009B5EAA" w:rsidRPr="000D49C3" w:rsidRDefault="009B5EAA" w:rsidP="6952A7C3">
      <w:pPr>
        <w:pStyle w:val="Heading3"/>
        <w:rPr>
          <w:b w:val="0"/>
          <w:bCs w:val="0"/>
          <w:i w:val="0"/>
          <w:iCs w:val="0"/>
          <w:sz w:val="24"/>
          <w:szCs w:val="24"/>
        </w:rPr>
      </w:pPr>
      <w:r w:rsidRPr="6952A7C3">
        <w:rPr>
          <w:b w:val="0"/>
          <w:bCs w:val="0"/>
          <w:i w:val="0"/>
          <w:iCs w:val="0"/>
          <w:sz w:val="24"/>
          <w:szCs w:val="24"/>
        </w:rPr>
        <w:t xml:space="preserve">The Oklahoma State Department of Education will issue an accreditation </w:t>
      </w:r>
      <w:r w:rsidR="00C175AD" w:rsidRPr="6952A7C3">
        <w:rPr>
          <w:b w:val="0"/>
          <w:bCs w:val="0"/>
          <w:i w:val="0"/>
          <w:iCs w:val="0"/>
          <w:sz w:val="24"/>
          <w:szCs w:val="24"/>
        </w:rPr>
        <w:t>warning</w:t>
      </w:r>
      <w:r w:rsidRPr="6952A7C3">
        <w:rPr>
          <w:b w:val="0"/>
          <w:bCs w:val="0"/>
          <w:i w:val="0"/>
          <w:iCs w:val="0"/>
          <w:sz w:val="24"/>
          <w:szCs w:val="24"/>
        </w:rPr>
        <w:t xml:space="preserve"> to the district superintendent and local school board in an effort to provide a final alert to a concern that may be elevated to a deficiency if not addressed. An accreditation </w:t>
      </w:r>
      <w:r w:rsidR="00C175AD" w:rsidRPr="6952A7C3">
        <w:rPr>
          <w:b w:val="0"/>
          <w:bCs w:val="0"/>
          <w:i w:val="0"/>
          <w:iCs w:val="0"/>
          <w:sz w:val="24"/>
          <w:szCs w:val="24"/>
        </w:rPr>
        <w:t>warning</w:t>
      </w:r>
      <w:r w:rsidRPr="6952A7C3">
        <w:rPr>
          <w:b w:val="0"/>
          <w:bCs w:val="0"/>
          <w:i w:val="0"/>
          <w:iCs w:val="0"/>
          <w:sz w:val="24"/>
          <w:szCs w:val="24"/>
        </w:rPr>
        <w:t xml:space="preserve"> is not a deficiency but could move to a deficiency in the future if the concern is not corrected at the LEA level</w:t>
      </w:r>
      <w:r w:rsidR="59B634C2" w:rsidRPr="6952A7C3">
        <w:rPr>
          <w:b w:val="0"/>
          <w:bCs w:val="0"/>
          <w:i w:val="0"/>
          <w:iCs w:val="0"/>
          <w:sz w:val="24"/>
          <w:szCs w:val="24"/>
        </w:rPr>
        <w:t>.</w:t>
      </w:r>
    </w:p>
    <w:p w14:paraId="0CFFB696" w14:textId="720A5006" w:rsidR="009231D7" w:rsidRPr="0049008F" w:rsidRDefault="59B634C2" w:rsidP="6952A7C3">
      <w:pPr>
        <w:pStyle w:val="Heading3"/>
        <w:rPr>
          <w:sz w:val="24"/>
          <w:szCs w:val="24"/>
        </w:rPr>
      </w:pPr>
      <w:r w:rsidRPr="6952A7C3">
        <w:rPr>
          <w:b w:val="0"/>
          <w:bCs w:val="0"/>
          <w:i w:val="0"/>
          <w:iCs w:val="0"/>
          <w:sz w:val="24"/>
          <w:szCs w:val="24"/>
        </w:rPr>
        <w:t xml:space="preserve">The Oklahoma State Department of Education will issue an accreditation deficiency to the district superintendent and local school board regarding special education concerns that have not been corrected. </w:t>
      </w:r>
    </w:p>
    <w:p w14:paraId="1D7F58E5" w14:textId="4B4A0A4F" w:rsidR="009231D7" w:rsidRPr="0049008F" w:rsidRDefault="009231D7" w:rsidP="6952A7C3"/>
    <w:tbl>
      <w:tblPr>
        <w:tblStyle w:val="TableGrid"/>
        <w:tblW w:w="0" w:type="auto"/>
        <w:tblLook w:val="06A0" w:firstRow="1" w:lastRow="0" w:firstColumn="1" w:lastColumn="0" w:noHBand="1" w:noVBand="1"/>
      </w:tblPr>
      <w:tblGrid>
        <w:gridCol w:w="5395"/>
        <w:gridCol w:w="5395"/>
      </w:tblGrid>
      <w:tr w:rsidR="6952A7C3" w14:paraId="64B65867" w14:textId="77777777" w:rsidTr="3D90721D">
        <w:trPr>
          <w:trHeight w:val="300"/>
        </w:trPr>
        <w:tc>
          <w:tcPr>
            <w:tcW w:w="5400" w:type="dxa"/>
            <w:shd w:val="clear" w:color="auto" w:fill="DAE8F8"/>
          </w:tcPr>
          <w:p w14:paraId="1D6B1D9B" w14:textId="7990EC98" w:rsidR="59B634C2" w:rsidRDefault="59B634C2" w:rsidP="6952A7C3">
            <w:pPr>
              <w:rPr>
                <w:sz w:val="32"/>
                <w:szCs w:val="32"/>
              </w:rPr>
            </w:pPr>
            <w:r w:rsidRPr="6952A7C3">
              <w:rPr>
                <w:sz w:val="32"/>
                <w:szCs w:val="32"/>
              </w:rPr>
              <w:t>Accreditation Warning</w:t>
            </w:r>
          </w:p>
        </w:tc>
        <w:tc>
          <w:tcPr>
            <w:tcW w:w="5400" w:type="dxa"/>
            <w:shd w:val="clear" w:color="auto" w:fill="DAE8F8"/>
          </w:tcPr>
          <w:p w14:paraId="3E9461DD" w14:textId="76D0CF0E" w:rsidR="59B634C2" w:rsidRDefault="59B634C2" w:rsidP="6952A7C3">
            <w:pPr>
              <w:rPr>
                <w:sz w:val="32"/>
                <w:szCs w:val="32"/>
              </w:rPr>
            </w:pPr>
            <w:r w:rsidRPr="6952A7C3">
              <w:rPr>
                <w:sz w:val="32"/>
                <w:szCs w:val="32"/>
              </w:rPr>
              <w:t>Accreditation Deficiency</w:t>
            </w:r>
          </w:p>
        </w:tc>
      </w:tr>
      <w:tr w:rsidR="6952A7C3" w14:paraId="50243097" w14:textId="77777777" w:rsidTr="3D90721D">
        <w:trPr>
          <w:trHeight w:val="300"/>
        </w:trPr>
        <w:tc>
          <w:tcPr>
            <w:tcW w:w="5400" w:type="dxa"/>
          </w:tcPr>
          <w:p w14:paraId="2B7129CF" w14:textId="538E8E82" w:rsidR="59B634C2" w:rsidRDefault="59B634C2" w:rsidP="6952A7C3">
            <w:r>
              <w:t xml:space="preserve">Untimely submission for both Child Count and End-of-Year data for two (2) consecutive years. </w:t>
            </w:r>
          </w:p>
        </w:tc>
        <w:tc>
          <w:tcPr>
            <w:tcW w:w="5400" w:type="dxa"/>
          </w:tcPr>
          <w:p w14:paraId="0DC3B7E5" w14:textId="062C762C" w:rsidR="59B634C2" w:rsidRDefault="59B634C2" w:rsidP="6952A7C3">
            <w:r>
              <w:t xml:space="preserve">Untimely submission for both Child Count and End-of-Year data for three (3) consecutive years. </w:t>
            </w:r>
          </w:p>
        </w:tc>
      </w:tr>
      <w:tr w:rsidR="6952A7C3" w14:paraId="375CD0F5" w14:textId="77777777" w:rsidTr="3D90721D">
        <w:trPr>
          <w:trHeight w:val="300"/>
        </w:trPr>
        <w:tc>
          <w:tcPr>
            <w:tcW w:w="5400" w:type="dxa"/>
          </w:tcPr>
          <w:p w14:paraId="4AADE951" w14:textId="301C4C53" w:rsidR="59B634C2" w:rsidRDefault="59B634C2" w:rsidP="6952A7C3">
            <w:r>
              <w:t xml:space="preserve">Fiscal noncompliance for two (2) consecutive years not meeting Maintenance of Effort (MOE) or not meeting Excess Cost. </w:t>
            </w:r>
          </w:p>
        </w:tc>
        <w:tc>
          <w:tcPr>
            <w:tcW w:w="5400" w:type="dxa"/>
          </w:tcPr>
          <w:p w14:paraId="386ACF57" w14:textId="5576A6DC" w:rsidR="59B634C2" w:rsidRDefault="59B634C2" w:rsidP="6952A7C3">
            <w:r>
              <w:t xml:space="preserve">Fiscal noncompliance for three (3) consecutive years not meeting Maintenance of Effort (MOE) or not meeting Excess Cost. </w:t>
            </w:r>
          </w:p>
        </w:tc>
      </w:tr>
      <w:tr w:rsidR="6952A7C3" w14:paraId="7A62ED13" w14:textId="77777777" w:rsidTr="3D90721D">
        <w:trPr>
          <w:trHeight w:val="300"/>
        </w:trPr>
        <w:tc>
          <w:tcPr>
            <w:tcW w:w="5400" w:type="dxa"/>
          </w:tcPr>
          <w:p w14:paraId="4432D704" w14:textId="4EE0653E" w:rsidR="59B634C2" w:rsidRDefault="59B634C2" w:rsidP="6952A7C3">
            <w:r>
              <w:t xml:space="preserve">Untimely submission of the IDEA budget for two (2) consecutive years. </w:t>
            </w:r>
          </w:p>
        </w:tc>
        <w:tc>
          <w:tcPr>
            <w:tcW w:w="5400" w:type="dxa"/>
          </w:tcPr>
          <w:p w14:paraId="5846806A" w14:textId="3AC830E0" w:rsidR="59B634C2" w:rsidRDefault="59B634C2" w:rsidP="6952A7C3">
            <w:r>
              <w:t xml:space="preserve">Untimely submission of the IDEA budget for three (3) consecutive years. </w:t>
            </w:r>
          </w:p>
        </w:tc>
      </w:tr>
      <w:tr w:rsidR="6952A7C3" w14:paraId="411D4C46" w14:textId="77777777" w:rsidTr="3D90721D">
        <w:trPr>
          <w:trHeight w:val="300"/>
        </w:trPr>
        <w:tc>
          <w:tcPr>
            <w:tcW w:w="5400" w:type="dxa"/>
          </w:tcPr>
          <w:p w14:paraId="1228B0A0" w14:textId="79EAD2E3" w:rsidR="59B634C2" w:rsidRDefault="59B634C2" w:rsidP="6952A7C3">
            <w:r>
              <w:t>Untimely submission of claims for reimbursement (due on or before August 1</w:t>
            </w:r>
            <w:r w:rsidRPr="6952A7C3">
              <w:rPr>
                <w:vertAlign w:val="superscript"/>
              </w:rPr>
              <w:t>st</w:t>
            </w:r>
            <w:r>
              <w:t>) for two (2) consecutive years.</w:t>
            </w:r>
          </w:p>
        </w:tc>
        <w:tc>
          <w:tcPr>
            <w:tcW w:w="5400" w:type="dxa"/>
          </w:tcPr>
          <w:p w14:paraId="70F094E8" w14:textId="21402BC8" w:rsidR="59B634C2" w:rsidRDefault="59B634C2" w:rsidP="6952A7C3">
            <w:r>
              <w:t>Untimely submission of claims for reimbursement (due on or before August 1</w:t>
            </w:r>
            <w:r w:rsidRPr="6952A7C3">
              <w:rPr>
                <w:vertAlign w:val="superscript"/>
              </w:rPr>
              <w:t>st</w:t>
            </w:r>
            <w:r>
              <w:t xml:space="preserve">) for three (3) consecutive years. </w:t>
            </w:r>
          </w:p>
        </w:tc>
      </w:tr>
      <w:tr w:rsidR="6952A7C3" w14:paraId="389CAF92" w14:textId="77777777" w:rsidTr="3D90721D">
        <w:trPr>
          <w:trHeight w:val="300"/>
        </w:trPr>
        <w:tc>
          <w:tcPr>
            <w:tcW w:w="5400" w:type="dxa"/>
          </w:tcPr>
          <w:p w14:paraId="21E7F071" w14:textId="77777777" w:rsidR="00C0382E" w:rsidRDefault="00C0382E" w:rsidP="6952A7C3"/>
          <w:p w14:paraId="7FF0DB99" w14:textId="757EF0C7" w:rsidR="59B634C2" w:rsidRDefault="59B634C2" w:rsidP="6952A7C3">
            <w:r>
              <w:lastRenderedPageBreak/>
              <w:t>Corrective Action Plan (CAP) or directives resulting in a finding of noncompliance that have not been fulfilled as directed by the ti</w:t>
            </w:r>
            <w:r w:rsidR="3D85679E">
              <w:t>me</w:t>
            </w:r>
            <w:r>
              <w:t>line issued may result in an accreditation</w:t>
            </w:r>
            <w:r w:rsidR="2D36FCB6">
              <w:t xml:space="preserve"> warning for:</w:t>
            </w:r>
          </w:p>
          <w:p w14:paraId="44730852" w14:textId="34001684" w:rsidR="2D36FCB6" w:rsidRDefault="2D36FCB6" w:rsidP="6952A7C3">
            <w:pPr>
              <w:pStyle w:val="ListParagraph"/>
              <w:numPr>
                <w:ilvl w:val="0"/>
                <w:numId w:val="3"/>
              </w:numPr>
            </w:pPr>
            <w:r>
              <w:t>Selective Review findings</w:t>
            </w:r>
          </w:p>
          <w:p w14:paraId="1B323449" w14:textId="3D37BF17" w:rsidR="2D36FCB6" w:rsidRDefault="2D36FCB6" w:rsidP="6952A7C3">
            <w:pPr>
              <w:pStyle w:val="ListParagraph"/>
              <w:numPr>
                <w:ilvl w:val="0"/>
                <w:numId w:val="3"/>
              </w:numPr>
            </w:pPr>
            <w:r>
              <w:t>Cyclical Monitoring findings</w:t>
            </w:r>
          </w:p>
          <w:p w14:paraId="6EB7A9B6" w14:textId="18EEEB4A" w:rsidR="2D36FCB6" w:rsidRDefault="2D36FCB6" w:rsidP="6952A7C3">
            <w:pPr>
              <w:pStyle w:val="ListParagraph"/>
              <w:numPr>
                <w:ilvl w:val="0"/>
                <w:numId w:val="3"/>
              </w:numPr>
            </w:pPr>
            <w:r>
              <w:t>State Complaint findings</w:t>
            </w:r>
          </w:p>
        </w:tc>
        <w:tc>
          <w:tcPr>
            <w:tcW w:w="5400" w:type="dxa"/>
          </w:tcPr>
          <w:p w14:paraId="465355AE" w14:textId="77777777" w:rsidR="00C0382E" w:rsidRDefault="00C0382E" w:rsidP="6952A7C3"/>
          <w:p w14:paraId="05A81488" w14:textId="59FFD320" w:rsidR="6BBE39AE" w:rsidRDefault="6BBE39AE" w:rsidP="6952A7C3">
            <w:r>
              <w:lastRenderedPageBreak/>
              <w:t>Longstanding Noncompliance – Any unresolved noncompliance that has exceeded one (1) year after the written notification of noncompliance that has not been resolved as directed wil</w:t>
            </w:r>
            <w:r w:rsidR="08A7457E">
              <w:t>l result in an accreditation deficiency for:</w:t>
            </w:r>
          </w:p>
          <w:p w14:paraId="42B91909" w14:textId="5EF7D455" w:rsidR="08A7457E" w:rsidRDefault="08A7457E" w:rsidP="6952A7C3">
            <w:pPr>
              <w:pStyle w:val="ListParagraph"/>
              <w:numPr>
                <w:ilvl w:val="0"/>
                <w:numId w:val="2"/>
              </w:numPr>
            </w:pPr>
            <w:r>
              <w:t>Selective Review findings</w:t>
            </w:r>
          </w:p>
          <w:p w14:paraId="6E40A988" w14:textId="2EA091F3" w:rsidR="08A7457E" w:rsidRDefault="08A7457E" w:rsidP="6952A7C3">
            <w:pPr>
              <w:pStyle w:val="ListParagraph"/>
              <w:numPr>
                <w:ilvl w:val="0"/>
                <w:numId w:val="2"/>
              </w:numPr>
            </w:pPr>
            <w:r>
              <w:t>Cyclical Monitoring findings</w:t>
            </w:r>
          </w:p>
          <w:p w14:paraId="71CAB862" w14:textId="1F6598CF" w:rsidR="08A7457E" w:rsidRDefault="08A7457E" w:rsidP="6952A7C3">
            <w:pPr>
              <w:pStyle w:val="ListParagraph"/>
              <w:numPr>
                <w:ilvl w:val="0"/>
                <w:numId w:val="2"/>
              </w:numPr>
            </w:pPr>
            <w:r>
              <w:t>State Compliant findings</w:t>
            </w:r>
          </w:p>
        </w:tc>
      </w:tr>
      <w:tr w:rsidR="6952A7C3" w14:paraId="61C99E5A" w14:textId="77777777" w:rsidTr="3D90721D">
        <w:trPr>
          <w:trHeight w:val="300"/>
        </w:trPr>
        <w:tc>
          <w:tcPr>
            <w:tcW w:w="5400" w:type="dxa"/>
          </w:tcPr>
          <w:p w14:paraId="2819B4A8" w14:textId="0ED0D5D9" w:rsidR="08A7457E" w:rsidRDefault="08A7457E" w:rsidP="6952A7C3">
            <w:r>
              <w:lastRenderedPageBreak/>
              <w:t xml:space="preserve">DMR Level 4 for three (3) consecutive years. </w:t>
            </w:r>
          </w:p>
        </w:tc>
        <w:tc>
          <w:tcPr>
            <w:tcW w:w="5400" w:type="dxa"/>
          </w:tcPr>
          <w:p w14:paraId="7453266C" w14:textId="60E5B151" w:rsidR="08A7457E" w:rsidRDefault="08A7457E" w:rsidP="6952A7C3">
            <w:r>
              <w:t xml:space="preserve">DMR Level 4 for four (4) consecutive years without demonstrating a 10% annual growth. </w:t>
            </w:r>
          </w:p>
        </w:tc>
      </w:tr>
      <w:tr w:rsidR="6952A7C3" w14:paraId="642A3459" w14:textId="77777777" w:rsidTr="3D90721D">
        <w:trPr>
          <w:trHeight w:val="300"/>
        </w:trPr>
        <w:tc>
          <w:tcPr>
            <w:tcW w:w="5400" w:type="dxa"/>
          </w:tcPr>
          <w:p w14:paraId="30664C52" w14:textId="5AC4A6A7" w:rsidR="78F3F5FA" w:rsidRDefault="78F3F5FA" w:rsidP="6952A7C3">
            <w:r>
              <w:t xml:space="preserve">LEA has been notified that State or federal funds may be withheld due to concerns relating to the special education program. </w:t>
            </w:r>
          </w:p>
        </w:tc>
        <w:tc>
          <w:tcPr>
            <w:tcW w:w="5400" w:type="dxa"/>
          </w:tcPr>
          <w:p w14:paraId="05EBDC56" w14:textId="59F95961" w:rsidR="78F3F5FA" w:rsidRDefault="78F3F5FA" w:rsidP="6952A7C3">
            <w:r>
              <w:t xml:space="preserve">LEA has been notified that State or federal funds have been withheld (following a hearing) due to concerns relating to the special education program. </w:t>
            </w:r>
          </w:p>
        </w:tc>
      </w:tr>
      <w:tr w:rsidR="3D90721D" w14:paraId="2CED2498" w14:textId="77777777" w:rsidTr="3D90721D">
        <w:trPr>
          <w:trHeight w:val="300"/>
        </w:trPr>
        <w:tc>
          <w:tcPr>
            <w:tcW w:w="5400" w:type="dxa"/>
          </w:tcPr>
          <w:p w14:paraId="2421B8F5" w14:textId="31FA85BD" w:rsidR="1E6572E8" w:rsidRDefault="1E6572E8" w:rsidP="3D90721D">
            <w:r>
              <w:t>Three consecutive years not demonstrating compliance through Prong II for Indicators 11, 12, &amp; 13 (for the same indicator).</w:t>
            </w:r>
          </w:p>
        </w:tc>
        <w:tc>
          <w:tcPr>
            <w:tcW w:w="5400" w:type="dxa"/>
          </w:tcPr>
          <w:p w14:paraId="2AB08129" w14:textId="1653705F" w:rsidR="1E6572E8" w:rsidRDefault="1E6572E8" w:rsidP="3D90721D">
            <w:r>
              <w:t>Four consecutive years not demonstrating compliance through Prong II for Indicators 11, 12, &amp; 13 (for the same indicator).</w:t>
            </w:r>
          </w:p>
        </w:tc>
      </w:tr>
      <w:tr w:rsidR="6952A7C3" w14:paraId="1DCFA08C" w14:textId="77777777" w:rsidTr="3D90721D">
        <w:trPr>
          <w:trHeight w:val="300"/>
        </w:trPr>
        <w:tc>
          <w:tcPr>
            <w:tcW w:w="5400" w:type="dxa"/>
          </w:tcPr>
          <w:p w14:paraId="208657A7" w14:textId="7CA10081" w:rsidR="78F3F5FA" w:rsidRDefault="78F3F5FA" w:rsidP="6952A7C3">
            <w:r>
              <w:t>DMR Levels 1-4 identified as noncompliant for one or more indicators (1, 3, 7, 11, 12, &amp; 13) and have not submitted an improvement plan by May 15</w:t>
            </w:r>
            <w:r w:rsidRPr="6952A7C3">
              <w:rPr>
                <w:vertAlign w:val="superscript"/>
              </w:rPr>
              <w:t>th</w:t>
            </w:r>
            <w:r>
              <w:t xml:space="preserve">. </w:t>
            </w:r>
          </w:p>
        </w:tc>
        <w:tc>
          <w:tcPr>
            <w:tcW w:w="5400" w:type="dxa"/>
          </w:tcPr>
          <w:p w14:paraId="0CD058E1" w14:textId="54EE5960" w:rsidR="6952A7C3" w:rsidRDefault="6952A7C3" w:rsidP="6952A7C3"/>
        </w:tc>
      </w:tr>
      <w:tr w:rsidR="6952A7C3" w14:paraId="5ADF23DD" w14:textId="77777777" w:rsidTr="3D90721D">
        <w:trPr>
          <w:trHeight w:val="300"/>
        </w:trPr>
        <w:tc>
          <w:tcPr>
            <w:tcW w:w="5400" w:type="dxa"/>
          </w:tcPr>
          <w:p w14:paraId="52F8C8C1" w14:textId="660F4812" w:rsidR="78F3F5FA" w:rsidRDefault="78F3F5FA" w:rsidP="6952A7C3">
            <w:r>
              <w:t xml:space="preserve">Other identified concerns that may impact the LEA’s special education program. </w:t>
            </w:r>
          </w:p>
        </w:tc>
        <w:tc>
          <w:tcPr>
            <w:tcW w:w="5400" w:type="dxa"/>
          </w:tcPr>
          <w:p w14:paraId="5D64F7ED" w14:textId="3505B122" w:rsidR="6952A7C3" w:rsidRDefault="6952A7C3" w:rsidP="6952A7C3"/>
        </w:tc>
      </w:tr>
      <w:tr w:rsidR="6952A7C3" w14:paraId="473511E6" w14:textId="77777777" w:rsidTr="3D90721D">
        <w:trPr>
          <w:trHeight w:val="300"/>
        </w:trPr>
        <w:tc>
          <w:tcPr>
            <w:tcW w:w="5400" w:type="dxa"/>
          </w:tcPr>
          <w:p w14:paraId="27417BE2" w14:textId="52109D8A" w:rsidR="6952A7C3" w:rsidRDefault="6952A7C3" w:rsidP="6952A7C3"/>
        </w:tc>
        <w:tc>
          <w:tcPr>
            <w:tcW w:w="5400" w:type="dxa"/>
          </w:tcPr>
          <w:p w14:paraId="3D01030F" w14:textId="38506655" w:rsidR="78F3F5FA" w:rsidRDefault="78F3F5FA" w:rsidP="6952A7C3">
            <w:r>
              <w:t xml:space="preserve">Inappropriate documentation, including forging one or more team members’ signatures or backdating student-level confidential documents. </w:t>
            </w:r>
          </w:p>
        </w:tc>
      </w:tr>
    </w:tbl>
    <w:p w14:paraId="2653A314" w14:textId="350A2977" w:rsidR="009231D7" w:rsidRPr="0049008F" w:rsidRDefault="49B9B55E" w:rsidP="6952A7C3">
      <w:pPr>
        <w:pStyle w:val="Heading2"/>
      </w:pPr>
      <w:r>
        <w:t>Withholding of IDEA Funds</w:t>
      </w:r>
    </w:p>
    <w:p w14:paraId="1B2F0B39" w14:textId="64B8A37B" w:rsidR="009231D7" w:rsidRPr="004E0238" w:rsidRDefault="57D18AC9" w:rsidP="0A9EAF47">
      <w:pPr>
        <w:pStyle w:val="Heading2"/>
        <w:spacing w:before="40" w:after="0"/>
        <w:rPr>
          <w:rFonts w:ascii="Tw Cen MT" w:eastAsia="Tw Cen MT" w:hAnsi="Tw Cen MT" w:cs="Tw Cen MT"/>
          <w:b/>
          <w:bCs/>
          <w:color w:val="393A39"/>
          <w:sz w:val="24"/>
          <w:szCs w:val="24"/>
        </w:rPr>
      </w:pPr>
      <w:r w:rsidRPr="5EF294CC">
        <w:rPr>
          <w:rFonts w:ascii="Tw Cen MT" w:eastAsia="Tw Cen MT" w:hAnsi="Tw Cen MT" w:cs="Tw Cen MT"/>
          <w:b/>
          <w:bCs/>
          <w:color w:val="393A39"/>
          <w:sz w:val="24"/>
          <w:szCs w:val="24"/>
        </w:rPr>
        <w:t>34 CFR §300.600 State Monitoring and Enforcement</w:t>
      </w:r>
    </w:p>
    <w:p w14:paraId="421D2D77" w14:textId="058B69D6" w:rsidR="009231D7" w:rsidRPr="004E0238" w:rsidRDefault="57D18AC9" w:rsidP="5EF294CC">
      <w:pPr>
        <w:pStyle w:val="ListParagraph"/>
        <w:numPr>
          <w:ilvl w:val="0"/>
          <w:numId w:val="10"/>
        </w:numPr>
        <w:spacing w:after="0" w:line="276" w:lineRule="auto"/>
        <w:ind w:left="1080"/>
        <w:rPr>
          <w:rFonts w:ascii="Tw Cen MT" w:eastAsia="Tw Cen MT" w:hAnsi="Tw Cen MT" w:cs="Tw Cen MT"/>
        </w:rPr>
      </w:pPr>
      <w:r w:rsidRPr="5EF294CC">
        <w:rPr>
          <w:rFonts w:ascii="Tw Cen MT" w:eastAsia="Tw Cen MT" w:hAnsi="Tw Cen MT" w:cs="Tw Cen MT"/>
        </w:rPr>
        <w:t xml:space="preserve">The State must – </w:t>
      </w:r>
    </w:p>
    <w:p w14:paraId="6D2E56CB" w14:textId="69A021C5" w:rsidR="009231D7" w:rsidRPr="004E0238" w:rsidRDefault="57D18AC9" w:rsidP="5EF294CC">
      <w:pPr>
        <w:pStyle w:val="ListParagraph"/>
        <w:numPr>
          <w:ilvl w:val="0"/>
          <w:numId w:val="9"/>
        </w:numPr>
        <w:spacing w:after="0" w:line="276" w:lineRule="auto"/>
        <w:ind w:left="1800"/>
        <w:rPr>
          <w:rFonts w:ascii="Tw Cen MT" w:eastAsia="Tw Cen MT" w:hAnsi="Tw Cen MT" w:cs="Tw Cen MT"/>
        </w:rPr>
      </w:pPr>
      <w:r w:rsidRPr="5EF294CC">
        <w:rPr>
          <w:rFonts w:ascii="Tw Cen MT" w:eastAsia="Tw Cen MT" w:hAnsi="Tw Cen MT" w:cs="Tw Cen MT"/>
        </w:rPr>
        <w:t>Monitor the implementation of this part;</w:t>
      </w:r>
    </w:p>
    <w:p w14:paraId="78319632" w14:textId="5A06655D" w:rsidR="009231D7" w:rsidRPr="004E0238" w:rsidRDefault="57D18AC9" w:rsidP="5EF294CC">
      <w:pPr>
        <w:pStyle w:val="ListParagraph"/>
        <w:numPr>
          <w:ilvl w:val="0"/>
          <w:numId w:val="9"/>
        </w:numPr>
        <w:spacing w:after="0" w:line="276" w:lineRule="auto"/>
        <w:ind w:left="1800"/>
        <w:rPr>
          <w:rFonts w:ascii="Tw Cen MT" w:eastAsia="Tw Cen MT" w:hAnsi="Tw Cen MT" w:cs="Tw Cen MT"/>
        </w:rPr>
      </w:pPr>
      <w:r w:rsidRPr="5EF294CC">
        <w:rPr>
          <w:rFonts w:ascii="Tw Cen MT" w:eastAsia="Tw Cen MT" w:hAnsi="Tw Cen MT" w:cs="Tw Cen MT"/>
        </w:rPr>
        <w:t>Make determinations annually about the performance of each LEA using the categories;</w:t>
      </w:r>
    </w:p>
    <w:p w14:paraId="4C51E755" w14:textId="3D25BE0C" w:rsidR="009231D7" w:rsidRDefault="57D18AC9" w:rsidP="5EF294CC">
      <w:pPr>
        <w:pStyle w:val="ListParagraph"/>
        <w:numPr>
          <w:ilvl w:val="0"/>
          <w:numId w:val="9"/>
        </w:numPr>
        <w:spacing w:after="0" w:line="276" w:lineRule="auto"/>
        <w:ind w:left="1800"/>
        <w:rPr>
          <w:rFonts w:ascii="Tw Cen MT" w:eastAsia="Tw Cen MT" w:hAnsi="Tw Cen MT" w:cs="Tw Cen MT"/>
        </w:rPr>
      </w:pPr>
      <w:r w:rsidRPr="5EF294CC">
        <w:rPr>
          <w:rFonts w:ascii="Tw Cen MT" w:eastAsia="Tw Cen MT" w:hAnsi="Tw Cen MT" w:cs="Tw Cen MT"/>
        </w:rPr>
        <w:t>Enforce this part, consistent with §300.604, using appropriate enforcement mechanisms, which must include, if applicable, the enforcement mechanisms identified in §300.604 (a)(1) (technical assistance), (a)(3) (conditions on funding of an LEA),  (b)(2)(i) (a corrective action plan or improvement plan), (b)(2)(v) (withholding funds, in whole or in part by the SEA), and (c)(2) (withholding funds, in whole or in part, by the SEA)</w:t>
      </w:r>
      <w:r w:rsidR="006F7203" w:rsidRPr="5EF294CC">
        <w:rPr>
          <w:rFonts w:ascii="Tw Cen MT" w:eastAsia="Tw Cen MT" w:hAnsi="Tw Cen MT" w:cs="Tw Cen MT"/>
        </w:rPr>
        <w:t>.</w:t>
      </w:r>
    </w:p>
    <w:p w14:paraId="52A16A27" w14:textId="77777777" w:rsidR="006F7203" w:rsidRPr="006F7203" w:rsidRDefault="006F7203" w:rsidP="5EF294CC">
      <w:pPr>
        <w:spacing w:after="0" w:line="276" w:lineRule="auto"/>
        <w:rPr>
          <w:rFonts w:ascii="Tw Cen MT" w:eastAsia="Tw Cen MT" w:hAnsi="Tw Cen MT" w:cs="Tw Cen MT"/>
        </w:rPr>
      </w:pPr>
    </w:p>
    <w:p w14:paraId="404C7451" w14:textId="1266FE05" w:rsidR="009231D7" w:rsidRPr="004E0238" w:rsidRDefault="57D18AC9" w:rsidP="0A9EAF47">
      <w:pPr>
        <w:pStyle w:val="Heading2"/>
        <w:spacing w:before="40" w:after="0"/>
        <w:rPr>
          <w:rFonts w:ascii="Tw Cen MT" w:eastAsia="Tw Cen MT" w:hAnsi="Tw Cen MT" w:cs="Tw Cen MT"/>
          <w:b/>
          <w:bCs/>
          <w:color w:val="393A39"/>
          <w:sz w:val="24"/>
          <w:szCs w:val="24"/>
        </w:rPr>
      </w:pPr>
      <w:r w:rsidRPr="5EF294CC">
        <w:rPr>
          <w:rFonts w:ascii="Tw Cen MT" w:eastAsia="Tw Cen MT" w:hAnsi="Tw Cen MT" w:cs="Tw Cen MT"/>
          <w:b/>
          <w:bCs/>
          <w:color w:val="393A39"/>
          <w:sz w:val="24"/>
          <w:szCs w:val="24"/>
        </w:rPr>
        <w:t>34 CFR §300.605 Withholding funds</w:t>
      </w:r>
    </w:p>
    <w:p w14:paraId="3EECA8FB" w14:textId="24670858" w:rsidR="009231D7" w:rsidRPr="004E0238" w:rsidRDefault="57D18AC9" w:rsidP="0A9EAF47">
      <w:pPr>
        <w:pStyle w:val="Heading2"/>
        <w:spacing w:before="40" w:after="0"/>
        <w:rPr>
          <w:rFonts w:ascii="Tw Cen MT" w:eastAsia="Tw Cen MT" w:hAnsi="Tw Cen MT" w:cs="Tw Cen MT"/>
          <w:color w:val="393A39"/>
          <w:sz w:val="24"/>
          <w:szCs w:val="24"/>
        </w:rPr>
      </w:pPr>
      <w:r w:rsidRPr="5EF294CC">
        <w:rPr>
          <w:rFonts w:ascii="Tw Cen MT" w:eastAsia="Tw Cen MT" w:hAnsi="Tw Cen MT" w:cs="Tw Cen MT"/>
          <w:color w:val="393A39"/>
          <w:sz w:val="24"/>
          <w:szCs w:val="24"/>
        </w:rPr>
        <w:t>300.605 outlines the processes the US Department of Education, Office of Special Education will use to withhold IDEA funds from states.  Likewise, the Oklahoma State Department of Education, Office of Special Services will mirror this process to withhold IDEA funds from the local education agency (LEA).  This process will ensure that every opportunity is afforded to LEAs in correcting non-compliance.  In this case, the authority designated to the Secretary at the Federal level will be designated to the State Director at the State level.</w:t>
      </w:r>
    </w:p>
    <w:p w14:paraId="25F73262" w14:textId="6C16A18A" w:rsidR="009231D7" w:rsidRPr="004E0238" w:rsidRDefault="57D18AC9" w:rsidP="5EF294CC">
      <w:pPr>
        <w:spacing w:after="0" w:line="276" w:lineRule="auto"/>
        <w:ind w:left="720"/>
        <w:rPr>
          <w:rFonts w:ascii="Tw Cen MT" w:eastAsia="Tw Cen MT" w:hAnsi="Tw Cen MT" w:cs="Tw Cen MT"/>
        </w:rPr>
      </w:pPr>
      <w:r w:rsidRPr="5EF294CC">
        <w:rPr>
          <w:rFonts w:ascii="Tw Cen MT" w:eastAsia="Tw Cen MT" w:hAnsi="Tw Cen MT" w:cs="Tw Cen MT"/>
        </w:rPr>
        <w:t>(a) Opportunity for hearing.  Prior to withholding any funds under Part B of the Act, the Secretary provides reasonable notice and an opportunity for a hearing to the SEA involved pursuant to the procedures.</w:t>
      </w:r>
    </w:p>
    <w:p w14:paraId="31F67AB2" w14:textId="4E0D6F13" w:rsidR="009231D7" w:rsidRPr="004E0238" w:rsidRDefault="57D18AC9" w:rsidP="5EF294CC">
      <w:pPr>
        <w:pStyle w:val="ListParagraph"/>
        <w:spacing w:after="0" w:line="276" w:lineRule="auto"/>
        <w:rPr>
          <w:rFonts w:ascii="Tw Cen MT" w:eastAsia="Tw Cen MT" w:hAnsi="Tw Cen MT" w:cs="Tw Cen MT"/>
        </w:rPr>
      </w:pPr>
      <w:r w:rsidRPr="5EF294CC">
        <w:rPr>
          <w:rFonts w:ascii="Tw Cen MT" w:eastAsia="Tw Cen MT" w:hAnsi="Tw Cen MT" w:cs="Tw Cen MT"/>
        </w:rPr>
        <w:lastRenderedPageBreak/>
        <w:t xml:space="preserve">(b) Suspension.  Pending the outcome of any hearing to withhold payments under paragraph (a) of this section, the secretary may suspend payments to a recipient, suspend the authority of the recipients to obligate funds under Part B of the Act, or both, after the recipient has been given reasonable notice and an opportunity to show cause why future payments or authority to obligate funds under Part B of the Act should not be suspended. </w:t>
      </w:r>
    </w:p>
    <w:p w14:paraId="7FF449D7" w14:textId="7569E7BE" w:rsidR="009231D7" w:rsidRPr="004E0238" w:rsidRDefault="57D18AC9" w:rsidP="5EF294CC">
      <w:pPr>
        <w:pStyle w:val="ListParagraph"/>
        <w:spacing w:after="0" w:line="276" w:lineRule="auto"/>
        <w:rPr>
          <w:rFonts w:ascii="Tw Cen MT" w:eastAsia="Tw Cen MT" w:hAnsi="Tw Cen MT" w:cs="Tw Cen MT"/>
        </w:rPr>
      </w:pPr>
      <w:r w:rsidRPr="5EF294CC">
        <w:rPr>
          <w:rFonts w:ascii="Tw Cen MT" w:eastAsia="Tw Cen MT" w:hAnsi="Tw Cen MT" w:cs="Tw Cen MT"/>
        </w:rPr>
        <w:t>(c) Nature of withholding</w:t>
      </w:r>
    </w:p>
    <w:p w14:paraId="7CD04FFB" w14:textId="2797144C" w:rsidR="009231D7" w:rsidRPr="004E0238" w:rsidRDefault="57D18AC9" w:rsidP="5EF294CC">
      <w:pPr>
        <w:pStyle w:val="ListParagraph"/>
        <w:spacing w:after="0" w:line="276" w:lineRule="auto"/>
        <w:ind w:left="1440"/>
        <w:rPr>
          <w:rFonts w:ascii="Tw Cen MT" w:eastAsia="Tw Cen MT" w:hAnsi="Tw Cen MT" w:cs="Tw Cen MT"/>
        </w:rPr>
      </w:pPr>
      <w:r w:rsidRPr="5EF294CC">
        <w:rPr>
          <w:rFonts w:ascii="Tw Cen MT" w:eastAsia="Tw Cen MT" w:hAnsi="Tw Cen MT" w:cs="Tw Cen MT"/>
        </w:rPr>
        <w:t xml:space="preserve">1. If the secretary determines that it is appropriate to withhold further payments under §300.640 9B0920 or (C)(2), the secretary may determine – </w:t>
      </w:r>
    </w:p>
    <w:p w14:paraId="255A9020" w14:textId="3C44CCEC" w:rsidR="009231D7" w:rsidRPr="004E0238" w:rsidRDefault="57D18AC9" w:rsidP="5EF294CC">
      <w:pPr>
        <w:pStyle w:val="ListParagraph"/>
        <w:numPr>
          <w:ilvl w:val="2"/>
          <w:numId w:val="8"/>
        </w:numPr>
        <w:spacing w:after="0" w:line="276" w:lineRule="auto"/>
        <w:rPr>
          <w:rFonts w:ascii="Tw Cen MT" w:eastAsia="Tw Cen MT" w:hAnsi="Tw Cen MT" w:cs="Tw Cen MT"/>
        </w:rPr>
      </w:pPr>
      <w:r w:rsidRPr="5EF294CC">
        <w:rPr>
          <w:rFonts w:ascii="Tw Cen MT" w:eastAsia="Tw Cen MT" w:hAnsi="Tw Cen MT" w:cs="Tw Cen MT"/>
        </w:rPr>
        <w:t>That the withholding will be limited to programs or projects, or portions of programs or projects, that affected the secretary’s determination under §300.603 (b)(1); or</w:t>
      </w:r>
    </w:p>
    <w:p w14:paraId="0EFE8092" w14:textId="18AA4641" w:rsidR="009231D7" w:rsidRPr="004E0238" w:rsidRDefault="57D18AC9" w:rsidP="5EF294CC">
      <w:pPr>
        <w:pStyle w:val="ListParagraph"/>
        <w:numPr>
          <w:ilvl w:val="2"/>
          <w:numId w:val="8"/>
        </w:numPr>
        <w:spacing w:after="0" w:line="276" w:lineRule="auto"/>
        <w:rPr>
          <w:rFonts w:ascii="Tw Cen MT" w:eastAsia="Tw Cen MT" w:hAnsi="Tw Cen MT" w:cs="Tw Cen MT"/>
        </w:rPr>
      </w:pPr>
      <w:r w:rsidRPr="5EF294CC">
        <w:rPr>
          <w:rFonts w:ascii="Tw Cen MT" w:eastAsia="Tw Cen MT" w:hAnsi="Tw Cen MT" w:cs="Tw Cen MT"/>
        </w:rPr>
        <w:t>That the SEA must not make further payments under Part B of the Act to specified State agencies or LEAs that caused or were involved in the Secretary’s determinations</w:t>
      </w:r>
    </w:p>
    <w:p w14:paraId="2289F611" w14:textId="59F03CD0" w:rsidR="009231D7" w:rsidRPr="004E0238" w:rsidRDefault="57D18AC9" w:rsidP="00102DAB">
      <w:pPr>
        <w:pStyle w:val="ListParagraph"/>
        <w:spacing w:before="240" w:after="240"/>
        <w:ind w:left="1450"/>
        <w:rPr>
          <w:rFonts w:ascii="Tw Cen MT" w:eastAsia="Tw Cen MT" w:hAnsi="Tw Cen MT" w:cs="Tw Cen MT"/>
        </w:rPr>
      </w:pPr>
      <w:r w:rsidRPr="59056DEA">
        <w:rPr>
          <w:rFonts w:ascii="Tw Cen MT" w:eastAsia="Tw Cen MT" w:hAnsi="Tw Cen MT" w:cs="Tw Cen MT"/>
        </w:rPr>
        <w:t xml:space="preserve">2. Until the Secretary is satisfied that the condition that caused the initial </w:t>
      </w:r>
      <w:r w:rsidR="00102DAB">
        <w:rPr>
          <w:rFonts w:ascii="Tw Cen MT" w:eastAsia="Tw Cen MT" w:hAnsi="Tw Cen MT" w:cs="Tw Cen MT"/>
        </w:rPr>
        <w:t>w</w:t>
      </w:r>
      <w:r w:rsidRPr="59056DEA">
        <w:rPr>
          <w:rFonts w:ascii="Tw Cen MT" w:eastAsia="Tw Cen MT" w:hAnsi="Tw Cen MT" w:cs="Tw Cen MT"/>
        </w:rPr>
        <w:t xml:space="preserve">ithholding has been substantially rectified – </w:t>
      </w:r>
    </w:p>
    <w:p w14:paraId="4515F1C0" w14:textId="64DE673A" w:rsidR="0049008F" w:rsidRDefault="57D18AC9" w:rsidP="5EF294CC">
      <w:pPr>
        <w:pStyle w:val="ListParagraph"/>
        <w:spacing w:before="240" w:after="240"/>
        <w:rPr>
          <w:rFonts w:ascii="Tw Cen MT" w:eastAsia="Tw Cen MT" w:hAnsi="Tw Cen MT" w:cs="Tw Cen MT"/>
        </w:rPr>
      </w:pPr>
      <w:r w:rsidRPr="5EF294CC">
        <w:rPr>
          <w:rFonts w:ascii="Tw Cen MT" w:eastAsia="Tw Cen MT" w:hAnsi="Tw Cen MT" w:cs="Tw Cen MT"/>
        </w:rPr>
        <w:t xml:space="preserve">             i. Payments to the State under Part B of the Act must be withheld in whole or in </w:t>
      </w:r>
      <w:r>
        <w:tab/>
      </w:r>
      <w:r>
        <w:tab/>
      </w:r>
      <w:r>
        <w:tab/>
      </w:r>
      <w:r w:rsidRPr="5EF294CC">
        <w:rPr>
          <w:rFonts w:ascii="Tw Cen MT" w:eastAsia="Tw Cen MT" w:hAnsi="Tw Cen MT" w:cs="Tw Cen MT"/>
        </w:rPr>
        <w:t>part; and</w:t>
      </w:r>
      <w:r w:rsidR="00D20027" w:rsidRPr="5EF294CC">
        <w:rPr>
          <w:rFonts w:ascii="Tw Cen MT" w:eastAsia="Tw Cen MT" w:hAnsi="Tw Cen MT" w:cs="Tw Cen MT"/>
        </w:rPr>
        <w:t xml:space="preserve"> </w:t>
      </w:r>
      <w:r w:rsidRPr="5EF294CC">
        <w:rPr>
          <w:rFonts w:ascii="Tw Cen MT" w:eastAsia="Tw Cen MT" w:hAnsi="Tw Cen MT" w:cs="Tw Cen MT"/>
        </w:rPr>
        <w:t xml:space="preserve"> </w:t>
      </w:r>
    </w:p>
    <w:p w14:paraId="45DCB2F4" w14:textId="16B9529B" w:rsidR="009231D7" w:rsidRDefault="57D18AC9" w:rsidP="00102DAB">
      <w:pPr>
        <w:pStyle w:val="ListParagraph"/>
        <w:spacing w:before="240" w:after="240"/>
        <w:ind w:left="1440"/>
        <w:rPr>
          <w:rFonts w:ascii="Tw Cen MT" w:eastAsia="Tw Cen MT" w:hAnsi="Tw Cen MT" w:cs="Tw Cen MT"/>
        </w:rPr>
      </w:pPr>
      <w:r w:rsidRPr="59056DEA">
        <w:rPr>
          <w:rFonts w:ascii="Tw Cen MT" w:eastAsia="Tw Cen MT" w:hAnsi="Tw Cen MT" w:cs="Tw Cen MT"/>
        </w:rPr>
        <w:t xml:space="preserve">ii.  Payments by the SEA under Part B of the Act must be limited to State agencies and LEAs whose actions did not cause or were not involved in the Secretary’s determination under §300.603 (b)(1), as the case </w:t>
      </w:r>
      <w:r w:rsidR="00102DAB">
        <w:t>m</w:t>
      </w:r>
      <w:r w:rsidRPr="59056DEA">
        <w:rPr>
          <w:rFonts w:ascii="Tw Cen MT" w:eastAsia="Tw Cen MT" w:hAnsi="Tw Cen MT" w:cs="Tw Cen MT"/>
        </w:rPr>
        <w:t>ay be.</w:t>
      </w:r>
    </w:p>
    <w:p w14:paraId="469CF458" w14:textId="77777777" w:rsidR="00196BB4" w:rsidRDefault="00196BB4" w:rsidP="5EF294CC">
      <w:pPr>
        <w:spacing w:after="0" w:line="240" w:lineRule="auto"/>
        <w:rPr>
          <w:rStyle w:val="Heading4Char"/>
        </w:rPr>
      </w:pPr>
    </w:p>
    <w:p w14:paraId="4DF1B7AD" w14:textId="18B3D91D" w:rsidR="00CB6C9B" w:rsidRDefault="00CB6C9B" w:rsidP="5EF294CC">
      <w:pPr>
        <w:spacing w:after="0" w:line="240" w:lineRule="auto"/>
        <w:rPr>
          <w:rFonts w:ascii="Tw Cen MT" w:eastAsia="Tw Cen MT" w:hAnsi="Tw Cen MT" w:cs="Tw Cen MT"/>
        </w:rPr>
      </w:pPr>
      <w:r w:rsidRPr="5EF294CC">
        <w:rPr>
          <w:rStyle w:val="Heading4Char"/>
        </w:rPr>
        <w:t>Oklahoma Statute 70.18-116 (J)</w:t>
      </w:r>
      <w:r w:rsidRPr="5EF294CC">
        <w:rPr>
          <w:rFonts w:ascii="Tw Cen MT" w:eastAsia="Tw Cen MT" w:hAnsi="Tw Cen MT" w:cs="Tw Cen MT"/>
        </w:rPr>
        <w:t xml:space="preserve"> </w:t>
      </w:r>
    </w:p>
    <w:p w14:paraId="37D3C01A" w14:textId="517D6A3B" w:rsidR="006F7203" w:rsidRPr="002230B6" w:rsidRDefault="00CB6C9B" w:rsidP="5EF294CC">
      <w:pPr>
        <w:spacing w:after="0" w:line="240" w:lineRule="auto"/>
        <w:rPr>
          <w:rFonts w:ascii="Tw Cen MT" w:eastAsia="Tw Cen MT" w:hAnsi="Tw Cen MT" w:cs="Tw Cen MT"/>
        </w:rPr>
      </w:pPr>
      <w:r w:rsidRPr="5EF294CC">
        <w:rPr>
          <w:rFonts w:ascii="Tw Cen MT" w:eastAsia="Tw Cen MT" w:hAnsi="Tw Cen MT" w:cs="Tw Cen MT"/>
        </w:rPr>
        <w:t>State statutes further clarifies the expectations of the LEA.  OS 70.18-116 states: “Any school district that is not in compliance with the standards and requirements established by the State Board of Education related to the state student record system as provided in Section 3-160 of this title shall forfeit its State Aid for the time of noncompliance.”</w:t>
      </w:r>
    </w:p>
    <w:p w14:paraId="00E1BA46" w14:textId="0608C232" w:rsidR="009231D7" w:rsidRPr="004E0238" w:rsidRDefault="1B1C5013" w:rsidP="5EF294CC">
      <w:pPr>
        <w:spacing w:before="240" w:after="240"/>
        <w:rPr>
          <w:rFonts w:ascii="Tw Cen MT" w:eastAsia="Tw Cen MT" w:hAnsi="Tw Cen MT" w:cs="Tw Cen MT"/>
        </w:rPr>
      </w:pPr>
      <w:r w:rsidRPr="59056DEA">
        <w:rPr>
          <w:rFonts w:ascii="Tw Cen MT" w:eastAsia="Tw Cen MT" w:hAnsi="Tw Cen MT" w:cs="Tw Cen MT"/>
        </w:rPr>
        <w:t xml:space="preserve">The Oklahoma State Department of Education (OSDE), Office of Special Education Services (SES) has the authority to withhold all or part </w:t>
      </w:r>
      <w:r w:rsidR="00102DAB">
        <w:rPr>
          <w:rFonts w:ascii="Tw Cen MT" w:eastAsia="Tw Cen MT" w:hAnsi="Tw Cen MT" w:cs="Tw Cen MT"/>
        </w:rPr>
        <w:t xml:space="preserve"> of the funding </w:t>
      </w:r>
      <w:r w:rsidRPr="59056DEA">
        <w:rPr>
          <w:rFonts w:ascii="Tw Cen MT" w:eastAsia="Tw Cen MT" w:hAnsi="Tw Cen MT" w:cs="Tw Cen MT"/>
        </w:rPr>
        <w:t xml:space="preserve">of a local educational agency (LEA), Charter School, or any other school that receives IDEA funds to support the education of students with disabilities. </w:t>
      </w:r>
    </w:p>
    <w:p w14:paraId="20A0A71D" w14:textId="33B22273" w:rsidR="009231D7" w:rsidRPr="004E0238" w:rsidRDefault="1B1C5013" w:rsidP="0A9EAF47">
      <w:pPr>
        <w:pStyle w:val="Heading2"/>
        <w:rPr>
          <w:rFonts w:ascii="Tw Cen MT" w:eastAsia="Tw Cen MT" w:hAnsi="Tw Cen MT" w:cs="Tw Cen MT"/>
          <w:sz w:val="24"/>
          <w:szCs w:val="24"/>
        </w:rPr>
      </w:pPr>
      <w:r w:rsidRPr="5EF294CC">
        <w:rPr>
          <w:rFonts w:ascii="Tw Cen MT" w:eastAsia="Tw Cen MT" w:hAnsi="Tw Cen MT" w:cs="Tw Cen MT"/>
          <w:sz w:val="24"/>
          <w:szCs w:val="24"/>
        </w:rPr>
        <w:t xml:space="preserve">Conditions </w:t>
      </w:r>
      <w:r w:rsidR="0049008F" w:rsidRPr="5EF294CC">
        <w:rPr>
          <w:rFonts w:ascii="Tw Cen MT" w:eastAsia="Tw Cen MT" w:hAnsi="Tw Cen MT" w:cs="Tw Cen MT"/>
          <w:sz w:val="24"/>
          <w:szCs w:val="24"/>
        </w:rPr>
        <w:t>T</w:t>
      </w:r>
      <w:r w:rsidRPr="5EF294CC">
        <w:rPr>
          <w:rFonts w:ascii="Tw Cen MT" w:eastAsia="Tw Cen MT" w:hAnsi="Tw Cen MT" w:cs="Tw Cen MT"/>
          <w:sz w:val="24"/>
          <w:szCs w:val="24"/>
        </w:rPr>
        <w:t xml:space="preserve">hat </w:t>
      </w:r>
      <w:r w:rsidR="0049008F" w:rsidRPr="5EF294CC">
        <w:rPr>
          <w:rFonts w:ascii="Tw Cen MT" w:eastAsia="Tw Cen MT" w:hAnsi="Tw Cen MT" w:cs="Tw Cen MT"/>
          <w:sz w:val="24"/>
          <w:szCs w:val="24"/>
        </w:rPr>
        <w:t>M</w:t>
      </w:r>
      <w:r w:rsidRPr="5EF294CC">
        <w:rPr>
          <w:rFonts w:ascii="Tw Cen MT" w:eastAsia="Tw Cen MT" w:hAnsi="Tw Cen MT" w:cs="Tw Cen MT"/>
          <w:sz w:val="24"/>
          <w:szCs w:val="24"/>
        </w:rPr>
        <w:t xml:space="preserve">ay </w:t>
      </w:r>
      <w:r w:rsidR="0049008F" w:rsidRPr="5EF294CC">
        <w:rPr>
          <w:rFonts w:ascii="Tw Cen MT" w:eastAsia="Tw Cen MT" w:hAnsi="Tw Cen MT" w:cs="Tw Cen MT"/>
          <w:sz w:val="24"/>
          <w:szCs w:val="24"/>
        </w:rPr>
        <w:t>T</w:t>
      </w:r>
      <w:r w:rsidRPr="5EF294CC">
        <w:rPr>
          <w:rFonts w:ascii="Tw Cen MT" w:eastAsia="Tw Cen MT" w:hAnsi="Tw Cen MT" w:cs="Tw Cen MT"/>
          <w:sz w:val="24"/>
          <w:szCs w:val="24"/>
        </w:rPr>
        <w:t xml:space="preserve">rigger </w:t>
      </w:r>
      <w:r w:rsidR="0049008F" w:rsidRPr="5EF294CC">
        <w:rPr>
          <w:rFonts w:ascii="Tw Cen MT" w:eastAsia="Tw Cen MT" w:hAnsi="Tw Cen MT" w:cs="Tw Cen MT"/>
          <w:sz w:val="24"/>
          <w:szCs w:val="24"/>
        </w:rPr>
        <w:t>W</w:t>
      </w:r>
      <w:r w:rsidRPr="5EF294CC">
        <w:rPr>
          <w:rFonts w:ascii="Tw Cen MT" w:eastAsia="Tw Cen MT" w:hAnsi="Tw Cen MT" w:cs="Tw Cen MT"/>
          <w:sz w:val="24"/>
          <w:szCs w:val="24"/>
        </w:rPr>
        <w:t>ithholding of IDEA</w:t>
      </w:r>
      <w:r w:rsidR="0049008F" w:rsidRPr="5EF294CC">
        <w:rPr>
          <w:rFonts w:ascii="Tw Cen MT" w:eastAsia="Tw Cen MT" w:hAnsi="Tw Cen MT" w:cs="Tw Cen MT"/>
          <w:sz w:val="24"/>
          <w:szCs w:val="24"/>
        </w:rPr>
        <w:t xml:space="preserve"> F</w:t>
      </w:r>
      <w:r w:rsidRPr="5EF294CC">
        <w:rPr>
          <w:rFonts w:ascii="Tw Cen MT" w:eastAsia="Tw Cen MT" w:hAnsi="Tw Cen MT" w:cs="Tw Cen MT"/>
          <w:sz w:val="24"/>
          <w:szCs w:val="24"/>
        </w:rPr>
        <w:t>unds</w:t>
      </w:r>
    </w:p>
    <w:p w14:paraId="02A3A5F0" w14:textId="58AD27D0" w:rsidR="009231D7" w:rsidRPr="004E0238" w:rsidRDefault="1B1C5013" w:rsidP="5EF294CC">
      <w:pPr>
        <w:spacing w:before="240" w:after="240"/>
        <w:rPr>
          <w:rFonts w:ascii="Tw Cen MT" w:eastAsia="Tw Cen MT" w:hAnsi="Tw Cen MT" w:cs="Tw Cen MT"/>
        </w:rPr>
      </w:pPr>
      <w:r w:rsidRPr="5EF294CC">
        <w:rPr>
          <w:rFonts w:ascii="Tw Cen MT" w:eastAsia="Tw Cen MT" w:hAnsi="Tw Cen MT" w:cs="Tw Cen MT"/>
        </w:rPr>
        <w:t xml:space="preserve">Continuous noncompliance in one or more indicators with little to no improvement </w:t>
      </w:r>
      <w:r w:rsidR="0049008F" w:rsidRPr="5EF294CC">
        <w:rPr>
          <w:rFonts w:ascii="Tw Cen MT" w:eastAsia="Tw Cen MT" w:hAnsi="Tw Cen MT" w:cs="Tw Cen MT"/>
        </w:rPr>
        <w:t xml:space="preserve">in the district’s </w:t>
      </w:r>
      <w:r w:rsidRPr="5EF294CC">
        <w:rPr>
          <w:rFonts w:ascii="Tw Cen MT" w:eastAsia="Tw Cen MT" w:hAnsi="Tw Cen MT" w:cs="Tw Cen MT"/>
        </w:rPr>
        <w:t>data and</w:t>
      </w:r>
      <w:r w:rsidR="00D20027" w:rsidRPr="5EF294CC">
        <w:rPr>
          <w:rFonts w:ascii="Tw Cen MT" w:eastAsia="Tw Cen MT" w:hAnsi="Tw Cen MT" w:cs="Tw Cen MT"/>
        </w:rPr>
        <w:t>/</w:t>
      </w:r>
      <w:r w:rsidRPr="5EF294CC">
        <w:rPr>
          <w:rFonts w:ascii="Tw Cen MT" w:eastAsia="Tw Cen MT" w:hAnsi="Tw Cen MT" w:cs="Tw Cen MT"/>
        </w:rPr>
        <w:t xml:space="preserve">or plan </w:t>
      </w:r>
      <w:r w:rsidR="0049008F" w:rsidRPr="5EF294CC">
        <w:rPr>
          <w:rFonts w:ascii="Tw Cen MT" w:eastAsia="Tw Cen MT" w:hAnsi="Tw Cen MT" w:cs="Tw Cen MT"/>
        </w:rPr>
        <w:t xml:space="preserve">of improvement </w:t>
      </w:r>
      <w:r w:rsidRPr="5EF294CC">
        <w:rPr>
          <w:rFonts w:ascii="Tw Cen MT" w:eastAsia="Tw Cen MT" w:hAnsi="Tw Cen MT" w:cs="Tw Cen MT"/>
        </w:rPr>
        <w:t>over a two or more year period</w:t>
      </w:r>
      <w:r w:rsidR="0049008F" w:rsidRPr="5EF294CC">
        <w:rPr>
          <w:rFonts w:ascii="Tw Cen MT" w:eastAsia="Tw Cen MT" w:hAnsi="Tw Cen MT" w:cs="Tw Cen MT"/>
        </w:rPr>
        <w:t>.</w:t>
      </w:r>
    </w:p>
    <w:p w14:paraId="6AC65135" w14:textId="2BFAAF6F" w:rsidR="009231D7" w:rsidRPr="004E0238" w:rsidRDefault="1B1C5013" w:rsidP="5EF294CC">
      <w:pPr>
        <w:spacing w:before="240" w:after="240"/>
        <w:rPr>
          <w:rFonts w:ascii="Tw Cen MT" w:eastAsia="Tw Cen MT" w:hAnsi="Tw Cen MT" w:cs="Tw Cen MT"/>
        </w:rPr>
      </w:pPr>
      <w:r w:rsidRPr="59056DEA">
        <w:rPr>
          <w:rFonts w:ascii="Tw Cen MT" w:eastAsia="Tw Cen MT" w:hAnsi="Tw Cen MT" w:cs="Tw Cen MT"/>
        </w:rPr>
        <w:t xml:space="preserve">Selective Review – Credible allegation </w:t>
      </w:r>
      <w:r w:rsidR="0049008F" w:rsidRPr="59056DEA">
        <w:rPr>
          <w:rFonts w:ascii="Tw Cen MT" w:eastAsia="Tw Cen MT" w:hAnsi="Tw Cen MT" w:cs="Tw Cen MT"/>
        </w:rPr>
        <w:t>that results in</w:t>
      </w:r>
      <w:r w:rsidRPr="59056DEA">
        <w:rPr>
          <w:rFonts w:ascii="Tw Cen MT" w:eastAsia="Tw Cen MT" w:hAnsi="Tw Cen MT" w:cs="Tw Cen MT"/>
        </w:rPr>
        <w:t xml:space="preserve"> a written findings of noncompliance report with corrective actions and directives</w:t>
      </w:r>
      <w:r w:rsidR="00102DAB">
        <w:rPr>
          <w:rFonts w:ascii="Tw Cen MT" w:eastAsia="Tw Cen MT" w:hAnsi="Tw Cen MT" w:cs="Tw Cen MT"/>
        </w:rPr>
        <w:t xml:space="preserve"> have</w:t>
      </w:r>
      <w:r w:rsidRPr="59056DEA">
        <w:rPr>
          <w:rFonts w:ascii="Tw Cen MT" w:eastAsia="Tw Cen MT" w:hAnsi="Tw Cen MT" w:cs="Tw Cen MT"/>
        </w:rPr>
        <w:t xml:space="preserve"> not met within the required timelines.</w:t>
      </w:r>
    </w:p>
    <w:p w14:paraId="0BAE31B6" w14:textId="5535DDBD" w:rsidR="009231D7" w:rsidRPr="004E0238" w:rsidRDefault="1B1C5013" w:rsidP="5EF294CC">
      <w:pPr>
        <w:spacing w:before="240" w:after="240"/>
        <w:rPr>
          <w:rFonts w:ascii="Tw Cen MT" w:eastAsia="Tw Cen MT" w:hAnsi="Tw Cen MT" w:cs="Tw Cen MT"/>
        </w:rPr>
      </w:pPr>
      <w:r w:rsidRPr="59056DEA">
        <w:rPr>
          <w:rFonts w:ascii="Tw Cen MT" w:eastAsia="Tw Cen MT" w:hAnsi="Tw Cen MT" w:cs="Tw Cen MT"/>
        </w:rPr>
        <w:t>State Complaint or Due Process - a written State Complaint Decision</w:t>
      </w:r>
      <w:r w:rsidR="00555B3A" w:rsidRPr="59056DEA">
        <w:rPr>
          <w:rFonts w:ascii="Tw Cen MT" w:eastAsia="Tw Cen MT" w:hAnsi="Tw Cen MT" w:cs="Tw Cen MT"/>
        </w:rPr>
        <w:t xml:space="preserve"> or a Due Process Decision</w:t>
      </w:r>
      <w:r w:rsidRPr="59056DEA">
        <w:rPr>
          <w:rFonts w:ascii="Tw Cen MT" w:eastAsia="Tw Cen MT" w:hAnsi="Tw Cen MT" w:cs="Tw Cen MT"/>
        </w:rPr>
        <w:t xml:space="preserve"> of noncompliance with corrective actions</w:t>
      </w:r>
      <w:r w:rsidR="00555B3A" w:rsidRPr="59056DEA">
        <w:rPr>
          <w:rFonts w:ascii="Tw Cen MT" w:eastAsia="Tw Cen MT" w:hAnsi="Tw Cen MT" w:cs="Tw Cen MT"/>
        </w:rPr>
        <w:t xml:space="preserve"> that</w:t>
      </w:r>
      <w:r w:rsidRPr="59056DEA">
        <w:rPr>
          <w:rFonts w:ascii="Tw Cen MT" w:eastAsia="Tw Cen MT" w:hAnsi="Tw Cen MT" w:cs="Tw Cen MT"/>
        </w:rPr>
        <w:t xml:space="preserve"> </w:t>
      </w:r>
      <w:r w:rsidR="00677B11" w:rsidRPr="59056DEA">
        <w:rPr>
          <w:rFonts w:ascii="Tw Cen MT" w:eastAsia="Tw Cen MT" w:hAnsi="Tw Cen MT" w:cs="Tw Cen MT"/>
        </w:rPr>
        <w:t>have</w:t>
      </w:r>
      <w:r w:rsidRPr="59056DEA">
        <w:rPr>
          <w:rFonts w:ascii="Tw Cen MT" w:eastAsia="Tw Cen MT" w:hAnsi="Tw Cen MT" w:cs="Tw Cen MT"/>
        </w:rPr>
        <w:t xml:space="preserve"> been issued and</w:t>
      </w:r>
      <w:r w:rsidR="00555B3A" w:rsidRPr="59056DEA">
        <w:rPr>
          <w:rFonts w:ascii="Tw Cen MT" w:eastAsia="Tw Cen MT" w:hAnsi="Tw Cen MT" w:cs="Tw Cen MT"/>
        </w:rPr>
        <w:t xml:space="preserve"> the LEA has not met</w:t>
      </w:r>
      <w:r w:rsidR="00677B11" w:rsidRPr="59056DEA">
        <w:rPr>
          <w:rFonts w:ascii="Tw Cen MT" w:eastAsia="Tw Cen MT" w:hAnsi="Tw Cen MT" w:cs="Tw Cen MT"/>
        </w:rPr>
        <w:t xml:space="preserve"> the corrective action</w:t>
      </w:r>
      <w:r w:rsidRPr="59056DEA">
        <w:rPr>
          <w:rFonts w:ascii="Tw Cen MT" w:eastAsia="Tw Cen MT" w:hAnsi="Tw Cen MT" w:cs="Tw Cen MT"/>
        </w:rPr>
        <w:t xml:space="preserve"> directives within the required timelines.</w:t>
      </w:r>
    </w:p>
    <w:p w14:paraId="57DEA3CB" w14:textId="5943835F" w:rsidR="009231D7" w:rsidRPr="004E0238" w:rsidRDefault="1B1C5013" w:rsidP="5EF294CC">
      <w:pPr>
        <w:spacing w:before="240" w:after="240"/>
        <w:rPr>
          <w:rFonts w:ascii="Tw Cen MT" w:eastAsia="Tw Cen MT" w:hAnsi="Tw Cen MT" w:cs="Tw Cen MT"/>
        </w:rPr>
      </w:pPr>
      <w:r w:rsidRPr="5EF294CC">
        <w:rPr>
          <w:rFonts w:ascii="Tw Cen MT" w:eastAsia="Tw Cen MT" w:hAnsi="Tw Cen MT" w:cs="Tw Cen MT"/>
        </w:rPr>
        <w:t>Other concerns – May include</w:t>
      </w:r>
      <w:r w:rsidR="0049008F" w:rsidRPr="5EF294CC">
        <w:rPr>
          <w:rFonts w:ascii="Tw Cen MT" w:eastAsia="Tw Cen MT" w:hAnsi="Tw Cen MT" w:cs="Tw Cen MT"/>
        </w:rPr>
        <w:t>,</w:t>
      </w:r>
      <w:r w:rsidRPr="5EF294CC">
        <w:rPr>
          <w:rFonts w:ascii="Tw Cen MT" w:eastAsia="Tw Cen MT" w:hAnsi="Tw Cen MT" w:cs="Tw Cen MT"/>
        </w:rPr>
        <w:t xml:space="preserve"> but not limited to</w:t>
      </w:r>
      <w:r w:rsidR="0049008F" w:rsidRPr="5EF294CC">
        <w:rPr>
          <w:rFonts w:ascii="Tw Cen MT" w:eastAsia="Tw Cen MT" w:hAnsi="Tw Cen MT" w:cs="Tw Cen MT"/>
        </w:rPr>
        <w:t>,</w:t>
      </w:r>
      <w:r w:rsidRPr="5EF294CC">
        <w:rPr>
          <w:rFonts w:ascii="Tw Cen MT" w:eastAsia="Tw Cen MT" w:hAnsi="Tw Cen MT" w:cs="Tw Cen MT"/>
        </w:rPr>
        <w:t xml:space="preserve"> lack of certified teachers or paraprofessionals, caseload, class size concerns.  </w:t>
      </w:r>
    </w:p>
    <w:p w14:paraId="7924EF1D" w14:textId="5E5B0ABA" w:rsidR="009231D7" w:rsidRPr="004E0238" w:rsidRDefault="1B1C5013" w:rsidP="0A9EAF47">
      <w:pPr>
        <w:pStyle w:val="Heading1"/>
        <w:spacing w:before="360" w:after="120"/>
        <w:rPr>
          <w:rStyle w:val="Heading2Char"/>
          <w:rFonts w:ascii="Tw Cen MT" w:eastAsia="Tw Cen MT" w:hAnsi="Tw Cen MT" w:cs="Tw Cen MT"/>
          <w:sz w:val="24"/>
          <w:szCs w:val="24"/>
        </w:rPr>
      </w:pPr>
      <w:r w:rsidRPr="5EF294CC">
        <w:rPr>
          <w:rFonts w:ascii="Tw Cen MT" w:eastAsia="Tw Cen MT" w:hAnsi="Tw Cen MT" w:cs="Tw Cen MT"/>
          <w:sz w:val="24"/>
          <w:szCs w:val="24"/>
        </w:rPr>
        <w:lastRenderedPageBreak/>
        <w:t xml:space="preserve"> </w:t>
      </w:r>
      <w:bookmarkStart w:id="18" w:name="_Toc238561217"/>
      <w:r w:rsidRPr="5EF294CC">
        <w:rPr>
          <w:rStyle w:val="Heading2Char"/>
          <w:rFonts w:ascii="Tw Cen MT" w:eastAsia="Tw Cen MT" w:hAnsi="Tw Cen MT" w:cs="Tw Cen MT"/>
          <w:sz w:val="24"/>
          <w:szCs w:val="24"/>
        </w:rPr>
        <w:t xml:space="preserve">Notifications of </w:t>
      </w:r>
      <w:r w:rsidR="0049008F" w:rsidRPr="5EF294CC">
        <w:rPr>
          <w:rStyle w:val="Heading2Char"/>
          <w:rFonts w:ascii="Tw Cen MT" w:eastAsia="Tw Cen MT" w:hAnsi="Tw Cen MT" w:cs="Tw Cen MT"/>
          <w:sz w:val="24"/>
          <w:szCs w:val="24"/>
        </w:rPr>
        <w:t>W</w:t>
      </w:r>
      <w:r w:rsidRPr="5EF294CC">
        <w:rPr>
          <w:rStyle w:val="Heading2Char"/>
          <w:rFonts w:ascii="Tw Cen MT" w:eastAsia="Tw Cen MT" w:hAnsi="Tw Cen MT" w:cs="Tw Cen MT"/>
          <w:sz w:val="24"/>
          <w:szCs w:val="24"/>
        </w:rPr>
        <w:t xml:space="preserve">ithholding IDEA </w:t>
      </w:r>
      <w:r w:rsidR="0049008F" w:rsidRPr="5EF294CC">
        <w:rPr>
          <w:rStyle w:val="Heading2Char"/>
          <w:rFonts w:ascii="Tw Cen MT" w:eastAsia="Tw Cen MT" w:hAnsi="Tw Cen MT" w:cs="Tw Cen MT"/>
          <w:sz w:val="24"/>
          <w:szCs w:val="24"/>
        </w:rPr>
        <w:t>F</w:t>
      </w:r>
      <w:r w:rsidRPr="5EF294CC">
        <w:rPr>
          <w:rStyle w:val="Heading2Char"/>
          <w:rFonts w:ascii="Tw Cen MT" w:eastAsia="Tw Cen MT" w:hAnsi="Tw Cen MT" w:cs="Tw Cen MT"/>
          <w:sz w:val="24"/>
          <w:szCs w:val="24"/>
        </w:rPr>
        <w:t>unds</w:t>
      </w:r>
      <w:bookmarkEnd w:id="18"/>
    </w:p>
    <w:p w14:paraId="3562F264" w14:textId="19CC65C4" w:rsidR="009231D7" w:rsidRPr="004E0238" w:rsidRDefault="1B1C5013" w:rsidP="5EF294CC">
      <w:pPr>
        <w:spacing w:before="240" w:after="240"/>
        <w:rPr>
          <w:rFonts w:ascii="Tw Cen MT" w:eastAsia="Tw Cen MT" w:hAnsi="Tw Cen MT" w:cs="Tw Cen MT"/>
        </w:rPr>
      </w:pPr>
      <w:r w:rsidRPr="5EF294CC">
        <w:rPr>
          <w:rFonts w:ascii="Tw Cen MT" w:eastAsia="Tw Cen MT" w:hAnsi="Tw Cen MT" w:cs="Tw Cen MT"/>
        </w:rPr>
        <w:t>Prior to withholding any funds under Part B of the Act, the OSDE-SES will provide reasonable notice to the LEA.  The LEA will have an opportunity to submit an appeal.  The OSDE-SES will consider the LEA’s request through a hearing.  The notice provided to the LEA will detail:</w:t>
      </w:r>
    </w:p>
    <w:p w14:paraId="244EF1D5" w14:textId="495EFCF4" w:rsidR="009231D7" w:rsidRPr="004E0238" w:rsidRDefault="1B1C5013" w:rsidP="5EF294CC">
      <w:pPr>
        <w:pStyle w:val="ListParagraph"/>
        <w:numPr>
          <w:ilvl w:val="0"/>
          <w:numId w:val="7"/>
        </w:numPr>
        <w:spacing w:after="0" w:line="276" w:lineRule="auto"/>
        <w:rPr>
          <w:rFonts w:ascii="Tw Cen MT" w:eastAsia="Tw Cen MT" w:hAnsi="Tw Cen MT" w:cs="Tw Cen MT"/>
        </w:rPr>
      </w:pPr>
      <w:r w:rsidRPr="5EF294CC">
        <w:rPr>
          <w:rFonts w:ascii="Tw Cen MT" w:eastAsia="Tw Cen MT" w:hAnsi="Tw Cen MT" w:cs="Tw Cen MT"/>
        </w:rPr>
        <w:t xml:space="preserve">Areas of noncompliance that have not been corrected to satisfy the OSDE-SES </w:t>
      </w:r>
    </w:p>
    <w:p w14:paraId="2ECC5F60" w14:textId="1871F207" w:rsidR="009231D7" w:rsidRPr="004E0238" w:rsidRDefault="1B1C5013" w:rsidP="37DFF154">
      <w:pPr>
        <w:pStyle w:val="ListParagraph"/>
        <w:numPr>
          <w:ilvl w:val="0"/>
          <w:numId w:val="7"/>
        </w:numPr>
        <w:spacing w:after="0" w:line="276" w:lineRule="auto"/>
        <w:rPr>
          <w:rFonts w:ascii="Tw Cen MT" w:eastAsia="Tw Cen MT" w:hAnsi="Tw Cen MT" w:cs="Tw Cen MT"/>
        </w:rPr>
      </w:pPr>
      <w:r w:rsidRPr="37DFF154">
        <w:rPr>
          <w:rFonts w:ascii="Tw Cen MT" w:eastAsia="Tw Cen MT" w:hAnsi="Tw Cen MT" w:cs="Tw Cen MT"/>
        </w:rPr>
        <w:t>Timeline of support provided to assist the LEA in correcting the noncompliance</w:t>
      </w:r>
    </w:p>
    <w:p w14:paraId="27B4BDAC" w14:textId="35A3C31F" w:rsidR="009231D7" w:rsidRPr="004E0238" w:rsidRDefault="1B1C5013" w:rsidP="37DFF154">
      <w:pPr>
        <w:pStyle w:val="ListParagraph"/>
        <w:numPr>
          <w:ilvl w:val="0"/>
          <w:numId w:val="7"/>
        </w:numPr>
        <w:spacing w:after="0" w:line="276" w:lineRule="auto"/>
        <w:rPr>
          <w:rFonts w:ascii="Tw Cen MT" w:eastAsia="Tw Cen MT" w:hAnsi="Tw Cen MT" w:cs="Tw Cen MT"/>
        </w:rPr>
      </w:pPr>
      <w:r w:rsidRPr="37DFF154">
        <w:rPr>
          <w:rFonts w:ascii="Tw Cen MT" w:eastAsia="Tw Cen MT" w:hAnsi="Tw Cen MT" w:cs="Tw Cen MT"/>
        </w:rPr>
        <w:t xml:space="preserve">Date of the hearing </w:t>
      </w:r>
    </w:p>
    <w:p w14:paraId="7E8B6F93" w14:textId="7106C213" w:rsidR="009231D7" w:rsidRPr="004E0238" w:rsidRDefault="1B1C5013" w:rsidP="5EF294CC">
      <w:pPr>
        <w:spacing w:before="240" w:after="240"/>
        <w:rPr>
          <w:rFonts w:ascii="Tw Cen MT" w:eastAsia="Tw Cen MT" w:hAnsi="Tw Cen MT" w:cs="Tw Cen MT"/>
        </w:rPr>
      </w:pPr>
      <w:r w:rsidRPr="5EF294CC">
        <w:rPr>
          <w:rFonts w:ascii="Tw Cen MT" w:eastAsia="Tw Cen MT" w:hAnsi="Tw Cen MT" w:cs="Tw Cen MT"/>
        </w:rPr>
        <w:t xml:space="preserve">The letter will also notify the LEA of the OSDE-SES’s intention to </w:t>
      </w:r>
    </w:p>
    <w:p w14:paraId="39BC4E03" w14:textId="0F9EA3F4" w:rsidR="009231D7" w:rsidRPr="004E0238" w:rsidRDefault="1B1C5013" w:rsidP="5EF294CC">
      <w:pPr>
        <w:pStyle w:val="ListParagraph"/>
        <w:numPr>
          <w:ilvl w:val="0"/>
          <w:numId w:val="7"/>
        </w:numPr>
        <w:spacing w:after="0" w:line="276" w:lineRule="auto"/>
        <w:rPr>
          <w:rFonts w:ascii="Tw Cen MT" w:eastAsia="Tw Cen MT" w:hAnsi="Tw Cen MT" w:cs="Tw Cen MT"/>
        </w:rPr>
      </w:pPr>
      <w:r w:rsidRPr="5EF294CC">
        <w:rPr>
          <w:rFonts w:ascii="Tw Cen MT" w:eastAsia="Tw Cen MT" w:hAnsi="Tw Cen MT" w:cs="Tw Cen MT"/>
        </w:rPr>
        <w:t>Withhold IDEA funds in whole or in part</w:t>
      </w:r>
    </w:p>
    <w:p w14:paraId="363EF4D6" w14:textId="51D961CA" w:rsidR="009231D7" w:rsidRPr="004E0238" w:rsidRDefault="1B1C5013" w:rsidP="5EF294CC">
      <w:pPr>
        <w:pStyle w:val="ListParagraph"/>
        <w:numPr>
          <w:ilvl w:val="0"/>
          <w:numId w:val="7"/>
        </w:numPr>
        <w:spacing w:after="0" w:line="276" w:lineRule="auto"/>
        <w:rPr>
          <w:rFonts w:ascii="Tw Cen MT" w:eastAsia="Tw Cen MT" w:hAnsi="Tw Cen MT" w:cs="Tw Cen MT"/>
        </w:rPr>
      </w:pPr>
      <w:r w:rsidRPr="5EF294CC">
        <w:rPr>
          <w:rFonts w:ascii="Tw Cen MT" w:eastAsia="Tw Cen MT" w:hAnsi="Tw Cen MT" w:cs="Tw Cen MT"/>
        </w:rPr>
        <w:t>Suspend payments to a recipient, in whole or in part</w:t>
      </w:r>
    </w:p>
    <w:p w14:paraId="42F1897E" w14:textId="1205928D" w:rsidR="009231D7" w:rsidRPr="004E0238" w:rsidRDefault="1B1C5013" w:rsidP="5EF294CC">
      <w:pPr>
        <w:pStyle w:val="ListParagraph"/>
        <w:numPr>
          <w:ilvl w:val="0"/>
          <w:numId w:val="7"/>
        </w:numPr>
        <w:spacing w:after="0" w:line="276" w:lineRule="auto"/>
        <w:rPr>
          <w:rFonts w:ascii="Tw Cen MT" w:eastAsia="Tw Cen MT" w:hAnsi="Tw Cen MT" w:cs="Tw Cen MT"/>
        </w:rPr>
      </w:pPr>
      <w:r w:rsidRPr="5EF294CC">
        <w:rPr>
          <w:rFonts w:ascii="Tw Cen MT" w:eastAsia="Tw Cen MT" w:hAnsi="Tw Cen MT" w:cs="Tw Cen MT"/>
        </w:rPr>
        <w:t>Suspend the authority of the recipients to obligate funds under Part B</w:t>
      </w:r>
    </w:p>
    <w:p w14:paraId="54D1840D" w14:textId="42ECD646" w:rsidR="009231D7" w:rsidRPr="004E0238" w:rsidRDefault="1B1C5013" w:rsidP="5EF294CC">
      <w:pPr>
        <w:spacing w:before="240" w:after="240"/>
        <w:rPr>
          <w:rFonts w:ascii="Tw Cen MT" w:eastAsia="Tw Cen MT" w:hAnsi="Tw Cen MT" w:cs="Tw Cen MT"/>
        </w:rPr>
      </w:pPr>
      <w:r w:rsidRPr="5EF294CC">
        <w:rPr>
          <w:rFonts w:ascii="Tw Cen MT" w:eastAsia="Tw Cen MT" w:hAnsi="Tw Cen MT" w:cs="Tw Cen MT"/>
        </w:rPr>
        <w:t>After the recipient has been given reasonable notice, the LEA will have an opportunity to show cause why future payments or authority to obligate funds under Part B of the Act should not be withheld or suspended.</w:t>
      </w:r>
    </w:p>
    <w:p w14:paraId="7F11A98A" w14:textId="6AF0340D" w:rsidR="009231D7" w:rsidRPr="004E0238" w:rsidRDefault="1B1C5013" w:rsidP="5EF294CC">
      <w:pPr>
        <w:spacing w:before="240" w:after="240"/>
        <w:rPr>
          <w:rFonts w:ascii="Tw Cen MT" w:eastAsia="Tw Cen MT" w:hAnsi="Tw Cen MT" w:cs="Tw Cen MT"/>
        </w:rPr>
      </w:pPr>
      <w:r w:rsidRPr="5EF294CC">
        <w:rPr>
          <w:rFonts w:ascii="Tw Cen MT" w:eastAsia="Tw Cen MT" w:hAnsi="Tw Cen MT" w:cs="Tw Cen MT"/>
        </w:rPr>
        <w:t>The hearing team will consist of the following:</w:t>
      </w:r>
    </w:p>
    <w:p w14:paraId="310539AF" w14:textId="65732258" w:rsidR="009231D7" w:rsidRPr="004E0238" w:rsidRDefault="1B1C5013" w:rsidP="5EF294CC">
      <w:pPr>
        <w:pStyle w:val="ListParagraph"/>
        <w:numPr>
          <w:ilvl w:val="0"/>
          <w:numId w:val="6"/>
        </w:numPr>
        <w:spacing w:after="0" w:line="276" w:lineRule="auto"/>
        <w:rPr>
          <w:rFonts w:ascii="Tw Cen MT" w:eastAsia="Tw Cen MT" w:hAnsi="Tw Cen MT" w:cs="Tw Cen MT"/>
        </w:rPr>
      </w:pPr>
      <w:r w:rsidRPr="5EF294CC">
        <w:rPr>
          <w:rFonts w:ascii="Tw Cen MT" w:eastAsia="Tw Cen MT" w:hAnsi="Tw Cen MT" w:cs="Tw Cen MT"/>
        </w:rPr>
        <w:t>OSDE-SES General Counsel or a designee</w:t>
      </w:r>
    </w:p>
    <w:p w14:paraId="486D99BF" w14:textId="4A17B727" w:rsidR="009231D7" w:rsidRPr="004E0238" w:rsidRDefault="1B1C5013" w:rsidP="5EF294CC">
      <w:pPr>
        <w:pStyle w:val="ListParagraph"/>
        <w:numPr>
          <w:ilvl w:val="0"/>
          <w:numId w:val="6"/>
        </w:numPr>
        <w:spacing w:after="0" w:line="276" w:lineRule="auto"/>
        <w:rPr>
          <w:rFonts w:ascii="Tw Cen MT" w:eastAsia="Tw Cen MT" w:hAnsi="Tw Cen MT" w:cs="Tw Cen MT"/>
        </w:rPr>
      </w:pPr>
      <w:r w:rsidRPr="5EF294CC">
        <w:rPr>
          <w:rFonts w:ascii="Tw Cen MT" w:eastAsia="Tw Cen MT" w:hAnsi="Tw Cen MT" w:cs="Tw Cen MT"/>
        </w:rPr>
        <w:t xml:space="preserve">State Director of Special Education Services </w:t>
      </w:r>
    </w:p>
    <w:p w14:paraId="0FDF1B6C" w14:textId="3490620E" w:rsidR="009231D7" w:rsidRPr="004E0238" w:rsidRDefault="1B1C5013" w:rsidP="5EF294CC">
      <w:pPr>
        <w:pStyle w:val="ListParagraph"/>
        <w:numPr>
          <w:ilvl w:val="0"/>
          <w:numId w:val="6"/>
        </w:numPr>
        <w:spacing w:after="0" w:line="276" w:lineRule="auto"/>
        <w:rPr>
          <w:rFonts w:ascii="Tw Cen MT" w:eastAsia="Tw Cen MT" w:hAnsi="Tw Cen MT" w:cs="Tw Cen MT"/>
        </w:rPr>
      </w:pPr>
      <w:r w:rsidRPr="5EF294CC">
        <w:rPr>
          <w:rFonts w:ascii="Tw Cen MT" w:eastAsia="Tw Cen MT" w:hAnsi="Tw Cen MT" w:cs="Tw Cen MT"/>
        </w:rPr>
        <w:t xml:space="preserve">Program Manager of Finance </w:t>
      </w:r>
    </w:p>
    <w:p w14:paraId="20C1DE83" w14:textId="3E9E0E5B" w:rsidR="009231D7" w:rsidRPr="004E0238" w:rsidRDefault="1B1C5013" w:rsidP="5EF294CC">
      <w:pPr>
        <w:pStyle w:val="ListParagraph"/>
        <w:numPr>
          <w:ilvl w:val="0"/>
          <w:numId w:val="6"/>
        </w:numPr>
        <w:spacing w:after="0" w:line="276" w:lineRule="auto"/>
        <w:rPr>
          <w:rFonts w:ascii="Tw Cen MT" w:eastAsia="Tw Cen MT" w:hAnsi="Tw Cen MT" w:cs="Tw Cen MT"/>
        </w:rPr>
      </w:pPr>
      <w:r w:rsidRPr="5EF294CC">
        <w:rPr>
          <w:rFonts w:ascii="Tw Cen MT" w:eastAsia="Tw Cen MT" w:hAnsi="Tw Cen MT" w:cs="Tw Cen MT"/>
        </w:rPr>
        <w:t>Compliance or Monitoring staff</w:t>
      </w:r>
    </w:p>
    <w:p w14:paraId="5225BBD1" w14:textId="116165B6" w:rsidR="009231D7" w:rsidRPr="004E0238" w:rsidRDefault="000C4236" w:rsidP="5EF294CC">
      <w:pPr>
        <w:pStyle w:val="ListParagraph"/>
        <w:numPr>
          <w:ilvl w:val="0"/>
          <w:numId w:val="6"/>
        </w:numPr>
        <w:spacing w:after="0" w:line="276" w:lineRule="auto"/>
        <w:rPr>
          <w:rFonts w:ascii="Tw Cen MT" w:eastAsia="Tw Cen MT" w:hAnsi="Tw Cen MT" w:cs="Tw Cen MT"/>
        </w:rPr>
      </w:pPr>
      <w:r>
        <w:rPr>
          <w:rFonts w:ascii="Tw Cen MT" w:eastAsia="Tw Cen MT" w:hAnsi="Tw Cen MT" w:cs="Tw Cen MT"/>
        </w:rPr>
        <w:t>Deputy Chief of Staff</w:t>
      </w:r>
      <w:r w:rsidR="1B1C5013" w:rsidRPr="59056DEA">
        <w:rPr>
          <w:rFonts w:ascii="Tw Cen MT" w:eastAsia="Tw Cen MT" w:hAnsi="Tw Cen MT" w:cs="Tw Cen MT"/>
        </w:rPr>
        <w:t xml:space="preserve"> or a designee</w:t>
      </w:r>
    </w:p>
    <w:p w14:paraId="1129C220" w14:textId="5CFBC489" w:rsidR="009231D7" w:rsidRPr="004E0238" w:rsidRDefault="1B1C5013" w:rsidP="5EF294CC">
      <w:pPr>
        <w:spacing w:before="240" w:after="240"/>
        <w:rPr>
          <w:rFonts w:ascii="Tw Cen MT" w:eastAsia="Tw Cen MT" w:hAnsi="Tw Cen MT" w:cs="Tw Cen MT"/>
        </w:rPr>
      </w:pPr>
      <w:r w:rsidRPr="5EF294CC">
        <w:rPr>
          <w:rFonts w:ascii="Tw Cen MT" w:eastAsia="Tw Cen MT" w:hAnsi="Tw Cen MT" w:cs="Tw Cen MT"/>
        </w:rPr>
        <w:t xml:space="preserve">The hearing team will consist of no less than three members from above. </w:t>
      </w:r>
    </w:p>
    <w:p w14:paraId="26CFE585" w14:textId="765AC278" w:rsidR="009231D7" w:rsidRPr="004E0238" w:rsidRDefault="1B1C5013" w:rsidP="5EF294CC">
      <w:pPr>
        <w:spacing w:before="240" w:after="240"/>
        <w:rPr>
          <w:rFonts w:ascii="Tw Cen MT" w:eastAsia="Tw Cen MT" w:hAnsi="Tw Cen MT" w:cs="Tw Cen MT"/>
        </w:rPr>
      </w:pPr>
      <w:r w:rsidRPr="5EF294CC">
        <w:rPr>
          <w:rFonts w:ascii="Tw Cen MT" w:eastAsia="Tw Cen MT" w:hAnsi="Tw Cen MT" w:cs="Tw Cen MT"/>
        </w:rPr>
        <w:t>The final decision of the appeal team will be provided to the LEA in a formal letter.  The letter will also be provided to the Office of Accreditation and State Aid.  The letter will provide the following information:</w:t>
      </w:r>
    </w:p>
    <w:p w14:paraId="34CA61F1" w14:textId="19937DE3" w:rsidR="009231D7" w:rsidRPr="004E0238" w:rsidRDefault="1B1C5013" w:rsidP="5EF294CC">
      <w:pPr>
        <w:pStyle w:val="ListParagraph"/>
        <w:numPr>
          <w:ilvl w:val="0"/>
          <w:numId w:val="5"/>
        </w:numPr>
        <w:spacing w:after="0" w:line="276" w:lineRule="auto"/>
        <w:rPr>
          <w:rFonts w:ascii="Tw Cen MT" w:eastAsia="Tw Cen MT" w:hAnsi="Tw Cen MT" w:cs="Tw Cen MT"/>
        </w:rPr>
      </w:pPr>
      <w:r w:rsidRPr="5EF294CC">
        <w:rPr>
          <w:rFonts w:ascii="Tw Cen MT" w:eastAsia="Tw Cen MT" w:hAnsi="Tw Cen MT" w:cs="Tw Cen MT"/>
        </w:rPr>
        <w:t>The final decision</w:t>
      </w:r>
    </w:p>
    <w:p w14:paraId="7BB02AC3" w14:textId="7371FE9A" w:rsidR="009231D7" w:rsidRPr="004E0238" w:rsidRDefault="1B1C5013" w:rsidP="5EF294CC">
      <w:pPr>
        <w:pStyle w:val="ListParagraph"/>
        <w:numPr>
          <w:ilvl w:val="0"/>
          <w:numId w:val="5"/>
        </w:numPr>
        <w:spacing w:after="0" w:line="276" w:lineRule="auto"/>
        <w:rPr>
          <w:rFonts w:ascii="Tw Cen MT" w:eastAsia="Tw Cen MT" w:hAnsi="Tw Cen MT" w:cs="Tw Cen MT"/>
        </w:rPr>
      </w:pPr>
      <w:r w:rsidRPr="59056DEA">
        <w:rPr>
          <w:rFonts w:ascii="Tw Cen MT" w:eastAsia="Tw Cen MT" w:hAnsi="Tw Cen MT" w:cs="Tw Cen MT"/>
        </w:rPr>
        <w:t>The amount of allocation withheld, if any</w:t>
      </w:r>
    </w:p>
    <w:p w14:paraId="250EDA35" w14:textId="6EB5CA0A" w:rsidR="009231D7" w:rsidRPr="004E0238" w:rsidRDefault="1B1C5013" w:rsidP="5EF294CC">
      <w:pPr>
        <w:pStyle w:val="ListParagraph"/>
        <w:numPr>
          <w:ilvl w:val="0"/>
          <w:numId w:val="5"/>
        </w:numPr>
        <w:spacing w:after="0" w:line="276" w:lineRule="auto"/>
        <w:rPr>
          <w:rFonts w:ascii="Tw Cen MT" w:eastAsia="Tw Cen MT" w:hAnsi="Tw Cen MT" w:cs="Tw Cen MT"/>
        </w:rPr>
      </w:pPr>
      <w:r w:rsidRPr="5EF294CC">
        <w:rPr>
          <w:rFonts w:ascii="Tw Cen MT" w:eastAsia="Tw Cen MT" w:hAnsi="Tw Cen MT" w:cs="Tw Cen MT"/>
        </w:rPr>
        <w:t xml:space="preserve">The date allocation funds will be withheld, if any </w:t>
      </w:r>
    </w:p>
    <w:p w14:paraId="72BEF981" w14:textId="2B381882" w:rsidR="009231D7" w:rsidRPr="004E0238" w:rsidRDefault="1B1C5013" w:rsidP="5EF294CC">
      <w:pPr>
        <w:pStyle w:val="ListParagraph"/>
        <w:numPr>
          <w:ilvl w:val="0"/>
          <w:numId w:val="5"/>
        </w:numPr>
        <w:spacing w:after="0" w:line="276" w:lineRule="auto"/>
        <w:rPr>
          <w:rFonts w:ascii="Tw Cen MT" w:eastAsia="Tw Cen MT" w:hAnsi="Tw Cen MT" w:cs="Tw Cen MT"/>
        </w:rPr>
      </w:pPr>
      <w:r w:rsidRPr="5EF294CC">
        <w:rPr>
          <w:rFonts w:ascii="Tw Cen MT" w:eastAsia="Tw Cen MT" w:hAnsi="Tw Cen MT" w:cs="Tw Cen MT"/>
        </w:rPr>
        <w:t>Detailed corrective actions and due date, if any</w:t>
      </w:r>
    </w:p>
    <w:p w14:paraId="396ED213" w14:textId="4D26DACD" w:rsidR="009231D7" w:rsidRPr="004E0238" w:rsidRDefault="1B1C5013" w:rsidP="5EF294CC">
      <w:pPr>
        <w:pStyle w:val="ListParagraph"/>
        <w:numPr>
          <w:ilvl w:val="0"/>
          <w:numId w:val="5"/>
        </w:numPr>
        <w:spacing w:after="0" w:line="276" w:lineRule="auto"/>
        <w:rPr>
          <w:rFonts w:ascii="Tw Cen MT" w:eastAsia="Tw Cen MT" w:hAnsi="Tw Cen MT" w:cs="Tw Cen MT"/>
        </w:rPr>
      </w:pPr>
      <w:r w:rsidRPr="5EF294CC">
        <w:rPr>
          <w:rFonts w:ascii="Tw Cen MT" w:eastAsia="Tw Cen MT" w:hAnsi="Tw Cen MT" w:cs="Tw Cen MT"/>
        </w:rPr>
        <w:t xml:space="preserve">Date of the next appeal team review (within one month from the date of the final decision) to determine if the LEA has met the obligation for the funds to be released.  </w:t>
      </w:r>
    </w:p>
    <w:p w14:paraId="08448899" w14:textId="28CDC995" w:rsidR="009231D7" w:rsidRPr="004E0238" w:rsidRDefault="1B1C5013" w:rsidP="5EF294CC">
      <w:pPr>
        <w:spacing w:before="240" w:after="240"/>
        <w:rPr>
          <w:rFonts w:ascii="Tw Cen MT" w:eastAsia="Tw Cen MT" w:hAnsi="Tw Cen MT" w:cs="Tw Cen MT"/>
        </w:rPr>
      </w:pPr>
      <w:r w:rsidRPr="5EF294CC">
        <w:rPr>
          <w:rFonts w:ascii="Tw Cen MT" w:eastAsia="Tw Cen MT" w:hAnsi="Tw Cen MT" w:cs="Tw Cen MT"/>
        </w:rPr>
        <w:t xml:space="preserve">There will be up to three appeal team meetings, each one month apart, to review the LEA progress and determine if the LEA has met the obligation for the funds to be released.  If after the third appeal team meeting, the LEA has made </w:t>
      </w:r>
      <w:r w:rsidR="0049008F" w:rsidRPr="5EF294CC">
        <w:rPr>
          <w:rFonts w:ascii="Tw Cen MT" w:eastAsia="Tw Cen MT" w:hAnsi="Tw Cen MT" w:cs="Tw Cen MT"/>
        </w:rPr>
        <w:t xml:space="preserve">inadequate progress or </w:t>
      </w:r>
      <w:r w:rsidRPr="5EF294CC">
        <w:rPr>
          <w:rFonts w:ascii="Tw Cen MT" w:eastAsia="Tw Cen MT" w:hAnsi="Tw Cen MT" w:cs="Tw Cen MT"/>
        </w:rPr>
        <w:t>no attempts to meet obligations, the appeal team may consider one or all of the following actions:</w:t>
      </w:r>
    </w:p>
    <w:p w14:paraId="2C59BADF" w14:textId="7BEA335C" w:rsidR="009231D7" w:rsidRPr="004E0238" w:rsidRDefault="1B1C5013" w:rsidP="5EF294CC">
      <w:pPr>
        <w:pStyle w:val="ListParagraph"/>
        <w:numPr>
          <w:ilvl w:val="0"/>
          <w:numId w:val="5"/>
        </w:numPr>
        <w:spacing w:after="0" w:line="276" w:lineRule="auto"/>
        <w:rPr>
          <w:rFonts w:ascii="Tw Cen MT" w:eastAsia="Tw Cen MT" w:hAnsi="Tw Cen MT" w:cs="Tw Cen MT"/>
        </w:rPr>
      </w:pPr>
      <w:r w:rsidRPr="5EF294CC">
        <w:rPr>
          <w:rFonts w:ascii="Tw Cen MT" w:eastAsia="Tw Cen MT" w:hAnsi="Tw Cen MT" w:cs="Tw Cen MT"/>
        </w:rPr>
        <w:t>Withhold the remaining funds</w:t>
      </w:r>
    </w:p>
    <w:p w14:paraId="30712304" w14:textId="11D081EA" w:rsidR="009231D7" w:rsidRPr="004E0238" w:rsidRDefault="1B1C5013" w:rsidP="5EF294CC">
      <w:pPr>
        <w:pStyle w:val="ListParagraph"/>
        <w:numPr>
          <w:ilvl w:val="0"/>
          <w:numId w:val="5"/>
        </w:numPr>
        <w:spacing w:after="0" w:line="276" w:lineRule="auto"/>
        <w:rPr>
          <w:rFonts w:ascii="Tw Cen MT" w:eastAsia="Tw Cen MT" w:hAnsi="Tw Cen MT" w:cs="Tw Cen MT"/>
        </w:rPr>
      </w:pPr>
      <w:r w:rsidRPr="5EF294CC">
        <w:rPr>
          <w:rFonts w:ascii="Tw Cen MT" w:eastAsia="Tw Cen MT" w:hAnsi="Tw Cen MT" w:cs="Tw Cen MT"/>
        </w:rPr>
        <w:t>Withhold all the next allocation funds</w:t>
      </w:r>
    </w:p>
    <w:p w14:paraId="54B38937" w14:textId="3639E067" w:rsidR="009231D7" w:rsidRPr="004E0238" w:rsidRDefault="1B1C5013" w:rsidP="5EF294CC">
      <w:pPr>
        <w:pStyle w:val="ListParagraph"/>
        <w:numPr>
          <w:ilvl w:val="0"/>
          <w:numId w:val="5"/>
        </w:numPr>
        <w:spacing w:after="0" w:line="276" w:lineRule="auto"/>
        <w:rPr>
          <w:rFonts w:ascii="Tw Cen MT" w:eastAsia="Tw Cen MT" w:hAnsi="Tw Cen MT" w:cs="Tw Cen MT"/>
        </w:rPr>
      </w:pPr>
      <w:r w:rsidRPr="59056DEA">
        <w:rPr>
          <w:rFonts w:ascii="Tw Cen MT" w:eastAsia="Tw Cen MT" w:hAnsi="Tw Cen MT" w:cs="Tw Cen MT"/>
        </w:rPr>
        <w:lastRenderedPageBreak/>
        <w:t>Accreditation Warning</w:t>
      </w:r>
    </w:p>
    <w:p w14:paraId="2D7CF9C2" w14:textId="466B7A9E" w:rsidR="009231D7" w:rsidRPr="004E0238" w:rsidRDefault="1B1C5013" w:rsidP="5EF294CC">
      <w:pPr>
        <w:pStyle w:val="ListParagraph"/>
        <w:numPr>
          <w:ilvl w:val="0"/>
          <w:numId w:val="5"/>
        </w:numPr>
        <w:spacing w:after="0" w:line="276" w:lineRule="auto"/>
        <w:rPr>
          <w:rFonts w:ascii="Tw Cen MT" w:eastAsia="Tw Cen MT" w:hAnsi="Tw Cen MT" w:cs="Tw Cen MT"/>
        </w:rPr>
      </w:pPr>
      <w:r w:rsidRPr="59056DEA">
        <w:rPr>
          <w:rFonts w:ascii="Tw Cen MT" w:eastAsia="Tw Cen MT" w:hAnsi="Tw Cen MT" w:cs="Tw Cen MT"/>
        </w:rPr>
        <w:t xml:space="preserve">Accreditation </w:t>
      </w:r>
      <w:r w:rsidR="0049008F" w:rsidRPr="59056DEA">
        <w:rPr>
          <w:rFonts w:ascii="Tw Cen MT" w:eastAsia="Tw Cen MT" w:hAnsi="Tw Cen MT" w:cs="Tw Cen MT"/>
        </w:rPr>
        <w:t>D</w:t>
      </w:r>
      <w:r w:rsidRPr="59056DEA">
        <w:rPr>
          <w:rFonts w:ascii="Tw Cen MT" w:eastAsia="Tw Cen MT" w:hAnsi="Tw Cen MT" w:cs="Tw Cen MT"/>
        </w:rPr>
        <w:t>eficiency</w:t>
      </w:r>
    </w:p>
    <w:p w14:paraId="5B409306" w14:textId="67A1D2B2" w:rsidR="6952A7C3" w:rsidRPr="00246916" w:rsidRDefault="1B1C5013" w:rsidP="00246916">
      <w:pPr>
        <w:pStyle w:val="ListParagraph"/>
        <w:numPr>
          <w:ilvl w:val="0"/>
          <w:numId w:val="5"/>
        </w:numPr>
        <w:spacing w:after="0" w:line="276" w:lineRule="auto"/>
        <w:rPr>
          <w:rFonts w:ascii="Tw Cen MT" w:eastAsia="Tw Cen MT" w:hAnsi="Tw Cen MT" w:cs="Tw Cen MT"/>
        </w:rPr>
      </w:pPr>
      <w:r w:rsidRPr="6952A7C3">
        <w:rPr>
          <w:rFonts w:ascii="Tw Cen MT" w:eastAsia="Tw Cen MT" w:hAnsi="Tw Cen MT" w:cs="Tw Cen MT"/>
        </w:rPr>
        <w:t>Submit to State School Board for consideration to remove accreditation status</w:t>
      </w:r>
    </w:p>
    <w:p w14:paraId="7D6B91C1" w14:textId="719E64B8" w:rsidR="009231D7" w:rsidRPr="00CD00F5" w:rsidRDefault="009231D7" w:rsidP="0A9EAF47">
      <w:pPr>
        <w:pStyle w:val="Heading3"/>
        <w:spacing w:after="240"/>
      </w:pPr>
      <w:r>
        <w:t>Timeline and Deadlines</w:t>
      </w:r>
    </w:p>
    <w:p w14:paraId="22C3908D" w14:textId="093C4733" w:rsidR="00C62951" w:rsidRPr="004E0238" w:rsidRDefault="00DA513A" w:rsidP="009231D7">
      <w:r>
        <w:t xml:space="preserve">The state’s timeline for issuing risk scores and determinations, assigning levels of support, and </w:t>
      </w:r>
      <w:r w:rsidR="004B36BA">
        <w:t>LEA</w:t>
      </w:r>
      <w:r>
        <w:t xml:space="preserve"> fulfillment of requ</w:t>
      </w:r>
      <w:r w:rsidR="006A70E2">
        <w:t>irements is described in Table 7</w:t>
      </w:r>
      <w:r>
        <w:t xml:space="preserve">. </w:t>
      </w:r>
      <w:r w:rsidR="00BA1BB9">
        <w:t>Some target deadlines are flexible, depending on the availab</w:t>
      </w:r>
      <w:r w:rsidR="5B35BC9D">
        <w:t>ility</w:t>
      </w:r>
      <w:r w:rsidR="00BA1BB9">
        <w:t xml:space="preserve"> of data. Others are firm deadlines to align with federal reporting requirements. </w:t>
      </w:r>
    </w:p>
    <w:p w14:paraId="1BDF1502" w14:textId="52920149" w:rsidR="00DA513A" w:rsidRPr="00651E70" w:rsidRDefault="006A70E2" w:rsidP="00651E70">
      <w:pPr>
        <w:rPr>
          <w:b/>
          <w:bCs/>
        </w:rPr>
      </w:pPr>
      <w:r w:rsidRPr="5EF294CC">
        <w:rPr>
          <w:b/>
          <w:bCs/>
          <w:sz w:val="28"/>
          <w:szCs w:val="28"/>
        </w:rPr>
        <w:t>Table 7</w:t>
      </w:r>
      <w:r w:rsidR="008E2D64" w:rsidRPr="5EF294CC">
        <w:rPr>
          <w:b/>
          <w:bCs/>
          <w:sz w:val="28"/>
          <w:szCs w:val="28"/>
        </w:rPr>
        <w:t>: Timeline of D</w:t>
      </w:r>
      <w:r w:rsidR="002B146A" w:rsidRPr="5EF294CC">
        <w:rPr>
          <w:b/>
          <w:bCs/>
          <w:sz w:val="28"/>
          <w:szCs w:val="28"/>
        </w:rPr>
        <w:t>istrict Reporting Results</w:t>
      </w:r>
    </w:p>
    <w:tbl>
      <w:tblPr>
        <w:tblStyle w:val="ListTable4-Accent6"/>
        <w:tblW w:w="10895" w:type="dxa"/>
        <w:jc w:val="center"/>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064"/>
        <w:gridCol w:w="3982"/>
        <w:gridCol w:w="3457"/>
      </w:tblGrid>
      <w:tr w:rsidR="002B146A" w:rsidRPr="004E0238" w14:paraId="6C16A14F" w14:textId="77777777" w:rsidTr="249113C7">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380" w:type="dxa"/>
            <w:tcBorders>
              <w:top w:val="single" w:sz="4" w:space="0" w:color="auto"/>
              <w:left w:val="single" w:sz="4" w:space="0" w:color="auto"/>
              <w:bottom w:val="single" w:sz="4" w:space="0" w:color="auto"/>
            </w:tcBorders>
            <w:shd w:val="clear" w:color="auto" w:fill="E36841"/>
          </w:tcPr>
          <w:p w14:paraId="57CA3B49" w14:textId="77777777" w:rsidR="002B146A" w:rsidRPr="004E0238" w:rsidRDefault="002B146A" w:rsidP="007D4F99">
            <w:pPr>
              <w:spacing w:after="0"/>
              <w:jc w:val="left"/>
            </w:pPr>
            <w:r w:rsidRPr="004E0238">
              <w:rPr>
                <w:color w:val="auto"/>
              </w:rPr>
              <w:t>Prong</w:t>
            </w:r>
          </w:p>
        </w:tc>
        <w:tc>
          <w:tcPr>
            <w:tcW w:w="2065" w:type="dxa"/>
            <w:tcBorders>
              <w:top w:val="single" w:sz="4" w:space="0" w:color="auto"/>
              <w:left w:val="single" w:sz="4" w:space="0" w:color="auto"/>
              <w:bottom w:val="single" w:sz="4" w:space="0" w:color="auto"/>
            </w:tcBorders>
            <w:shd w:val="clear" w:color="auto" w:fill="E36841"/>
            <w:vAlign w:val="center"/>
          </w:tcPr>
          <w:p w14:paraId="045141D4" w14:textId="2DC8FF65" w:rsidR="002B146A" w:rsidRPr="004E0238" w:rsidRDefault="007142E6" w:rsidP="5EF294CC">
            <w:pPr>
              <w:spacing w:after="0"/>
              <w:jc w:val="left"/>
              <w:cnfStyle w:val="100000000000" w:firstRow="1" w:lastRow="0" w:firstColumn="0" w:lastColumn="0" w:oddVBand="0" w:evenVBand="0" w:oddHBand="0" w:evenHBand="0" w:firstRowFirstColumn="0" w:firstRowLastColumn="0" w:lastRowFirstColumn="0" w:lastRowLastColumn="0"/>
              <w:rPr>
                <w:color w:val="auto"/>
              </w:rPr>
            </w:pPr>
            <w:r w:rsidRPr="5EF294CC">
              <w:rPr>
                <w:color w:val="auto"/>
              </w:rPr>
              <w:t>State Action</w:t>
            </w:r>
          </w:p>
        </w:tc>
        <w:tc>
          <w:tcPr>
            <w:tcW w:w="3988" w:type="dxa"/>
            <w:tcBorders>
              <w:top w:val="single" w:sz="4" w:space="0" w:color="auto"/>
              <w:bottom w:val="single" w:sz="4" w:space="0" w:color="auto"/>
            </w:tcBorders>
            <w:shd w:val="clear" w:color="auto" w:fill="E36841"/>
            <w:vAlign w:val="center"/>
          </w:tcPr>
          <w:p w14:paraId="3C57217B" w14:textId="77777777" w:rsidR="002B146A" w:rsidRPr="004E0238" w:rsidRDefault="002B146A" w:rsidP="5EF294CC">
            <w:pPr>
              <w:spacing w:after="0"/>
              <w:jc w:val="left"/>
              <w:cnfStyle w:val="100000000000" w:firstRow="1" w:lastRow="0" w:firstColumn="0" w:lastColumn="0" w:oddVBand="0" w:evenVBand="0" w:oddHBand="0" w:evenHBand="0" w:firstRowFirstColumn="0" w:firstRowLastColumn="0" w:lastRowFirstColumn="0" w:lastRowLastColumn="0"/>
              <w:rPr>
                <w:color w:val="auto"/>
              </w:rPr>
            </w:pPr>
            <w:r w:rsidRPr="5EF294CC">
              <w:rPr>
                <w:color w:val="auto"/>
              </w:rPr>
              <w:t>State Timeframe</w:t>
            </w:r>
          </w:p>
        </w:tc>
        <w:tc>
          <w:tcPr>
            <w:tcW w:w="3462" w:type="dxa"/>
            <w:tcBorders>
              <w:top w:val="single" w:sz="4" w:space="0" w:color="auto"/>
              <w:bottom w:val="single" w:sz="4" w:space="0" w:color="auto"/>
              <w:right w:val="single" w:sz="4" w:space="0" w:color="auto"/>
            </w:tcBorders>
            <w:shd w:val="clear" w:color="auto" w:fill="E36841"/>
            <w:vAlign w:val="center"/>
          </w:tcPr>
          <w:p w14:paraId="75AC3FC0" w14:textId="77777777" w:rsidR="002B146A" w:rsidRPr="004E0238" w:rsidRDefault="002B146A" w:rsidP="5EF294CC">
            <w:pPr>
              <w:spacing w:after="0"/>
              <w:jc w:val="left"/>
              <w:cnfStyle w:val="100000000000" w:firstRow="1" w:lastRow="0" w:firstColumn="0" w:lastColumn="0" w:oddVBand="0" w:evenVBand="0" w:oddHBand="0" w:evenHBand="0" w:firstRowFirstColumn="0" w:firstRowLastColumn="0" w:lastRowFirstColumn="0" w:lastRowLastColumn="0"/>
              <w:rPr>
                <w:b w:val="0"/>
                <w:bCs w:val="0"/>
              </w:rPr>
            </w:pPr>
            <w:r w:rsidRPr="5EF294CC">
              <w:rPr>
                <w:color w:val="auto"/>
              </w:rPr>
              <w:t>LEA Timeframe</w:t>
            </w:r>
          </w:p>
        </w:tc>
      </w:tr>
      <w:tr w:rsidR="002B146A" w:rsidRPr="004E0238" w14:paraId="0D700E17" w14:textId="77777777" w:rsidTr="249113C7">
        <w:trPr>
          <w:cnfStyle w:val="000000100000" w:firstRow="0" w:lastRow="0" w:firstColumn="0" w:lastColumn="0" w:oddVBand="0" w:evenVBand="0" w:oddHBand="1" w:evenHBand="0" w:firstRowFirstColumn="0" w:firstRowLastColumn="0" w:lastRowFirstColumn="0" w:lastRowLastColumn="0"/>
          <w:trHeight w:val="1440"/>
          <w:jc w:val="center"/>
        </w:trPr>
        <w:tc>
          <w:tcPr>
            <w:cnfStyle w:val="001000000000" w:firstRow="0" w:lastRow="0" w:firstColumn="1" w:lastColumn="0" w:oddVBand="0" w:evenVBand="0" w:oddHBand="0" w:evenHBand="0" w:firstRowFirstColumn="0" w:firstRowLastColumn="0" w:lastRowFirstColumn="0" w:lastRowLastColumn="0"/>
            <w:tcW w:w="1380" w:type="dxa"/>
            <w:vMerge w:val="restart"/>
            <w:tcBorders>
              <w:top w:val="single" w:sz="4" w:space="0" w:color="auto"/>
            </w:tcBorders>
          </w:tcPr>
          <w:p w14:paraId="3B373794" w14:textId="496C0FA2" w:rsidR="002B146A" w:rsidRPr="004E0238" w:rsidRDefault="002B146A" w:rsidP="007D4F99">
            <w:pPr>
              <w:spacing w:after="0"/>
              <w:jc w:val="left"/>
            </w:pPr>
            <w:r w:rsidRPr="004E0238">
              <w:t>Prong I</w:t>
            </w:r>
          </w:p>
        </w:tc>
        <w:tc>
          <w:tcPr>
            <w:tcW w:w="2065" w:type="dxa"/>
            <w:tcBorders>
              <w:top w:val="single" w:sz="4" w:space="0" w:color="auto"/>
            </w:tcBorders>
            <w:vAlign w:val="center"/>
          </w:tcPr>
          <w:p w14:paraId="505C078D" w14:textId="77777777" w:rsidR="002B146A" w:rsidRPr="004E0238" w:rsidRDefault="002B146A" w:rsidP="007D4F99">
            <w:pPr>
              <w:spacing w:after="0"/>
              <w:jc w:val="left"/>
              <w:cnfStyle w:val="000000100000" w:firstRow="0" w:lastRow="0" w:firstColumn="0" w:lastColumn="0" w:oddVBand="0" w:evenVBand="0" w:oddHBand="1" w:evenHBand="0" w:firstRowFirstColumn="0" w:firstRowLastColumn="0" w:lastRowFirstColumn="0" w:lastRowLastColumn="0"/>
            </w:pPr>
            <w:r w:rsidRPr="004E0238">
              <w:t>District Data Profile (DDP)</w:t>
            </w:r>
          </w:p>
        </w:tc>
        <w:tc>
          <w:tcPr>
            <w:tcW w:w="3988" w:type="dxa"/>
            <w:tcBorders>
              <w:top w:val="single" w:sz="4" w:space="0" w:color="auto"/>
            </w:tcBorders>
            <w:vAlign w:val="center"/>
          </w:tcPr>
          <w:p w14:paraId="759A7D71" w14:textId="5406D5F5" w:rsidR="002B146A" w:rsidRPr="00677B11" w:rsidRDefault="002B146A" w:rsidP="007D4F99">
            <w:pPr>
              <w:spacing w:after="0"/>
              <w:jc w:val="left"/>
              <w:cnfStyle w:val="000000100000" w:firstRow="0" w:lastRow="0" w:firstColumn="0" w:lastColumn="0" w:oddVBand="0" w:evenVBand="0" w:oddHBand="1" w:evenHBand="0" w:firstRowFirstColumn="0" w:firstRowLastColumn="0" w:lastRowFirstColumn="0" w:lastRowLastColumn="0"/>
            </w:pPr>
            <w:r>
              <w:t xml:space="preserve">Draft issued each </w:t>
            </w:r>
            <w:r w:rsidR="170B7DDC">
              <w:t>F</w:t>
            </w:r>
            <w:r>
              <w:t xml:space="preserve">all </w:t>
            </w:r>
            <w:r w:rsidR="00CF5CD7">
              <w:t>between</w:t>
            </w:r>
            <w:r>
              <w:t xml:space="preserve"> </w:t>
            </w:r>
            <w:r w:rsidRPr="03D650D9">
              <w:rPr>
                <w:b/>
                <w:bCs/>
              </w:rPr>
              <w:t>October 15</w:t>
            </w:r>
            <w:r w:rsidR="00CF5CD7" w:rsidRPr="03D650D9">
              <w:rPr>
                <w:b/>
                <w:bCs/>
              </w:rPr>
              <w:t xml:space="preserve"> and November 1</w:t>
            </w:r>
            <w:r w:rsidR="00CF5CD7" w:rsidRPr="03D650D9">
              <w:rPr>
                <w:b/>
                <w:bCs/>
                <w:vertAlign w:val="superscript"/>
              </w:rPr>
              <w:t>st</w:t>
            </w:r>
            <w:r w:rsidR="00CF5CD7" w:rsidRPr="03D650D9">
              <w:rPr>
                <w:b/>
                <w:bCs/>
              </w:rPr>
              <w:t xml:space="preserve"> </w:t>
            </w:r>
            <w:r>
              <w:t>using data collected during prior school years. Final version is sent with the</w:t>
            </w:r>
            <w:r w:rsidRPr="03D650D9">
              <w:rPr>
                <w:b/>
                <w:bCs/>
              </w:rPr>
              <w:t xml:space="preserve"> </w:t>
            </w:r>
            <w:r w:rsidR="00677B11" w:rsidRPr="03D650D9">
              <w:rPr>
                <w:b/>
                <w:bCs/>
              </w:rPr>
              <w:t>November 15</w:t>
            </w:r>
            <w:r w:rsidR="00677B11" w:rsidRPr="03D650D9">
              <w:rPr>
                <w:b/>
                <w:bCs/>
                <w:vertAlign w:val="superscript"/>
              </w:rPr>
              <w:t>th</w:t>
            </w:r>
            <w:r w:rsidR="00677B11">
              <w:t xml:space="preserve"> Data P</w:t>
            </w:r>
            <w:r>
              <w:t>acket.</w:t>
            </w:r>
          </w:p>
        </w:tc>
        <w:tc>
          <w:tcPr>
            <w:tcW w:w="3462" w:type="dxa"/>
            <w:tcBorders>
              <w:top w:val="single" w:sz="4" w:space="0" w:color="auto"/>
            </w:tcBorders>
            <w:vAlign w:val="center"/>
          </w:tcPr>
          <w:p w14:paraId="42CB545B" w14:textId="4EF804BA" w:rsidR="002B146A" w:rsidRPr="004E0238" w:rsidRDefault="002B146A" w:rsidP="007D4F99">
            <w:pPr>
              <w:spacing w:after="0"/>
              <w:jc w:val="left"/>
              <w:cnfStyle w:val="000000100000" w:firstRow="0" w:lastRow="0" w:firstColumn="0" w:lastColumn="0" w:oddVBand="0" w:evenVBand="0" w:oddHBand="1" w:evenHBand="0" w:firstRowFirstColumn="0" w:firstRowLastColumn="0" w:lastRowFirstColumn="0" w:lastRowLastColumn="0"/>
            </w:pPr>
            <w:r>
              <w:t>May respond within two weeks with questions and concerns</w:t>
            </w:r>
            <w:r w:rsidR="00AB408F">
              <w:t xml:space="preserve"> for draft data only</w:t>
            </w:r>
            <w:r>
              <w:t>.</w:t>
            </w:r>
          </w:p>
        </w:tc>
      </w:tr>
      <w:tr w:rsidR="002B146A" w:rsidRPr="004E0238" w14:paraId="5757B177" w14:textId="77777777" w:rsidTr="249113C7">
        <w:trPr>
          <w:trHeight w:val="1296"/>
          <w:jc w:val="center"/>
        </w:trPr>
        <w:tc>
          <w:tcPr>
            <w:cnfStyle w:val="001000000000" w:firstRow="0" w:lastRow="0" w:firstColumn="1" w:lastColumn="0" w:oddVBand="0" w:evenVBand="0" w:oddHBand="0" w:evenHBand="0" w:firstRowFirstColumn="0" w:firstRowLastColumn="0" w:lastRowFirstColumn="0" w:lastRowLastColumn="0"/>
            <w:tcW w:w="1380" w:type="dxa"/>
            <w:vMerge/>
          </w:tcPr>
          <w:p w14:paraId="1ED93278" w14:textId="77777777" w:rsidR="002B146A" w:rsidRPr="004E0238" w:rsidRDefault="002B146A" w:rsidP="007D4F99">
            <w:pPr>
              <w:spacing w:after="0"/>
              <w:jc w:val="left"/>
            </w:pPr>
          </w:p>
        </w:tc>
        <w:tc>
          <w:tcPr>
            <w:tcW w:w="2065" w:type="dxa"/>
            <w:vAlign w:val="center"/>
          </w:tcPr>
          <w:p w14:paraId="0D71DC38" w14:textId="77777777" w:rsidR="002B146A" w:rsidRPr="004E0238" w:rsidRDefault="002B146A" w:rsidP="007D4F99">
            <w:pPr>
              <w:spacing w:after="0"/>
              <w:jc w:val="left"/>
              <w:cnfStyle w:val="000000000000" w:firstRow="0" w:lastRow="0" w:firstColumn="0" w:lastColumn="0" w:oddVBand="0" w:evenVBand="0" w:oddHBand="0" w:evenHBand="0" w:firstRowFirstColumn="0" w:firstRowLastColumn="0" w:lastRowFirstColumn="0" w:lastRowLastColumn="0"/>
            </w:pPr>
            <w:r w:rsidRPr="004E0238">
              <w:t>Differentiated Monitoring Results (DMR)</w:t>
            </w:r>
          </w:p>
        </w:tc>
        <w:tc>
          <w:tcPr>
            <w:tcW w:w="3988" w:type="dxa"/>
            <w:vAlign w:val="center"/>
          </w:tcPr>
          <w:p w14:paraId="641A13C7" w14:textId="11EB6217" w:rsidR="002B146A" w:rsidRPr="004E0238" w:rsidRDefault="002B146A" w:rsidP="007D4F99">
            <w:pPr>
              <w:spacing w:after="0"/>
              <w:jc w:val="left"/>
              <w:cnfStyle w:val="000000000000" w:firstRow="0" w:lastRow="0" w:firstColumn="0" w:lastColumn="0" w:oddVBand="0" w:evenVBand="0" w:oddHBand="0" w:evenHBand="0" w:firstRowFirstColumn="0" w:firstRowLastColumn="0" w:lastRowFirstColumn="0" w:lastRowLastColumn="0"/>
            </w:pPr>
            <w:r>
              <w:t xml:space="preserve">Result is issued each fall </w:t>
            </w:r>
            <w:r w:rsidR="00CF5CD7">
              <w:t>around</w:t>
            </w:r>
            <w:r>
              <w:t xml:space="preserve"> </w:t>
            </w:r>
            <w:r w:rsidRPr="03D650D9">
              <w:rPr>
                <w:b/>
                <w:bCs/>
              </w:rPr>
              <w:t>November 15</w:t>
            </w:r>
            <w:r>
              <w:t xml:space="preserve"> via a letter dictating the assigned level of support and all required LEA activities.</w:t>
            </w:r>
          </w:p>
        </w:tc>
        <w:tc>
          <w:tcPr>
            <w:tcW w:w="3462" w:type="dxa"/>
            <w:vAlign w:val="center"/>
          </w:tcPr>
          <w:p w14:paraId="5775A56A" w14:textId="77777777" w:rsidR="002B146A" w:rsidRPr="004E0238" w:rsidRDefault="002B146A" w:rsidP="007D4F99">
            <w:pPr>
              <w:spacing w:after="0"/>
              <w:jc w:val="left"/>
              <w:cnfStyle w:val="000000000000" w:firstRow="0" w:lastRow="0" w:firstColumn="0" w:lastColumn="0" w:oddVBand="0" w:evenVBand="0" w:oddHBand="0" w:evenHBand="0" w:firstRowFirstColumn="0" w:firstRowLastColumn="0" w:lastRowFirstColumn="0" w:lastRowLastColumn="0"/>
            </w:pPr>
            <w:r w:rsidRPr="004E0238">
              <w:t xml:space="preserve">All required activities must be completed by </w:t>
            </w:r>
            <w:r w:rsidRPr="004E0238">
              <w:rPr>
                <w:b/>
                <w:bCs/>
              </w:rPr>
              <w:t>June 30</w:t>
            </w:r>
            <w:r w:rsidRPr="004E0238">
              <w:t>, though specific activities may have earlier deadlines.</w:t>
            </w:r>
          </w:p>
        </w:tc>
      </w:tr>
      <w:tr w:rsidR="002B146A" w:rsidRPr="004E0238" w14:paraId="164B2C42" w14:textId="77777777" w:rsidTr="249113C7">
        <w:trPr>
          <w:cnfStyle w:val="000000100000" w:firstRow="0" w:lastRow="0" w:firstColumn="0" w:lastColumn="0" w:oddVBand="0" w:evenVBand="0" w:oddHBand="1" w:evenHBand="0" w:firstRowFirstColumn="0" w:firstRowLastColumn="0" w:lastRowFirstColumn="0" w:lastRowLastColumn="0"/>
          <w:trHeight w:val="720"/>
          <w:jc w:val="center"/>
        </w:trPr>
        <w:tc>
          <w:tcPr>
            <w:cnfStyle w:val="001000000000" w:firstRow="0" w:lastRow="0" w:firstColumn="1" w:lastColumn="0" w:oddVBand="0" w:evenVBand="0" w:oddHBand="0" w:evenHBand="0" w:firstRowFirstColumn="0" w:firstRowLastColumn="0" w:lastRowFirstColumn="0" w:lastRowLastColumn="0"/>
            <w:tcW w:w="1380" w:type="dxa"/>
            <w:vMerge/>
          </w:tcPr>
          <w:p w14:paraId="5A4019E4" w14:textId="77777777" w:rsidR="002B146A" w:rsidRPr="004E0238" w:rsidRDefault="002B146A" w:rsidP="007D4F99">
            <w:pPr>
              <w:spacing w:after="0"/>
              <w:jc w:val="left"/>
            </w:pPr>
          </w:p>
        </w:tc>
        <w:tc>
          <w:tcPr>
            <w:tcW w:w="2065" w:type="dxa"/>
            <w:vAlign w:val="center"/>
          </w:tcPr>
          <w:p w14:paraId="682E1CBD" w14:textId="77777777" w:rsidR="002B146A" w:rsidRPr="004E0238" w:rsidRDefault="002B146A" w:rsidP="007D4F99">
            <w:pPr>
              <w:spacing w:after="0"/>
              <w:jc w:val="left"/>
              <w:cnfStyle w:val="000000100000" w:firstRow="0" w:lastRow="0" w:firstColumn="0" w:lastColumn="0" w:oddVBand="0" w:evenVBand="0" w:oddHBand="1" w:evenHBand="0" w:firstRowFirstColumn="0" w:firstRowLastColumn="0" w:lastRowFirstColumn="0" w:lastRowLastColumn="0"/>
            </w:pPr>
            <w:r w:rsidRPr="004E0238">
              <w:t>Risk Assessment</w:t>
            </w:r>
          </w:p>
        </w:tc>
        <w:tc>
          <w:tcPr>
            <w:tcW w:w="3988" w:type="dxa"/>
            <w:vAlign w:val="center"/>
          </w:tcPr>
          <w:p w14:paraId="4C11617D" w14:textId="38CBA358" w:rsidR="002B146A" w:rsidRPr="004E0238" w:rsidRDefault="002B146A" w:rsidP="007D4F99">
            <w:pPr>
              <w:spacing w:after="0"/>
              <w:jc w:val="left"/>
              <w:cnfStyle w:val="000000100000" w:firstRow="0" w:lastRow="0" w:firstColumn="0" w:lastColumn="0" w:oddVBand="0" w:evenVBand="0" w:oddHBand="1" w:evenHBand="0" w:firstRowFirstColumn="0" w:firstRowLastColumn="0" w:lastRowFirstColumn="0" w:lastRowLastColumn="0"/>
            </w:pPr>
            <w:r>
              <w:t xml:space="preserve">Issued each fall </w:t>
            </w:r>
            <w:r w:rsidR="5997995F">
              <w:t>around</w:t>
            </w:r>
            <w:r>
              <w:t xml:space="preserve"> </w:t>
            </w:r>
            <w:r w:rsidRPr="5EF294CC">
              <w:rPr>
                <w:b/>
                <w:bCs/>
              </w:rPr>
              <w:t>November 15</w:t>
            </w:r>
            <w:r>
              <w:t xml:space="preserve"> in the D</w:t>
            </w:r>
            <w:r w:rsidR="00677B11">
              <w:t>ata P</w:t>
            </w:r>
            <w:r>
              <w:t>acket.</w:t>
            </w:r>
          </w:p>
        </w:tc>
        <w:tc>
          <w:tcPr>
            <w:tcW w:w="3462" w:type="dxa"/>
            <w:vAlign w:val="center"/>
          </w:tcPr>
          <w:p w14:paraId="51D5E8A7" w14:textId="27843FB3" w:rsidR="002B146A" w:rsidRPr="004E0238" w:rsidRDefault="00AB408F" w:rsidP="007D4F99">
            <w:pPr>
              <w:spacing w:after="0"/>
              <w:jc w:val="left"/>
              <w:cnfStyle w:val="000000100000" w:firstRow="0" w:lastRow="0" w:firstColumn="0" w:lastColumn="0" w:oddVBand="0" w:evenVBand="0" w:oddHBand="1" w:evenHBand="0" w:firstRowFirstColumn="0" w:firstRowLastColumn="0" w:lastRowFirstColumn="0" w:lastRowLastColumn="0"/>
            </w:pPr>
            <w:r w:rsidRPr="004E0238">
              <w:t xml:space="preserve">All required activities must be completed by </w:t>
            </w:r>
            <w:r w:rsidRPr="004E0238">
              <w:rPr>
                <w:b/>
                <w:bCs/>
              </w:rPr>
              <w:t>June 30</w:t>
            </w:r>
            <w:r w:rsidRPr="004E0238">
              <w:t>, though specific activities may have earlier deadlines.</w:t>
            </w:r>
          </w:p>
        </w:tc>
      </w:tr>
      <w:tr w:rsidR="002B146A" w:rsidRPr="004E0238" w14:paraId="6104FEAD" w14:textId="77777777" w:rsidTr="249113C7">
        <w:trPr>
          <w:trHeight w:val="720"/>
          <w:jc w:val="center"/>
        </w:trPr>
        <w:tc>
          <w:tcPr>
            <w:cnfStyle w:val="001000000000" w:firstRow="0" w:lastRow="0" w:firstColumn="1" w:lastColumn="0" w:oddVBand="0" w:evenVBand="0" w:oddHBand="0" w:evenHBand="0" w:firstRowFirstColumn="0" w:firstRowLastColumn="0" w:lastRowFirstColumn="0" w:lastRowLastColumn="0"/>
            <w:tcW w:w="1380" w:type="dxa"/>
            <w:vMerge/>
          </w:tcPr>
          <w:p w14:paraId="5CED8E6E" w14:textId="77777777" w:rsidR="002B146A" w:rsidRPr="004E0238" w:rsidRDefault="002B146A" w:rsidP="007D4F99">
            <w:pPr>
              <w:spacing w:after="0"/>
              <w:jc w:val="left"/>
            </w:pPr>
          </w:p>
        </w:tc>
        <w:tc>
          <w:tcPr>
            <w:tcW w:w="2065" w:type="dxa"/>
            <w:vAlign w:val="center"/>
          </w:tcPr>
          <w:p w14:paraId="207E037B" w14:textId="77777777" w:rsidR="002B146A" w:rsidRPr="004E0238" w:rsidRDefault="002B146A" w:rsidP="007D4F99">
            <w:pPr>
              <w:spacing w:after="0"/>
              <w:jc w:val="left"/>
              <w:cnfStyle w:val="000000000000" w:firstRow="0" w:lastRow="0" w:firstColumn="0" w:lastColumn="0" w:oddVBand="0" w:evenVBand="0" w:oddHBand="0" w:evenHBand="0" w:firstRowFirstColumn="0" w:firstRowLastColumn="0" w:lastRowFirstColumn="0" w:lastRowLastColumn="0"/>
            </w:pPr>
            <w:r w:rsidRPr="004E0238">
              <w:t>Determination</w:t>
            </w:r>
          </w:p>
        </w:tc>
        <w:tc>
          <w:tcPr>
            <w:tcW w:w="3988" w:type="dxa"/>
            <w:vAlign w:val="center"/>
          </w:tcPr>
          <w:p w14:paraId="1D584048" w14:textId="4313AF22" w:rsidR="002B146A" w:rsidRPr="004E0238" w:rsidRDefault="002B146A" w:rsidP="007D4F99">
            <w:pPr>
              <w:spacing w:after="0"/>
              <w:jc w:val="left"/>
              <w:cnfStyle w:val="000000000000" w:firstRow="0" w:lastRow="0" w:firstColumn="0" w:lastColumn="0" w:oddVBand="0" w:evenVBand="0" w:oddHBand="0" w:evenHBand="0" w:firstRowFirstColumn="0" w:firstRowLastColumn="0" w:lastRowFirstColumn="0" w:lastRowLastColumn="0"/>
            </w:pPr>
            <w:r>
              <w:t xml:space="preserve">Issued each fall </w:t>
            </w:r>
            <w:r w:rsidR="5997995F">
              <w:t>around</w:t>
            </w:r>
            <w:r>
              <w:t xml:space="preserve"> </w:t>
            </w:r>
            <w:r w:rsidRPr="5EF294CC">
              <w:rPr>
                <w:b/>
                <w:bCs/>
              </w:rPr>
              <w:t>November 15</w:t>
            </w:r>
            <w:r>
              <w:t xml:space="preserve"> in the D</w:t>
            </w:r>
            <w:r w:rsidR="00677B11">
              <w:t>ata P</w:t>
            </w:r>
            <w:r>
              <w:t>acket.</w:t>
            </w:r>
          </w:p>
        </w:tc>
        <w:tc>
          <w:tcPr>
            <w:tcW w:w="3462" w:type="dxa"/>
            <w:vAlign w:val="center"/>
          </w:tcPr>
          <w:p w14:paraId="5DA6BF47" w14:textId="011CE703" w:rsidR="002B146A" w:rsidRPr="004E0238" w:rsidRDefault="00AB408F" w:rsidP="007D4F99">
            <w:pPr>
              <w:spacing w:after="0"/>
              <w:jc w:val="left"/>
              <w:cnfStyle w:val="000000000000" w:firstRow="0" w:lastRow="0" w:firstColumn="0" w:lastColumn="0" w:oddVBand="0" w:evenVBand="0" w:oddHBand="0" w:evenHBand="0" w:firstRowFirstColumn="0" w:firstRowLastColumn="0" w:lastRowFirstColumn="0" w:lastRowLastColumn="0"/>
            </w:pPr>
            <w:r w:rsidRPr="004E0238">
              <w:t xml:space="preserve">All required activities must be completed by </w:t>
            </w:r>
            <w:r w:rsidRPr="004E0238">
              <w:rPr>
                <w:b/>
                <w:bCs/>
              </w:rPr>
              <w:t>June 30</w:t>
            </w:r>
            <w:r w:rsidRPr="004E0238">
              <w:t>, though specific activities may have earlier deadlines.</w:t>
            </w:r>
          </w:p>
        </w:tc>
      </w:tr>
      <w:tr w:rsidR="002B146A" w:rsidRPr="00AA6A2A" w14:paraId="54CA5F99" w14:textId="77777777" w:rsidTr="249113C7">
        <w:trPr>
          <w:cnfStyle w:val="000000100000" w:firstRow="0" w:lastRow="0" w:firstColumn="0" w:lastColumn="0" w:oddVBand="0" w:evenVBand="0" w:oddHBand="1" w:evenHBand="0" w:firstRowFirstColumn="0" w:firstRowLastColumn="0" w:lastRowFirstColumn="0" w:lastRowLastColumn="0"/>
          <w:trHeight w:val="864"/>
          <w:jc w:val="center"/>
        </w:trPr>
        <w:tc>
          <w:tcPr>
            <w:cnfStyle w:val="001000000000" w:firstRow="0" w:lastRow="0" w:firstColumn="1" w:lastColumn="0" w:oddVBand="0" w:evenVBand="0" w:oddHBand="0" w:evenHBand="0" w:firstRowFirstColumn="0" w:firstRowLastColumn="0" w:lastRowFirstColumn="0" w:lastRowLastColumn="0"/>
            <w:tcW w:w="1380" w:type="dxa"/>
            <w:tcBorders>
              <w:bottom w:val="single" w:sz="4" w:space="0" w:color="auto"/>
            </w:tcBorders>
            <w:shd w:val="clear" w:color="auto" w:fill="auto"/>
          </w:tcPr>
          <w:p w14:paraId="1B1EC8E4" w14:textId="7FDA0471" w:rsidR="002B146A" w:rsidRPr="00AA6A2A" w:rsidRDefault="002B146A" w:rsidP="5EF294CC">
            <w:pPr>
              <w:spacing w:after="0"/>
              <w:jc w:val="left"/>
              <w:rPr>
                <w:b w:val="0"/>
                <w:bCs w:val="0"/>
              </w:rPr>
            </w:pPr>
            <w:r>
              <w:t>Prong II</w:t>
            </w:r>
            <w:r w:rsidR="00A536B6">
              <w:t xml:space="preserve"> – Systemic </w:t>
            </w:r>
            <w:r w:rsidR="498F9F4C">
              <w:t>C</w:t>
            </w:r>
            <w:r w:rsidR="00A536B6">
              <w:t>ompliance</w:t>
            </w:r>
          </w:p>
          <w:p w14:paraId="337B9601" w14:textId="19416619" w:rsidR="00690801" w:rsidRPr="00AA6A2A" w:rsidRDefault="00690801" w:rsidP="5EF294CC">
            <w:pPr>
              <w:spacing w:after="0"/>
              <w:jc w:val="left"/>
            </w:pPr>
          </w:p>
        </w:tc>
        <w:tc>
          <w:tcPr>
            <w:tcW w:w="2065" w:type="dxa"/>
            <w:tcBorders>
              <w:bottom w:val="single" w:sz="4" w:space="0" w:color="auto"/>
            </w:tcBorders>
            <w:shd w:val="clear" w:color="auto" w:fill="auto"/>
            <w:vAlign w:val="center"/>
          </w:tcPr>
          <w:p w14:paraId="27367703" w14:textId="0E188A67" w:rsidR="002B146A" w:rsidRPr="00AA6A2A" w:rsidRDefault="002B146A" w:rsidP="007D4F99">
            <w:pPr>
              <w:spacing w:after="0"/>
              <w:jc w:val="left"/>
              <w:cnfStyle w:val="000000100000" w:firstRow="0" w:lastRow="0" w:firstColumn="0" w:lastColumn="0" w:oddVBand="0" w:evenVBand="0" w:oddHBand="1" w:evenHBand="0" w:firstRowFirstColumn="0" w:firstRowLastColumn="0" w:lastRowFirstColumn="0" w:lastRowLastColumn="0"/>
            </w:pPr>
            <w:r w:rsidRPr="00AA6A2A">
              <w:t>Review for compliance (Indicators</w:t>
            </w:r>
            <w:r w:rsidR="00762CD7" w:rsidRPr="00AA6A2A">
              <w:t xml:space="preserve"> 4, 9, 10,</w:t>
            </w:r>
            <w:r w:rsidRPr="00AA6A2A">
              <w:t xml:space="preserve"> 11, 12, &amp; 13)</w:t>
            </w:r>
          </w:p>
        </w:tc>
        <w:tc>
          <w:tcPr>
            <w:tcW w:w="3988" w:type="dxa"/>
            <w:tcBorders>
              <w:bottom w:val="single" w:sz="4" w:space="0" w:color="auto"/>
            </w:tcBorders>
            <w:shd w:val="clear" w:color="auto" w:fill="auto"/>
            <w:vAlign w:val="center"/>
          </w:tcPr>
          <w:p w14:paraId="6F806EFA" w14:textId="5FAE2800" w:rsidR="002B146A" w:rsidRPr="00AA6A2A" w:rsidRDefault="002B146A" w:rsidP="0A9EAF47">
            <w:pPr>
              <w:spacing w:after="0"/>
              <w:jc w:val="left"/>
              <w:cnfStyle w:val="000000100000" w:firstRow="0" w:lastRow="0" w:firstColumn="0" w:lastColumn="0" w:oddVBand="0" w:evenVBand="0" w:oddHBand="1" w:evenHBand="0" w:firstRowFirstColumn="0" w:firstRowLastColumn="0" w:lastRowFirstColumn="0" w:lastRowLastColumn="0"/>
            </w:pPr>
            <w:r>
              <w:t xml:space="preserve">Conducted </w:t>
            </w:r>
            <w:r w:rsidR="004D24AF">
              <w:t xml:space="preserve">monthly beginning in March and completed </w:t>
            </w:r>
            <w:r>
              <w:t xml:space="preserve">by </w:t>
            </w:r>
            <w:r w:rsidR="004D24AF">
              <w:t>October 31</w:t>
            </w:r>
            <w:r>
              <w:t xml:space="preserve">. </w:t>
            </w:r>
            <w:r w:rsidR="004D24AF">
              <w:t xml:space="preserve">Letters will be issued monthly </w:t>
            </w:r>
            <w:r w:rsidR="00B845D0">
              <w:t>to notify the LEA with the</w:t>
            </w:r>
            <w:r w:rsidR="0008106E">
              <w:t xml:space="preserve"> results of the </w:t>
            </w:r>
            <w:r w:rsidR="009259A2">
              <w:t xml:space="preserve"> </w:t>
            </w:r>
            <w:r w:rsidR="004D24AF">
              <w:t xml:space="preserve"> results and any additional corrective actions</w:t>
            </w:r>
          </w:p>
          <w:p w14:paraId="3010CB8A" w14:textId="77777777" w:rsidR="002B146A" w:rsidRPr="00AA6A2A" w:rsidRDefault="002B146A" w:rsidP="0A9EAF47">
            <w:pPr>
              <w:spacing w:after="0"/>
              <w:jc w:val="left"/>
              <w:cnfStyle w:val="000000100000" w:firstRow="0" w:lastRow="0" w:firstColumn="0" w:lastColumn="0" w:oddVBand="0" w:evenVBand="0" w:oddHBand="1" w:evenHBand="0" w:firstRowFirstColumn="0" w:firstRowLastColumn="0" w:lastRowFirstColumn="0" w:lastRowLastColumn="0"/>
              <w:rPr>
                <w:highlight w:val="yellow"/>
              </w:rPr>
            </w:pPr>
          </w:p>
          <w:p w14:paraId="2D2E5233" w14:textId="77777777" w:rsidR="00A264DA" w:rsidRPr="00AA6A2A" w:rsidRDefault="00A264DA" w:rsidP="0A9EAF47">
            <w:pPr>
              <w:spacing w:after="0"/>
              <w:jc w:val="left"/>
              <w:cnfStyle w:val="000000100000" w:firstRow="0" w:lastRow="0" w:firstColumn="0" w:lastColumn="0" w:oddVBand="0" w:evenVBand="0" w:oddHBand="1" w:evenHBand="0" w:firstRowFirstColumn="0" w:firstRowLastColumn="0" w:lastRowFirstColumn="0" w:lastRowLastColumn="0"/>
              <w:rPr>
                <w:highlight w:val="yellow"/>
              </w:rPr>
            </w:pPr>
          </w:p>
        </w:tc>
        <w:tc>
          <w:tcPr>
            <w:tcW w:w="3462" w:type="dxa"/>
            <w:tcBorders>
              <w:bottom w:val="single" w:sz="4" w:space="0" w:color="auto"/>
            </w:tcBorders>
            <w:shd w:val="clear" w:color="auto" w:fill="auto"/>
            <w:vAlign w:val="center"/>
          </w:tcPr>
          <w:p w14:paraId="65143F39" w14:textId="6CF302A9" w:rsidR="000C4236" w:rsidRPr="00AA6A2A" w:rsidRDefault="000C4236" w:rsidP="0A9EAF47">
            <w:pPr>
              <w:spacing w:after="0"/>
              <w:jc w:val="left"/>
              <w:cnfStyle w:val="000000100000" w:firstRow="0" w:lastRow="0" w:firstColumn="0" w:lastColumn="0" w:oddVBand="0" w:evenVBand="0" w:oddHBand="1" w:evenHBand="0" w:firstRowFirstColumn="0" w:firstRowLastColumn="0" w:lastRowFirstColumn="0" w:lastRowLastColumn="0"/>
              <w:rPr>
                <w:highlight w:val="yellow"/>
              </w:rPr>
            </w:pPr>
            <w:r w:rsidRPr="009259A2">
              <w:t>Complete any additional activities by the assigned timeframe.</w:t>
            </w:r>
          </w:p>
        </w:tc>
      </w:tr>
    </w:tbl>
    <w:p w14:paraId="35D82FEE" w14:textId="77777777" w:rsidR="00AA6A2A" w:rsidRDefault="00AA6A2A" w:rsidP="0A9EAF47">
      <w:pPr>
        <w:spacing w:before="120"/>
        <w:rPr>
          <w:b/>
          <w:bCs/>
          <w:sz w:val="28"/>
          <w:szCs w:val="28"/>
        </w:rPr>
      </w:pPr>
    </w:p>
    <w:p w14:paraId="0EA8B858" w14:textId="30CC6669" w:rsidR="6952A7C3" w:rsidRDefault="6952A7C3" w:rsidP="6952A7C3">
      <w:pPr>
        <w:spacing w:before="120"/>
        <w:rPr>
          <w:b/>
          <w:bCs/>
          <w:sz w:val="28"/>
          <w:szCs w:val="28"/>
        </w:rPr>
      </w:pPr>
    </w:p>
    <w:p w14:paraId="4697FB77" w14:textId="0C9F0F75" w:rsidR="6952A7C3" w:rsidRDefault="6952A7C3" w:rsidP="6952A7C3">
      <w:pPr>
        <w:spacing w:before="120"/>
        <w:rPr>
          <w:b/>
          <w:bCs/>
          <w:sz w:val="28"/>
          <w:szCs w:val="28"/>
        </w:rPr>
      </w:pPr>
    </w:p>
    <w:p w14:paraId="4F3BFF42" w14:textId="20249199" w:rsidR="6952A7C3" w:rsidRDefault="6952A7C3" w:rsidP="6952A7C3">
      <w:pPr>
        <w:spacing w:before="120"/>
        <w:rPr>
          <w:b/>
          <w:bCs/>
          <w:sz w:val="28"/>
          <w:szCs w:val="28"/>
        </w:rPr>
      </w:pPr>
    </w:p>
    <w:p w14:paraId="2D1CB416" w14:textId="0CE07ACC" w:rsidR="6952A7C3" w:rsidRDefault="6952A7C3" w:rsidP="6952A7C3">
      <w:pPr>
        <w:spacing w:before="120"/>
        <w:rPr>
          <w:b/>
          <w:bCs/>
          <w:sz w:val="28"/>
          <w:szCs w:val="28"/>
        </w:rPr>
      </w:pPr>
    </w:p>
    <w:p w14:paraId="0AFF43A8" w14:textId="022534E2" w:rsidR="6952A7C3" w:rsidRDefault="6952A7C3" w:rsidP="6952A7C3">
      <w:pPr>
        <w:spacing w:before="120"/>
        <w:rPr>
          <w:b/>
          <w:bCs/>
          <w:sz w:val="28"/>
          <w:szCs w:val="28"/>
        </w:rPr>
      </w:pPr>
    </w:p>
    <w:p w14:paraId="30E7574B" w14:textId="179E7AC2" w:rsidR="0A9EAF47" w:rsidRPr="00282556" w:rsidRDefault="00CA55A8" w:rsidP="0A9EAF47">
      <w:pPr>
        <w:spacing w:before="120"/>
        <w:rPr>
          <w:b/>
          <w:bCs/>
        </w:rPr>
      </w:pPr>
      <w:r w:rsidRPr="5EF294CC">
        <w:rPr>
          <w:b/>
          <w:bCs/>
          <w:sz w:val="28"/>
          <w:szCs w:val="28"/>
        </w:rPr>
        <w:lastRenderedPageBreak/>
        <w:t>Table 8 Timeline for DMR</w:t>
      </w:r>
      <w:r w:rsidR="00A536B6" w:rsidRPr="5EF294CC">
        <w:rPr>
          <w:b/>
          <w:bCs/>
          <w:sz w:val="28"/>
          <w:szCs w:val="28"/>
        </w:rPr>
        <w:t xml:space="preserve"> </w:t>
      </w:r>
      <w:r w:rsidR="00AA6A2A">
        <w:rPr>
          <w:b/>
          <w:bCs/>
          <w:sz w:val="28"/>
          <w:szCs w:val="28"/>
        </w:rPr>
        <w:t>Timelines</w:t>
      </w:r>
      <w:r w:rsidRPr="5EF294CC">
        <w:rPr>
          <w:b/>
          <w:bCs/>
          <w:sz w:val="28"/>
          <w:szCs w:val="28"/>
        </w:rPr>
        <w:t xml:space="preserve"> </w:t>
      </w:r>
    </w:p>
    <w:tbl>
      <w:tblPr>
        <w:tblStyle w:val="TableGrid"/>
        <w:tblW w:w="10980" w:type="dxa"/>
        <w:tblLook w:val="04A0" w:firstRow="1" w:lastRow="0" w:firstColumn="1" w:lastColumn="0" w:noHBand="0" w:noVBand="1"/>
      </w:tblPr>
      <w:tblGrid>
        <w:gridCol w:w="2017"/>
        <w:gridCol w:w="4765"/>
        <w:gridCol w:w="4198"/>
      </w:tblGrid>
      <w:tr w:rsidR="00AA6A2A" w:rsidRPr="00AA6A2A" w14:paraId="5123012E" w14:textId="77777777" w:rsidTr="2469CE08">
        <w:tc>
          <w:tcPr>
            <w:tcW w:w="2017" w:type="dxa"/>
            <w:shd w:val="clear" w:color="auto" w:fill="B0D0E2" w:themeFill="accent1" w:themeFillTint="66"/>
          </w:tcPr>
          <w:p w14:paraId="7008CBC9" w14:textId="77777777" w:rsidR="00AA6A2A" w:rsidRPr="00AA6A2A" w:rsidRDefault="00AA6A2A" w:rsidP="00C15F3D">
            <w:pPr>
              <w:spacing w:before="120"/>
              <w:rPr>
                <w:b/>
                <w:bCs/>
              </w:rPr>
            </w:pPr>
            <w:r w:rsidRPr="00AA6A2A">
              <w:rPr>
                <w:b/>
                <w:bCs/>
              </w:rPr>
              <w:t>Monitoring Process</w:t>
            </w:r>
          </w:p>
        </w:tc>
        <w:tc>
          <w:tcPr>
            <w:tcW w:w="4765" w:type="dxa"/>
            <w:shd w:val="clear" w:color="auto" w:fill="B0D0E2" w:themeFill="accent1" w:themeFillTint="66"/>
          </w:tcPr>
          <w:p w14:paraId="1C7ED588" w14:textId="77777777" w:rsidR="00AA6A2A" w:rsidRPr="00AA6A2A" w:rsidRDefault="00AA6A2A" w:rsidP="00C15F3D">
            <w:pPr>
              <w:spacing w:before="120"/>
              <w:rPr>
                <w:b/>
                <w:bCs/>
              </w:rPr>
            </w:pPr>
            <w:r w:rsidRPr="00AA6A2A">
              <w:rPr>
                <w:b/>
                <w:bCs/>
              </w:rPr>
              <w:t>State Timeframe</w:t>
            </w:r>
          </w:p>
        </w:tc>
        <w:tc>
          <w:tcPr>
            <w:tcW w:w="4198" w:type="dxa"/>
            <w:shd w:val="clear" w:color="auto" w:fill="B0D0E2" w:themeFill="accent1" w:themeFillTint="66"/>
          </w:tcPr>
          <w:p w14:paraId="48D29175" w14:textId="77777777" w:rsidR="00AA6A2A" w:rsidRPr="00AA6A2A" w:rsidRDefault="00AA6A2A" w:rsidP="00C15F3D">
            <w:pPr>
              <w:spacing w:before="120"/>
              <w:rPr>
                <w:b/>
                <w:bCs/>
              </w:rPr>
            </w:pPr>
            <w:r w:rsidRPr="00AA6A2A">
              <w:rPr>
                <w:b/>
                <w:bCs/>
              </w:rPr>
              <w:t>LEA Timeframe</w:t>
            </w:r>
          </w:p>
        </w:tc>
      </w:tr>
      <w:tr w:rsidR="00AA6A2A" w:rsidRPr="004E0238" w14:paraId="6B613CCD" w14:textId="77777777" w:rsidTr="2469CE08">
        <w:tc>
          <w:tcPr>
            <w:tcW w:w="2017" w:type="dxa"/>
            <w:shd w:val="clear" w:color="auto" w:fill="D7E7F0" w:themeFill="accent1" w:themeFillTint="33"/>
          </w:tcPr>
          <w:p w14:paraId="46F12D15" w14:textId="77777777" w:rsidR="00AA6A2A" w:rsidRPr="004E0238" w:rsidRDefault="00AA6A2A" w:rsidP="00C15F3D">
            <w:pPr>
              <w:spacing w:before="120"/>
            </w:pPr>
            <w:r w:rsidRPr="004E0238">
              <w:t>DMR Status</w:t>
            </w:r>
          </w:p>
        </w:tc>
        <w:tc>
          <w:tcPr>
            <w:tcW w:w="4765" w:type="dxa"/>
            <w:shd w:val="clear" w:color="auto" w:fill="D7E7F0" w:themeFill="accent1" w:themeFillTint="33"/>
          </w:tcPr>
          <w:p w14:paraId="2D5B63A2" w14:textId="77777777" w:rsidR="00AA6A2A" w:rsidRPr="004E0238" w:rsidRDefault="00AA6A2A" w:rsidP="00C15F3D">
            <w:pPr>
              <w:spacing w:before="120"/>
            </w:pPr>
            <w:r>
              <w:t xml:space="preserve">Determinations are issued each fall by November 15 via a letter emailed to the Superintendent and special education director, designating the assigned level of support and all required LEA activities. </w:t>
            </w:r>
          </w:p>
        </w:tc>
        <w:tc>
          <w:tcPr>
            <w:tcW w:w="4198" w:type="dxa"/>
            <w:shd w:val="clear" w:color="auto" w:fill="D7E7F0" w:themeFill="accent1" w:themeFillTint="33"/>
          </w:tcPr>
          <w:p w14:paraId="260A11FF" w14:textId="77777777" w:rsidR="00AA6A2A" w:rsidRPr="004E0238" w:rsidRDefault="00AA6A2A" w:rsidP="00C15F3D">
            <w:pPr>
              <w:spacing w:before="120"/>
            </w:pPr>
            <w:r w:rsidRPr="004E0238">
              <w:t>None</w:t>
            </w:r>
          </w:p>
        </w:tc>
      </w:tr>
      <w:tr w:rsidR="00AA6A2A" w:rsidRPr="004E0238" w14:paraId="79526CDE" w14:textId="77777777" w:rsidTr="2469CE08">
        <w:tc>
          <w:tcPr>
            <w:tcW w:w="2017" w:type="dxa"/>
          </w:tcPr>
          <w:p w14:paraId="0C666429" w14:textId="77777777" w:rsidR="00AA6A2A" w:rsidRPr="004E0238" w:rsidRDefault="00AA6A2A" w:rsidP="00C15F3D">
            <w:pPr>
              <w:spacing w:before="120"/>
            </w:pPr>
            <w:r w:rsidRPr="004E0238">
              <w:t>Required DMR/Compliance PD</w:t>
            </w:r>
          </w:p>
        </w:tc>
        <w:tc>
          <w:tcPr>
            <w:tcW w:w="4765" w:type="dxa"/>
          </w:tcPr>
          <w:p w14:paraId="4F1D2AB9" w14:textId="1D84A105" w:rsidR="00AA6A2A" w:rsidRPr="004E0238" w:rsidRDefault="00AA6A2A" w:rsidP="00C15F3D">
            <w:pPr>
              <w:spacing w:before="120"/>
            </w:pPr>
            <w:r>
              <w:t>Schedule</w:t>
            </w:r>
            <w:r w:rsidR="00E92B92">
              <w:t xml:space="preserve"> required PD</w:t>
            </w:r>
            <w:r>
              <w:t xml:space="preserve"> between November 15</w:t>
            </w:r>
            <w:r w:rsidRPr="59056DEA">
              <w:rPr>
                <w:vertAlign w:val="superscript"/>
              </w:rPr>
              <w:t>th</w:t>
            </w:r>
            <w:r>
              <w:t xml:space="preserve"> and December 15</w:t>
            </w:r>
            <w:r w:rsidRPr="59056DEA">
              <w:rPr>
                <w:vertAlign w:val="superscript"/>
              </w:rPr>
              <w:t>th</w:t>
            </w:r>
            <w:r>
              <w:t xml:space="preserve">.  </w:t>
            </w:r>
            <w:r w:rsidR="00155314">
              <w:t xml:space="preserve">LEAs will be notified regarding the required PD with the date and time.  </w:t>
            </w:r>
          </w:p>
        </w:tc>
        <w:tc>
          <w:tcPr>
            <w:tcW w:w="4198" w:type="dxa"/>
          </w:tcPr>
          <w:p w14:paraId="2CFCCD08" w14:textId="1797B054" w:rsidR="00AA6A2A" w:rsidRPr="004E0238" w:rsidRDefault="00AA6A2A" w:rsidP="00C15F3D">
            <w:pPr>
              <w:spacing w:before="120"/>
            </w:pPr>
            <w:r>
              <w:t xml:space="preserve">LEA participation </w:t>
            </w:r>
            <w:r w:rsidR="002E363D">
              <w:t>in assigned PD</w:t>
            </w:r>
            <w:r>
              <w:t xml:space="preserve">. </w:t>
            </w:r>
          </w:p>
        </w:tc>
      </w:tr>
      <w:tr w:rsidR="00AA6A2A" w:rsidRPr="004E0238" w14:paraId="23D8DDE9" w14:textId="77777777" w:rsidTr="2469CE08">
        <w:tc>
          <w:tcPr>
            <w:tcW w:w="2017" w:type="dxa"/>
            <w:shd w:val="clear" w:color="auto" w:fill="D7E7F0" w:themeFill="accent1" w:themeFillTint="33"/>
          </w:tcPr>
          <w:p w14:paraId="6A276CFE" w14:textId="77777777" w:rsidR="00AA6A2A" w:rsidRPr="004E0238" w:rsidRDefault="00AA6A2A" w:rsidP="00C15F3D">
            <w:pPr>
              <w:spacing w:before="120"/>
              <w:jc w:val="left"/>
            </w:pPr>
            <w:r>
              <w:t>Toolkits/Corrective action plans for indicators identified as not meeting target(s)</w:t>
            </w:r>
          </w:p>
        </w:tc>
        <w:tc>
          <w:tcPr>
            <w:tcW w:w="4765" w:type="dxa"/>
            <w:shd w:val="clear" w:color="auto" w:fill="D7E7F0" w:themeFill="accent1" w:themeFillTint="33"/>
          </w:tcPr>
          <w:p w14:paraId="058D3F4B" w14:textId="77777777" w:rsidR="00AA6A2A" w:rsidRPr="004E0238" w:rsidRDefault="00AA6A2A" w:rsidP="00C15F3D">
            <w:pPr>
              <w:spacing w:before="120"/>
            </w:pPr>
            <w:r w:rsidRPr="004E0238">
              <w:t>The SEA provides instructions and expectations at the time of the required professional development that will occur after the November Data Packet has been provided to the LEAs.</w:t>
            </w:r>
          </w:p>
        </w:tc>
        <w:tc>
          <w:tcPr>
            <w:tcW w:w="4198" w:type="dxa"/>
            <w:shd w:val="clear" w:color="auto" w:fill="D7E7F0" w:themeFill="accent1" w:themeFillTint="33"/>
          </w:tcPr>
          <w:p w14:paraId="16C1CCC2" w14:textId="499AA7D8" w:rsidR="00AA6A2A" w:rsidRPr="004E0238" w:rsidRDefault="00AA6A2A" w:rsidP="00C15F3D">
            <w:pPr>
              <w:spacing w:before="120"/>
            </w:pPr>
            <w:r>
              <w:t>Toolkits are due January 1</w:t>
            </w:r>
            <w:r w:rsidR="4FA00653">
              <w:t>2</w:t>
            </w:r>
            <w:r>
              <w:t xml:space="preserve">th. </w:t>
            </w:r>
          </w:p>
        </w:tc>
      </w:tr>
      <w:tr w:rsidR="00AA6A2A" w:rsidRPr="004E0238" w14:paraId="59E084F9" w14:textId="77777777" w:rsidTr="2469CE08">
        <w:tc>
          <w:tcPr>
            <w:tcW w:w="2017" w:type="dxa"/>
            <w:shd w:val="clear" w:color="auto" w:fill="D7E7F0" w:themeFill="accent1" w:themeFillTint="33"/>
          </w:tcPr>
          <w:p w14:paraId="51C5E64C" w14:textId="77777777" w:rsidR="00AA6A2A" w:rsidRPr="004E0238" w:rsidRDefault="00AA6A2A" w:rsidP="00C15F3D">
            <w:pPr>
              <w:spacing w:before="120"/>
            </w:pPr>
            <w:r>
              <w:t xml:space="preserve">OSDE-SES review/guidance </w:t>
            </w:r>
          </w:p>
        </w:tc>
        <w:tc>
          <w:tcPr>
            <w:tcW w:w="4765" w:type="dxa"/>
            <w:shd w:val="clear" w:color="auto" w:fill="D7E7F0" w:themeFill="accent1" w:themeFillTint="33"/>
          </w:tcPr>
          <w:p w14:paraId="3020C35C" w14:textId="23594462" w:rsidR="00AA6A2A" w:rsidRPr="004E0238" w:rsidRDefault="00AA6A2A" w:rsidP="00C15F3D">
            <w:pPr>
              <w:spacing w:before="120"/>
            </w:pPr>
            <w:r>
              <w:t>OSDE-SES will review the district</w:t>
            </w:r>
            <w:r w:rsidR="2F6A3A7D">
              <w:t>’s</w:t>
            </w:r>
            <w:r>
              <w:t xml:space="preserve"> root cause, plan for improvement, and progress monitoring.  Any questions or concerns regarding the plan will be provided to the district.   </w:t>
            </w:r>
            <w:r w:rsidR="428C2D4D">
              <w:t>The review and guidance will begin no later than January 1</w:t>
            </w:r>
            <w:r w:rsidR="5BFAFD31">
              <w:t>2</w:t>
            </w:r>
            <w:r w:rsidR="3E84325C" w:rsidRPr="2469CE08">
              <w:rPr>
                <w:vertAlign w:val="superscript"/>
              </w:rPr>
              <w:t>th</w:t>
            </w:r>
            <w:r w:rsidR="3E84325C">
              <w:t xml:space="preserve"> </w:t>
            </w:r>
            <w:r w:rsidR="428C2D4D">
              <w:t xml:space="preserve"> through March 1.  </w:t>
            </w:r>
          </w:p>
        </w:tc>
        <w:tc>
          <w:tcPr>
            <w:tcW w:w="4198" w:type="dxa"/>
            <w:shd w:val="clear" w:color="auto" w:fill="D7E7F0" w:themeFill="accent1" w:themeFillTint="33"/>
          </w:tcPr>
          <w:p w14:paraId="73F35A6A" w14:textId="7AAB989B" w:rsidR="00AA6A2A" w:rsidRPr="004E0238" w:rsidRDefault="00AA6A2A" w:rsidP="00C15F3D">
            <w:pPr>
              <w:spacing w:before="120"/>
            </w:pPr>
            <w:r>
              <w:t xml:space="preserve">The district should implement the plan during </w:t>
            </w:r>
            <w:r w:rsidR="00B279C7">
              <w:t>the review process</w:t>
            </w:r>
            <w:r>
              <w:t>.</w:t>
            </w:r>
          </w:p>
        </w:tc>
      </w:tr>
      <w:tr w:rsidR="00AA6A2A" w14:paraId="07841091" w14:textId="77777777" w:rsidTr="2469CE08">
        <w:tc>
          <w:tcPr>
            <w:tcW w:w="2017" w:type="dxa"/>
          </w:tcPr>
          <w:p w14:paraId="155A3706" w14:textId="77777777" w:rsidR="00AA6A2A" w:rsidRPr="004E0238" w:rsidRDefault="00AA6A2A" w:rsidP="00C15F3D">
            <w:pPr>
              <w:spacing w:before="120"/>
            </w:pPr>
            <w:r>
              <w:t>Progress</w:t>
            </w:r>
            <w:r w:rsidRPr="004E0238">
              <w:t xml:space="preserve"> Review</w:t>
            </w:r>
          </w:p>
        </w:tc>
        <w:tc>
          <w:tcPr>
            <w:tcW w:w="4765" w:type="dxa"/>
          </w:tcPr>
          <w:p w14:paraId="40FDB09B" w14:textId="2477BC60" w:rsidR="00AA6A2A" w:rsidRPr="004E0238" w:rsidRDefault="00AA6A2A" w:rsidP="00C15F3D">
            <w:pPr>
              <w:spacing w:before="120"/>
            </w:pPr>
            <w:r>
              <w:t xml:space="preserve">The </w:t>
            </w:r>
            <w:r w:rsidR="005A66DC">
              <w:t>OSDE-SES</w:t>
            </w:r>
            <w:r>
              <w:t xml:space="preserve"> will</w:t>
            </w:r>
            <w:r w:rsidR="005A66DC">
              <w:t xml:space="preserve"> review the </w:t>
            </w:r>
            <w:r w:rsidR="00DC330F">
              <w:t>progress reviews.</w:t>
            </w:r>
            <w:r>
              <w:t xml:space="preserve"> </w:t>
            </w:r>
            <w:r w:rsidR="00DC330F">
              <w:t xml:space="preserve">Any questions or concerns regarding the progress will be provided to the district. </w:t>
            </w:r>
          </w:p>
        </w:tc>
        <w:tc>
          <w:tcPr>
            <w:tcW w:w="4198" w:type="dxa"/>
          </w:tcPr>
          <w:p w14:paraId="61D03ACF" w14:textId="0C6D0559" w:rsidR="005A66DC" w:rsidRDefault="005A66DC" w:rsidP="00C15F3D">
            <w:pPr>
              <w:spacing w:before="120"/>
            </w:pPr>
            <w:r>
              <w:t xml:space="preserve">The district will provide updates (progress review) for each indicator not meeting the State target.  The progress reviews should provide information regarding the implementation of the plan, data to demonstrate progress, and identify if the plan will be changed in whole or part. </w:t>
            </w:r>
          </w:p>
          <w:p w14:paraId="5F6CF277" w14:textId="37EB8814" w:rsidR="00AA6A2A" w:rsidRDefault="00AA6A2A" w:rsidP="00C15F3D">
            <w:pPr>
              <w:spacing w:before="120"/>
            </w:pPr>
            <w:r>
              <w:t>Progress reviews are due:</w:t>
            </w:r>
          </w:p>
          <w:p w14:paraId="719E95FF" w14:textId="77777777" w:rsidR="00AA6A2A" w:rsidRPr="00AB4941" w:rsidRDefault="00AA6A2A" w:rsidP="00C15F3D">
            <w:pPr>
              <w:spacing w:before="120"/>
              <w:rPr>
                <w:b/>
                <w:bCs/>
              </w:rPr>
            </w:pPr>
            <w:r>
              <w:t xml:space="preserve">First progress review – </w:t>
            </w:r>
            <w:r w:rsidRPr="5EF294CC">
              <w:rPr>
                <w:b/>
                <w:bCs/>
              </w:rPr>
              <w:t>March 31</w:t>
            </w:r>
            <w:r w:rsidRPr="5EF294CC">
              <w:rPr>
                <w:b/>
                <w:bCs/>
                <w:vertAlign w:val="superscript"/>
              </w:rPr>
              <w:t>st</w:t>
            </w:r>
          </w:p>
          <w:p w14:paraId="6BED3E83" w14:textId="77777777" w:rsidR="00AA6A2A" w:rsidRPr="004E0238" w:rsidRDefault="00AA6A2A" w:rsidP="00C15F3D">
            <w:pPr>
              <w:spacing w:before="120"/>
            </w:pPr>
            <w:r>
              <w:t xml:space="preserve">Second progress review – </w:t>
            </w:r>
            <w:r w:rsidRPr="03D650D9">
              <w:rPr>
                <w:b/>
                <w:bCs/>
              </w:rPr>
              <w:t>May 3</w:t>
            </w:r>
            <w:r>
              <w:rPr>
                <w:b/>
                <w:bCs/>
              </w:rPr>
              <w:t>1</w:t>
            </w:r>
            <w:r w:rsidRPr="00AA6A2A">
              <w:rPr>
                <w:b/>
                <w:bCs/>
                <w:vertAlign w:val="superscript"/>
              </w:rPr>
              <w:t>st</w:t>
            </w:r>
            <w:r>
              <w:rPr>
                <w:b/>
                <w:bCs/>
              </w:rPr>
              <w:t xml:space="preserve"> </w:t>
            </w:r>
            <w:r>
              <w:t xml:space="preserve"> </w:t>
            </w:r>
          </w:p>
        </w:tc>
      </w:tr>
    </w:tbl>
    <w:p w14:paraId="1BF4FE98" w14:textId="0B6CFEEC" w:rsidR="00B215C3" w:rsidRPr="005405F0" w:rsidRDefault="00AA6A2A" w:rsidP="005405F0">
      <w:pPr>
        <w:spacing w:before="120"/>
      </w:pPr>
      <w:r>
        <w:t xml:space="preserve">*Noncompliance may also be identified during monitoring activities. If found, additional </w:t>
      </w:r>
      <w:r w:rsidR="00CE20C3">
        <w:t xml:space="preserve">letters of noncompliance with </w:t>
      </w:r>
      <w:r>
        <w:t xml:space="preserve">correction will be </w:t>
      </w:r>
      <w:r w:rsidR="00CE20C3">
        <w:t xml:space="preserve">issued and will </w:t>
      </w:r>
      <w:r>
        <w:t>require a different timeframe</w:t>
      </w:r>
    </w:p>
    <w:p w14:paraId="0907F01E" w14:textId="77777777" w:rsidR="004D24AF" w:rsidRDefault="004D24AF" w:rsidP="5EF294CC">
      <w:pPr>
        <w:spacing w:after="0" w:line="240" w:lineRule="auto"/>
        <w:rPr>
          <w:rFonts w:eastAsia="Times New Roman" w:cs="Segoe UI"/>
          <w:color w:val="000000" w:themeColor="text1"/>
          <w:sz w:val="22"/>
          <w:szCs w:val="22"/>
        </w:rPr>
      </w:pPr>
    </w:p>
    <w:p w14:paraId="1A81B038" w14:textId="45F3F706" w:rsidR="6952A7C3" w:rsidRDefault="6952A7C3" w:rsidP="6952A7C3">
      <w:pPr>
        <w:spacing w:after="0" w:line="240" w:lineRule="auto"/>
        <w:rPr>
          <w:rFonts w:eastAsia="Times New Roman" w:cs="Segoe UI"/>
          <w:color w:val="000000" w:themeColor="text1"/>
          <w:sz w:val="22"/>
          <w:szCs w:val="22"/>
        </w:rPr>
      </w:pPr>
    </w:p>
    <w:p w14:paraId="3BD657A4" w14:textId="77777777" w:rsidR="005405F0" w:rsidRDefault="005405F0" w:rsidP="5EF294CC">
      <w:pPr>
        <w:spacing w:after="0" w:line="240" w:lineRule="auto"/>
        <w:rPr>
          <w:rFonts w:eastAsia="Times New Roman" w:cs="Segoe UI"/>
          <w:color w:val="000000" w:themeColor="text1"/>
          <w:sz w:val="22"/>
          <w:szCs w:val="22"/>
        </w:rPr>
      </w:pPr>
    </w:p>
    <w:p w14:paraId="3D0BC056" w14:textId="77777777" w:rsidR="00C0382E" w:rsidRDefault="00C0382E" w:rsidP="5EF294CC">
      <w:pPr>
        <w:spacing w:after="0" w:line="240" w:lineRule="auto"/>
        <w:rPr>
          <w:rFonts w:eastAsia="Times New Roman" w:cs="Segoe UI"/>
          <w:color w:val="000000" w:themeColor="text1"/>
          <w:sz w:val="22"/>
          <w:szCs w:val="22"/>
        </w:rPr>
      </w:pPr>
    </w:p>
    <w:p w14:paraId="2273E927" w14:textId="77777777" w:rsidR="00C0382E" w:rsidRDefault="00C0382E" w:rsidP="5EF294CC">
      <w:pPr>
        <w:spacing w:after="0" w:line="240" w:lineRule="auto"/>
        <w:rPr>
          <w:rFonts w:eastAsia="Times New Roman" w:cs="Segoe UI"/>
          <w:color w:val="000000" w:themeColor="text1"/>
          <w:sz w:val="22"/>
          <w:szCs w:val="22"/>
        </w:rPr>
      </w:pPr>
    </w:p>
    <w:p w14:paraId="2211495B" w14:textId="77777777" w:rsidR="00C0382E" w:rsidRDefault="00C0382E" w:rsidP="5EF294CC">
      <w:pPr>
        <w:spacing w:after="0" w:line="240" w:lineRule="auto"/>
        <w:rPr>
          <w:rFonts w:eastAsia="Times New Roman" w:cs="Segoe UI"/>
          <w:color w:val="000000" w:themeColor="text1"/>
          <w:sz w:val="22"/>
          <w:szCs w:val="22"/>
        </w:rPr>
      </w:pPr>
    </w:p>
    <w:p w14:paraId="5F4182A8" w14:textId="540C21C6" w:rsidR="004D24AF" w:rsidRDefault="004D24AF" w:rsidP="004D24AF">
      <w:pPr>
        <w:pStyle w:val="Heading1"/>
        <w:spacing w:before="0" w:after="80"/>
      </w:pPr>
      <w:bookmarkStart w:id="19" w:name="_Toc238561218"/>
      <w:r>
        <w:lastRenderedPageBreak/>
        <w:t>Appendix</w:t>
      </w:r>
      <w:r w:rsidR="00C22811">
        <w:t xml:space="preserve"> </w:t>
      </w:r>
      <w:r w:rsidR="005405F0">
        <w:t>A</w:t>
      </w:r>
      <w:r>
        <w:t>: FY 202</w:t>
      </w:r>
      <w:r w:rsidR="00C9689C">
        <w:t>7</w:t>
      </w:r>
      <w:r>
        <w:t xml:space="preserve"> District Risk Score </w:t>
      </w:r>
      <w:r w:rsidRPr="5EF294CC">
        <w:rPr>
          <w:i/>
          <w:iCs/>
        </w:rPr>
        <w:t>Example</w:t>
      </w:r>
      <w:bookmarkEnd w:id="19"/>
      <w:r>
        <w:t xml:space="preserve"> </w:t>
      </w:r>
    </w:p>
    <w:p w14:paraId="2D4C7236" w14:textId="77777777" w:rsidR="004D24AF" w:rsidRPr="004D24AF" w:rsidRDefault="004D24AF" w:rsidP="5EF294CC">
      <w:pPr>
        <w:spacing w:after="0" w:line="240" w:lineRule="auto"/>
        <w:rPr>
          <w:rFonts w:eastAsia="Times New Roman" w:cs="Segoe UI"/>
          <w:color w:val="000000" w:themeColor="text1"/>
          <w:sz w:val="22"/>
          <w:szCs w:val="22"/>
        </w:rPr>
      </w:pPr>
    </w:p>
    <w:tbl>
      <w:tblPr>
        <w:tblStyle w:val="GridTable4-Accent1"/>
        <w:tblW w:w="1026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E0" w:firstRow="1" w:lastRow="1" w:firstColumn="1" w:lastColumn="0" w:noHBand="0" w:noVBand="1"/>
      </w:tblPr>
      <w:tblGrid>
        <w:gridCol w:w="5940"/>
        <w:gridCol w:w="2340"/>
        <w:gridCol w:w="1980"/>
      </w:tblGrid>
      <w:tr w:rsidR="004D24AF" w:rsidRPr="004D24AF" w14:paraId="6B143838" w14:textId="77777777" w:rsidTr="3D90721D">
        <w:trPr>
          <w:cnfStyle w:val="100000000000" w:firstRow="1" w:lastRow="0" w:firstColumn="0" w:lastColumn="0" w:oddVBand="0" w:evenVBand="0" w:oddHBand="0"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5940" w:type="dxa"/>
            <w:tcBorders>
              <w:top w:val="single" w:sz="12" w:space="0" w:color="auto"/>
              <w:left w:val="single" w:sz="12" w:space="0" w:color="auto"/>
              <w:bottom w:val="single" w:sz="4" w:space="0" w:color="auto"/>
            </w:tcBorders>
            <w:vAlign w:val="center"/>
            <w:hideMark/>
          </w:tcPr>
          <w:p w14:paraId="68C659BB" w14:textId="77777777" w:rsidR="004D24AF" w:rsidRPr="004D24AF" w:rsidRDefault="004D24AF" w:rsidP="5EF294CC">
            <w:pPr>
              <w:spacing w:after="0"/>
              <w:rPr>
                <w:rFonts w:eastAsia="Times New Roman" w:cs="Segoe UI"/>
                <w:color w:val="000000" w:themeColor="text1"/>
                <w:sz w:val="22"/>
                <w:szCs w:val="22"/>
              </w:rPr>
            </w:pPr>
            <w:r w:rsidRPr="5EF294CC">
              <w:rPr>
                <w:rFonts w:eastAsia="Times New Roman" w:cs="Segoe UI"/>
                <w:color w:val="000000" w:themeColor="text1"/>
                <w:sz w:val="22"/>
                <w:szCs w:val="22"/>
              </w:rPr>
              <w:t>FACTOR (FY)</w:t>
            </w:r>
          </w:p>
        </w:tc>
        <w:tc>
          <w:tcPr>
            <w:tcW w:w="2340" w:type="dxa"/>
            <w:tcBorders>
              <w:top w:val="single" w:sz="12" w:space="0" w:color="auto"/>
              <w:bottom w:val="single" w:sz="4" w:space="0" w:color="auto"/>
            </w:tcBorders>
            <w:vAlign w:val="center"/>
            <w:hideMark/>
          </w:tcPr>
          <w:p w14:paraId="1C6D4C27" w14:textId="77777777" w:rsidR="004D24AF" w:rsidRPr="004D24AF" w:rsidRDefault="004D24AF" w:rsidP="5EF294CC">
            <w:pPr>
              <w:spacing w:after="0"/>
              <w:cnfStyle w:val="100000000000" w:firstRow="1" w:lastRow="0" w:firstColumn="0" w:lastColumn="0" w:oddVBand="0" w:evenVBand="0" w:oddHBand="0"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District Result</w:t>
            </w:r>
          </w:p>
        </w:tc>
        <w:tc>
          <w:tcPr>
            <w:tcW w:w="1980" w:type="dxa"/>
            <w:tcBorders>
              <w:top w:val="single" w:sz="12" w:space="0" w:color="auto"/>
              <w:bottom w:val="single" w:sz="4" w:space="0" w:color="auto"/>
              <w:right w:val="single" w:sz="12" w:space="0" w:color="auto"/>
            </w:tcBorders>
            <w:vAlign w:val="center"/>
            <w:hideMark/>
          </w:tcPr>
          <w:p w14:paraId="280F3941" w14:textId="77777777" w:rsidR="004D24AF" w:rsidRPr="004D24AF" w:rsidRDefault="004D24AF" w:rsidP="5EF294CC">
            <w:pPr>
              <w:spacing w:after="0"/>
              <w:cnfStyle w:val="100000000000" w:firstRow="1" w:lastRow="0" w:firstColumn="0" w:lastColumn="0" w:oddVBand="0" w:evenVBand="0" w:oddHBand="0"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District Score</w:t>
            </w:r>
          </w:p>
        </w:tc>
      </w:tr>
      <w:tr w:rsidR="004D24AF" w:rsidRPr="004D24AF" w14:paraId="618656C6" w14:textId="77777777" w:rsidTr="3D90721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auto"/>
              <w:left w:val="single" w:sz="12" w:space="0" w:color="auto"/>
              <w:bottom w:val="single" w:sz="4" w:space="0" w:color="auto"/>
              <w:right w:val="single" w:sz="4" w:space="0" w:color="auto"/>
            </w:tcBorders>
            <w:vAlign w:val="center"/>
            <w:hideMark/>
          </w:tcPr>
          <w:p w14:paraId="01BDB2BC" w14:textId="77777777" w:rsidR="004D24AF" w:rsidRPr="004D24AF" w:rsidRDefault="004D24AF" w:rsidP="5EF294CC">
            <w:pPr>
              <w:spacing w:after="0"/>
              <w:rPr>
                <w:rFonts w:eastAsia="Times New Roman" w:cs="Segoe UI"/>
                <w:color w:val="000000" w:themeColor="text1"/>
                <w:sz w:val="22"/>
                <w:szCs w:val="22"/>
              </w:rPr>
            </w:pPr>
            <w:r w:rsidRPr="5EF294CC">
              <w:rPr>
                <w:rFonts w:eastAsia="Times New Roman" w:cs="Segoe UI"/>
                <w:color w:val="000000" w:themeColor="text1"/>
                <w:sz w:val="22"/>
                <w:szCs w:val="22"/>
              </w:rPr>
              <w:t>Current MOE Result (2024)</w:t>
            </w:r>
          </w:p>
        </w:tc>
        <w:tc>
          <w:tcPr>
            <w:tcW w:w="2340" w:type="dxa"/>
            <w:tcBorders>
              <w:top w:val="single" w:sz="4" w:space="0" w:color="auto"/>
              <w:left w:val="single" w:sz="4" w:space="0" w:color="auto"/>
              <w:bottom w:val="single" w:sz="4" w:space="0" w:color="auto"/>
              <w:right w:val="single" w:sz="4" w:space="0" w:color="auto"/>
            </w:tcBorders>
            <w:vAlign w:val="center"/>
            <w:hideMark/>
          </w:tcPr>
          <w:p w14:paraId="657E8979" w14:textId="77777777" w:rsidR="004D24AF" w:rsidRPr="004D24AF" w:rsidRDefault="004D24AF" w:rsidP="5EF294CC">
            <w:pPr>
              <w:spacing w:after="0"/>
              <w:cnfStyle w:val="000000100000" w:firstRow="0" w:lastRow="0" w:firstColumn="0" w:lastColumn="0" w:oddVBand="0" w:evenVBand="0" w:oddHBand="1"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Met</w:t>
            </w:r>
          </w:p>
        </w:tc>
        <w:tc>
          <w:tcPr>
            <w:tcW w:w="1980" w:type="dxa"/>
            <w:tcBorders>
              <w:top w:val="single" w:sz="4" w:space="0" w:color="auto"/>
              <w:left w:val="single" w:sz="4" w:space="0" w:color="auto"/>
              <w:bottom w:val="single" w:sz="4" w:space="0" w:color="auto"/>
              <w:right w:val="single" w:sz="12" w:space="0" w:color="auto"/>
            </w:tcBorders>
            <w:vAlign w:val="center"/>
            <w:hideMark/>
          </w:tcPr>
          <w:p w14:paraId="426CC31F" w14:textId="77777777" w:rsidR="004D24AF" w:rsidRPr="004D24AF" w:rsidRDefault="004D24AF" w:rsidP="5EF294CC">
            <w:pPr>
              <w:spacing w:after="0"/>
              <w:cnfStyle w:val="000000100000" w:firstRow="0" w:lastRow="0" w:firstColumn="0" w:lastColumn="0" w:oddVBand="0" w:evenVBand="0" w:oddHBand="1"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0</w:t>
            </w:r>
          </w:p>
        </w:tc>
      </w:tr>
      <w:tr w:rsidR="004D24AF" w:rsidRPr="004D24AF" w14:paraId="479261FD" w14:textId="77777777" w:rsidTr="3D90721D">
        <w:trPr>
          <w:trHeight w:val="432"/>
          <w:jc w:val="center"/>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auto"/>
              <w:left w:val="single" w:sz="12" w:space="0" w:color="auto"/>
              <w:bottom w:val="single" w:sz="4" w:space="0" w:color="auto"/>
              <w:right w:val="single" w:sz="4" w:space="0" w:color="auto"/>
            </w:tcBorders>
            <w:vAlign w:val="center"/>
            <w:hideMark/>
          </w:tcPr>
          <w:p w14:paraId="79BBD3F3" w14:textId="77777777" w:rsidR="004D24AF" w:rsidRPr="004D24AF" w:rsidRDefault="004D24AF" w:rsidP="5EF294CC">
            <w:pPr>
              <w:spacing w:after="0"/>
              <w:rPr>
                <w:rFonts w:eastAsia="Times New Roman" w:cs="Segoe UI"/>
                <w:color w:val="000000" w:themeColor="text1"/>
                <w:sz w:val="22"/>
                <w:szCs w:val="22"/>
              </w:rPr>
            </w:pPr>
            <w:r w:rsidRPr="5EF294CC">
              <w:rPr>
                <w:rFonts w:eastAsia="Times New Roman" w:cs="Segoe UI"/>
                <w:color w:val="000000" w:themeColor="text1"/>
                <w:sz w:val="22"/>
                <w:szCs w:val="22"/>
              </w:rPr>
              <w:t>Timely &amp; Finalized Assurances and LEA Agreement (2024 and 2025)</w:t>
            </w:r>
          </w:p>
        </w:tc>
        <w:tc>
          <w:tcPr>
            <w:tcW w:w="2340" w:type="dxa"/>
            <w:tcBorders>
              <w:top w:val="single" w:sz="4" w:space="0" w:color="auto"/>
              <w:left w:val="single" w:sz="4" w:space="0" w:color="auto"/>
              <w:bottom w:val="single" w:sz="4" w:space="0" w:color="auto"/>
              <w:right w:val="single" w:sz="4" w:space="0" w:color="auto"/>
            </w:tcBorders>
            <w:vAlign w:val="center"/>
            <w:hideMark/>
          </w:tcPr>
          <w:p w14:paraId="35BF124E" w14:textId="77777777" w:rsidR="004D24AF" w:rsidRPr="004D24AF" w:rsidRDefault="004D24AF" w:rsidP="5EF294CC">
            <w:pPr>
              <w:spacing w:after="0"/>
              <w:cnfStyle w:val="000000000000" w:firstRow="0" w:lastRow="0" w:firstColumn="0" w:lastColumn="0" w:oddVBand="0" w:evenVBand="0" w:oddHBand="0"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Yes</w:t>
            </w:r>
          </w:p>
        </w:tc>
        <w:tc>
          <w:tcPr>
            <w:tcW w:w="1980" w:type="dxa"/>
            <w:tcBorders>
              <w:top w:val="single" w:sz="4" w:space="0" w:color="auto"/>
              <w:left w:val="single" w:sz="4" w:space="0" w:color="auto"/>
              <w:bottom w:val="single" w:sz="4" w:space="0" w:color="auto"/>
              <w:right w:val="single" w:sz="12" w:space="0" w:color="auto"/>
            </w:tcBorders>
            <w:vAlign w:val="center"/>
            <w:hideMark/>
          </w:tcPr>
          <w:p w14:paraId="7E2E0C14" w14:textId="77777777" w:rsidR="004D24AF" w:rsidRPr="004D24AF" w:rsidRDefault="004D24AF" w:rsidP="5EF294CC">
            <w:pPr>
              <w:spacing w:after="0"/>
              <w:cnfStyle w:val="000000000000" w:firstRow="0" w:lastRow="0" w:firstColumn="0" w:lastColumn="0" w:oddVBand="0" w:evenVBand="0" w:oddHBand="0"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0</w:t>
            </w:r>
          </w:p>
        </w:tc>
      </w:tr>
      <w:tr w:rsidR="004D24AF" w:rsidRPr="004D24AF" w14:paraId="23E0152D" w14:textId="77777777" w:rsidTr="3D90721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auto"/>
              <w:left w:val="single" w:sz="12" w:space="0" w:color="auto"/>
              <w:bottom w:val="single" w:sz="4" w:space="0" w:color="auto"/>
              <w:right w:val="single" w:sz="4" w:space="0" w:color="auto"/>
            </w:tcBorders>
            <w:vAlign w:val="center"/>
            <w:hideMark/>
          </w:tcPr>
          <w:p w14:paraId="55C5F12A" w14:textId="77777777" w:rsidR="004D24AF" w:rsidRPr="004D24AF" w:rsidRDefault="004D24AF" w:rsidP="5EF294CC">
            <w:pPr>
              <w:spacing w:after="0"/>
              <w:rPr>
                <w:rFonts w:eastAsia="Times New Roman" w:cs="Segoe UI"/>
                <w:color w:val="000000" w:themeColor="text1"/>
                <w:sz w:val="22"/>
                <w:szCs w:val="22"/>
              </w:rPr>
            </w:pPr>
            <w:r w:rsidRPr="5EF294CC">
              <w:rPr>
                <w:rFonts w:eastAsia="Times New Roman" w:cs="Segoe UI"/>
                <w:color w:val="000000" w:themeColor="text1"/>
                <w:sz w:val="22"/>
                <w:szCs w:val="22"/>
              </w:rPr>
              <w:t>Size of Award (25-26 Allocation)</w:t>
            </w:r>
          </w:p>
        </w:tc>
        <w:tc>
          <w:tcPr>
            <w:tcW w:w="2340" w:type="dxa"/>
            <w:tcBorders>
              <w:top w:val="single" w:sz="4" w:space="0" w:color="auto"/>
              <w:left w:val="single" w:sz="4" w:space="0" w:color="auto"/>
              <w:bottom w:val="single" w:sz="4" w:space="0" w:color="auto"/>
              <w:right w:val="single" w:sz="4" w:space="0" w:color="auto"/>
            </w:tcBorders>
            <w:vAlign w:val="center"/>
            <w:hideMark/>
          </w:tcPr>
          <w:p w14:paraId="25C1B253" w14:textId="77777777" w:rsidR="004D24AF" w:rsidRPr="004D24AF" w:rsidRDefault="004D24AF" w:rsidP="5EF294CC">
            <w:pPr>
              <w:spacing w:after="0"/>
              <w:cnfStyle w:val="000000100000" w:firstRow="0" w:lastRow="0" w:firstColumn="0" w:lastColumn="0" w:oddVBand="0" w:evenVBand="0" w:oddHBand="1"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&lt;$100K</w:t>
            </w:r>
          </w:p>
        </w:tc>
        <w:tc>
          <w:tcPr>
            <w:tcW w:w="1980" w:type="dxa"/>
            <w:tcBorders>
              <w:top w:val="single" w:sz="4" w:space="0" w:color="auto"/>
              <w:left w:val="single" w:sz="4" w:space="0" w:color="auto"/>
              <w:bottom w:val="single" w:sz="4" w:space="0" w:color="auto"/>
              <w:right w:val="single" w:sz="12" w:space="0" w:color="auto"/>
            </w:tcBorders>
            <w:vAlign w:val="center"/>
            <w:hideMark/>
          </w:tcPr>
          <w:p w14:paraId="12E2DA5E" w14:textId="77777777" w:rsidR="004D24AF" w:rsidRPr="004D24AF" w:rsidRDefault="004D24AF" w:rsidP="5EF294CC">
            <w:pPr>
              <w:spacing w:after="0"/>
              <w:cnfStyle w:val="000000100000" w:firstRow="0" w:lastRow="0" w:firstColumn="0" w:lastColumn="0" w:oddVBand="0" w:evenVBand="0" w:oddHBand="1"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0</w:t>
            </w:r>
          </w:p>
        </w:tc>
      </w:tr>
      <w:tr w:rsidR="004D24AF" w:rsidRPr="004D24AF" w14:paraId="20ACFD27" w14:textId="77777777" w:rsidTr="3D90721D">
        <w:trPr>
          <w:trHeight w:val="432"/>
          <w:jc w:val="center"/>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auto"/>
              <w:left w:val="single" w:sz="12" w:space="0" w:color="auto"/>
              <w:bottom w:val="single" w:sz="4" w:space="0" w:color="auto"/>
              <w:right w:val="single" w:sz="4" w:space="0" w:color="auto"/>
            </w:tcBorders>
            <w:vAlign w:val="center"/>
            <w:hideMark/>
          </w:tcPr>
          <w:p w14:paraId="66992EB2" w14:textId="77777777" w:rsidR="004D24AF" w:rsidRPr="004D24AF" w:rsidRDefault="004D24AF" w:rsidP="5EF294CC">
            <w:pPr>
              <w:spacing w:after="0"/>
              <w:rPr>
                <w:rFonts w:eastAsia="Times New Roman" w:cs="Segoe UI"/>
                <w:color w:val="000000" w:themeColor="text1"/>
                <w:sz w:val="22"/>
                <w:szCs w:val="22"/>
              </w:rPr>
            </w:pPr>
            <w:r w:rsidRPr="5EF294CC">
              <w:rPr>
                <w:rFonts w:eastAsia="Times New Roman" w:cs="Segoe UI"/>
                <w:color w:val="000000" w:themeColor="text1"/>
                <w:sz w:val="22"/>
                <w:szCs w:val="22"/>
              </w:rPr>
              <w:t>Change in SPED Director (2025-26)</w:t>
            </w:r>
          </w:p>
        </w:tc>
        <w:tc>
          <w:tcPr>
            <w:tcW w:w="2340" w:type="dxa"/>
            <w:tcBorders>
              <w:top w:val="single" w:sz="4" w:space="0" w:color="auto"/>
              <w:left w:val="single" w:sz="4" w:space="0" w:color="auto"/>
              <w:bottom w:val="single" w:sz="4" w:space="0" w:color="auto"/>
              <w:right w:val="single" w:sz="4" w:space="0" w:color="auto"/>
            </w:tcBorders>
            <w:vAlign w:val="center"/>
            <w:hideMark/>
          </w:tcPr>
          <w:p w14:paraId="1DA14A38" w14:textId="77777777" w:rsidR="004D24AF" w:rsidRPr="004D24AF" w:rsidRDefault="004D24AF" w:rsidP="5EF294CC">
            <w:pPr>
              <w:spacing w:after="0"/>
              <w:cnfStyle w:val="000000000000" w:firstRow="0" w:lastRow="0" w:firstColumn="0" w:lastColumn="0" w:oddVBand="0" w:evenVBand="0" w:oddHBand="0"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No Change</w:t>
            </w:r>
          </w:p>
        </w:tc>
        <w:tc>
          <w:tcPr>
            <w:tcW w:w="1980" w:type="dxa"/>
            <w:tcBorders>
              <w:top w:val="single" w:sz="4" w:space="0" w:color="auto"/>
              <w:left w:val="single" w:sz="4" w:space="0" w:color="auto"/>
              <w:bottom w:val="single" w:sz="4" w:space="0" w:color="auto"/>
              <w:right w:val="single" w:sz="12" w:space="0" w:color="auto"/>
            </w:tcBorders>
            <w:vAlign w:val="center"/>
            <w:hideMark/>
          </w:tcPr>
          <w:p w14:paraId="4FA8FADE" w14:textId="77777777" w:rsidR="004D24AF" w:rsidRPr="004D24AF" w:rsidRDefault="004D24AF" w:rsidP="5EF294CC">
            <w:pPr>
              <w:spacing w:after="0"/>
              <w:cnfStyle w:val="000000000000" w:firstRow="0" w:lastRow="0" w:firstColumn="0" w:lastColumn="0" w:oddVBand="0" w:evenVBand="0" w:oddHBand="0"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0</w:t>
            </w:r>
          </w:p>
        </w:tc>
      </w:tr>
      <w:tr w:rsidR="004D24AF" w:rsidRPr="004D24AF" w14:paraId="48951D1C" w14:textId="77777777" w:rsidTr="3D90721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auto"/>
              <w:left w:val="single" w:sz="12" w:space="0" w:color="auto"/>
              <w:bottom w:val="single" w:sz="4" w:space="0" w:color="auto"/>
              <w:right w:val="single" w:sz="4" w:space="0" w:color="auto"/>
            </w:tcBorders>
            <w:vAlign w:val="center"/>
            <w:hideMark/>
          </w:tcPr>
          <w:p w14:paraId="2778873A" w14:textId="2F5D1F58" w:rsidR="004D24AF" w:rsidRPr="004D24AF" w:rsidRDefault="004D24AF" w:rsidP="5EF294CC">
            <w:pPr>
              <w:spacing w:after="0"/>
              <w:rPr>
                <w:rFonts w:eastAsia="Times New Roman" w:cs="Segoe UI"/>
                <w:color w:val="000000" w:themeColor="text1"/>
                <w:sz w:val="22"/>
                <w:szCs w:val="22"/>
              </w:rPr>
            </w:pPr>
            <w:r w:rsidRPr="6952A7C3">
              <w:rPr>
                <w:rFonts w:eastAsia="Times New Roman" w:cs="Segoe UI"/>
                <w:color w:val="000000" w:themeColor="text1"/>
                <w:sz w:val="22"/>
                <w:szCs w:val="22"/>
              </w:rPr>
              <w:t>Current Excess Cost Result (202</w:t>
            </w:r>
            <w:r w:rsidR="1ED21DFA" w:rsidRPr="6952A7C3">
              <w:rPr>
                <w:rFonts w:eastAsia="Times New Roman" w:cs="Segoe UI"/>
                <w:color w:val="000000" w:themeColor="text1"/>
                <w:sz w:val="22"/>
                <w:szCs w:val="22"/>
              </w:rPr>
              <w:t>5</w:t>
            </w:r>
            <w:r w:rsidRPr="6952A7C3">
              <w:rPr>
                <w:rFonts w:eastAsia="Times New Roman" w:cs="Segoe UI"/>
                <w:color w:val="000000" w:themeColor="text1"/>
                <w:sz w:val="22"/>
                <w:szCs w:val="22"/>
              </w:rPr>
              <w:t>)</w:t>
            </w:r>
          </w:p>
        </w:tc>
        <w:tc>
          <w:tcPr>
            <w:tcW w:w="2340" w:type="dxa"/>
            <w:tcBorders>
              <w:top w:val="single" w:sz="4" w:space="0" w:color="auto"/>
              <w:left w:val="single" w:sz="4" w:space="0" w:color="auto"/>
              <w:bottom w:val="single" w:sz="4" w:space="0" w:color="auto"/>
              <w:right w:val="single" w:sz="4" w:space="0" w:color="auto"/>
            </w:tcBorders>
            <w:vAlign w:val="center"/>
            <w:hideMark/>
          </w:tcPr>
          <w:p w14:paraId="55E88F8A" w14:textId="77777777" w:rsidR="004D24AF" w:rsidRPr="004D24AF" w:rsidRDefault="004D24AF" w:rsidP="5EF294CC">
            <w:pPr>
              <w:spacing w:after="0"/>
              <w:cnfStyle w:val="000000100000" w:firstRow="0" w:lastRow="0" w:firstColumn="0" w:lastColumn="0" w:oddVBand="0" w:evenVBand="0" w:oddHBand="1"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Met</w:t>
            </w:r>
          </w:p>
        </w:tc>
        <w:tc>
          <w:tcPr>
            <w:tcW w:w="1980" w:type="dxa"/>
            <w:tcBorders>
              <w:top w:val="single" w:sz="4" w:space="0" w:color="auto"/>
              <w:left w:val="single" w:sz="4" w:space="0" w:color="auto"/>
              <w:bottom w:val="single" w:sz="4" w:space="0" w:color="auto"/>
              <w:right w:val="single" w:sz="12" w:space="0" w:color="auto"/>
            </w:tcBorders>
            <w:vAlign w:val="center"/>
            <w:hideMark/>
          </w:tcPr>
          <w:p w14:paraId="55D7884F" w14:textId="77777777" w:rsidR="004D24AF" w:rsidRPr="004D24AF" w:rsidRDefault="004D24AF" w:rsidP="5EF294CC">
            <w:pPr>
              <w:spacing w:after="0"/>
              <w:cnfStyle w:val="000000100000" w:firstRow="0" w:lastRow="0" w:firstColumn="0" w:lastColumn="0" w:oddVBand="0" w:evenVBand="0" w:oddHBand="1"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0</w:t>
            </w:r>
          </w:p>
        </w:tc>
      </w:tr>
      <w:tr w:rsidR="004D24AF" w:rsidRPr="004D24AF" w14:paraId="39802EDF" w14:textId="77777777" w:rsidTr="3D90721D">
        <w:trPr>
          <w:trHeight w:val="432"/>
          <w:jc w:val="center"/>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auto"/>
              <w:left w:val="single" w:sz="12" w:space="0" w:color="auto"/>
              <w:bottom w:val="single" w:sz="4" w:space="0" w:color="auto"/>
              <w:right w:val="single" w:sz="4" w:space="0" w:color="auto"/>
            </w:tcBorders>
            <w:vAlign w:val="center"/>
            <w:hideMark/>
          </w:tcPr>
          <w:p w14:paraId="1B8A8FEB" w14:textId="07FD7F02" w:rsidR="004D24AF" w:rsidRPr="004D24AF" w:rsidRDefault="004D24AF" w:rsidP="5EF294CC">
            <w:pPr>
              <w:spacing w:after="0"/>
              <w:rPr>
                <w:rFonts w:eastAsia="Times New Roman" w:cs="Segoe UI"/>
                <w:color w:val="000000" w:themeColor="text1"/>
                <w:sz w:val="22"/>
                <w:szCs w:val="22"/>
              </w:rPr>
            </w:pPr>
            <w:r w:rsidRPr="6952A7C3">
              <w:rPr>
                <w:rFonts w:eastAsia="Times New Roman" w:cs="Segoe UI"/>
                <w:color w:val="000000" w:themeColor="text1"/>
                <w:sz w:val="22"/>
                <w:szCs w:val="22"/>
              </w:rPr>
              <w:t>Special Education Identification Rate (202</w:t>
            </w:r>
            <w:r w:rsidR="025600AF" w:rsidRPr="6952A7C3">
              <w:rPr>
                <w:rFonts w:eastAsia="Times New Roman" w:cs="Segoe UI"/>
                <w:color w:val="000000" w:themeColor="text1"/>
                <w:sz w:val="22"/>
                <w:szCs w:val="22"/>
              </w:rPr>
              <w:t>6</w:t>
            </w:r>
            <w:r w:rsidRPr="6952A7C3">
              <w:rPr>
                <w:rFonts w:eastAsia="Times New Roman" w:cs="Segoe UI"/>
                <w:color w:val="000000" w:themeColor="text1"/>
                <w:sz w:val="22"/>
                <w:szCs w:val="22"/>
              </w:rPr>
              <w:t>)</w:t>
            </w:r>
          </w:p>
        </w:tc>
        <w:tc>
          <w:tcPr>
            <w:tcW w:w="2340" w:type="dxa"/>
            <w:tcBorders>
              <w:top w:val="single" w:sz="4" w:space="0" w:color="auto"/>
              <w:left w:val="single" w:sz="4" w:space="0" w:color="auto"/>
              <w:bottom w:val="single" w:sz="4" w:space="0" w:color="auto"/>
              <w:right w:val="single" w:sz="4" w:space="0" w:color="auto"/>
            </w:tcBorders>
            <w:vAlign w:val="center"/>
            <w:hideMark/>
          </w:tcPr>
          <w:p w14:paraId="2DBFEE8F" w14:textId="77777777" w:rsidR="004D24AF" w:rsidRPr="004D24AF" w:rsidRDefault="004D24AF" w:rsidP="5EF294CC">
            <w:pPr>
              <w:spacing w:after="0"/>
              <w:cnfStyle w:val="000000000000" w:firstRow="0" w:lastRow="0" w:firstColumn="0" w:lastColumn="0" w:oddVBand="0" w:evenVBand="0" w:oddHBand="0"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29.28%</w:t>
            </w:r>
          </w:p>
        </w:tc>
        <w:tc>
          <w:tcPr>
            <w:tcW w:w="1980" w:type="dxa"/>
            <w:tcBorders>
              <w:top w:val="single" w:sz="4" w:space="0" w:color="auto"/>
              <w:left w:val="single" w:sz="4" w:space="0" w:color="auto"/>
              <w:bottom w:val="single" w:sz="4" w:space="0" w:color="auto"/>
              <w:right w:val="single" w:sz="12" w:space="0" w:color="auto"/>
            </w:tcBorders>
            <w:vAlign w:val="center"/>
            <w:hideMark/>
          </w:tcPr>
          <w:p w14:paraId="372FA2AA" w14:textId="77777777" w:rsidR="004D24AF" w:rsidRPr="004D24AF" w:rsidRDefault="004D24AF" w:rsidP="5EF294CC">
            <w:pPr>
              <w:spacing w:after="0"/>
              <w:cnfStyle w:val="000000000000" w:firstRow="0" w:lastRow="0" w:firstColumn="0" w:lastColumn="0" w:oddVBand="0" w:evenVBand="0" w:oddHBand="0"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0</w:t>
            </w:r>
          </w:p>
        </w:tc>
      </w:tr>
      <w:tr w:rsidR="004D24AF" w:rsidRPr="004D24AF" w14:paraId="6CA064F4" w14:textId="77777777" w:rsidTr="3D90721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auto"/>
              <w:left w:val="single" w:sz="12" w:space="0" w:color="auto"/>
              <w:bottom w:val="single" w:sz="4" w:space="0" w:color="auto"/>
              <w:right w:val="single" w:sz="4" w:space="0" w:color="auto"/>
            </w:tcBorders>
            <w:vAlign w:val="center"/>
            <w:hideMark/>
          </w:tcPr>
          <w:p w14:paraId="0592F60F" w14:textId="348F0145" w:rsidR="004D24AF" w:rsidRPr="004D24AF" w:rsidRDefault="004D24AF" w:rsidP="5EF294CC">
            <w:pPr>
              <w:spacing w:after="0"/>
              <w:rPr>
                <w:rFonts w:eastAsia="Times New Roman" w:cs="Segoe UI"/>
                <w:color w:val="000000" w:themeColor="text1"/>
                <w:sz w:val="22"/>
                <w:szCs w:val="22"/>
              </w:rPr>
            </w:pPr>
            <w:r w:rsidRPr="6952A7C3">
              <w:rPr>
                <w:rFonts w:eastAsia="Times New Roman" w:cs="Segoe UI"/>
                <w:color w:val="000000" w:themeColor="text1"/>
                <w:sz w:val="22"/>
                <w:szCs w:val="22"/>
              </w:rPr>
              <w:t>Recent Audit Findings (202</w:t>
            </w:r>
            <w:r w:rsidR="462A8E3F" w:rsidRPr="6952A7C3">
              <w:rPr>
                <w:rFonts w:eastAsia="Times New Roman" w:cs="Segoe UI"/>
                <w:color w:val="000000" w:themeColor="text1"/>
                <w:sz w:val="22"/>
                <w:szCs w:val="22"/>
              </w:rPr>
              <w:t>5</w:t>
            </w:r>
            <w:r w:rsidRPr="6952A7C3">
              <w:rPr>
                <w:rFonts w:eastAsia="Times New Roman" w:cs="Segoe UI"/>
                <w:color w:val="000000" w:themeColor="text1"/>
                <w:sz w:val="22"/>
                <w:szCs w:val="22"/>
              </w:rPr>
              <w:t>-202</w:t>
            </w:r>
            <w:r w:rsidR="4C84CBC5" w:rsidRPr="6952A7C3">
              <w:rPr>
                <w:rFonts w:eastAsia="Times New Roman" w:cs="Segoe UI"/>
                <w:color w:val="000000" w:themeColor="text1"/>
                <w:sz w:val="22"/>
                <w:szCs w:val="22"/>
              </w:rPr>
              <w:t>6</w:t>
            </w:r>
            <w:r w:rsidRPr="6952A7C3">
              <w:rPr>
                <w:rFonts w:eastAsia="Times New Roman" w:cs="Segoe UI"/>
                <w:color w:val="000000" w:themeColor="text1"/>
                <w:sz w:val="22"/>
                <w:szCs w:val="22"/>
              </w:rPr>
              <w:t>)</w:t>
            </w:r>
          </w:p>
        </w:tc>
        <w:tc>
          <w:tcPr>
            <w:tcW w:w="2340" w:type="dxa"/>
            <w:tcBorders>
              <w:top w:val="single" w:sz="4" w:space="0" w:color="auto"/>
              <w:left w:val="single" w:sz="4" w:space="0" w:color="auto"/>
              <w:bottom w:val="single" w:sz="4" w:space="0" w:color="auto"/>
              <w:right w:val="single" w:sz="4" w:space="0" w:color="auto"/>
            </w:tcBorders>
            <w:vAlign w:val="center"/>
            <w:hideMark/>
          </w:tcPr>
          <w:p w14:paraId="71F65724" w14:textId="77777777" w:rsidR="004D24AF" w:rsidRPr="004D24AF" w:rsidRDefault="004D24AF" w:rsidP="5EF294CC">
            <w:pPr>
              <w:spacing w:after="0"/>
              <w:cnfStyle w:val="000000100000" w:firstRow="0" w:lastRow="0" w:firstColumn="0" w:lastColumn="0" w:oddVBand="0" w:evenVBand="0" w:oddHBand="1"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No Findings</w:t>
            </w:r>
          </w:p>
        </w:tc>
        <w:tc>
          <w:tcPr>
            <w:tcW w:w="1980" w:type="dxa"/>
            <w:tcBorders>
              <w:top w:val="single" w:sz="4" w:space="0" w:color="auto"/>
              <w:left w:val="single" w:sz="4" w:space="0" w:color="auto"/>
              <w:bottom w:val="single" w:sz="4" w:space="0" w:color="auto"/>
              <w:right w:val="single" w:sz="12" w:space="0" w:color="auto"/>
            </w:tcBorders>
            <w:vAlign w:val="center"/>
            <w:hideMark/>
          </w:tcPr>
          <w:p w14:paraId="1279FB0A" w14:textId="77777777" w:rsidR="004D24AF" w:rsidRPr="004D24AF" w:rsidRDefault="004D24AF" w:rsidP="5EF294CC">
            <w:pPr>
              <w:spacing w:after="0"/>
              <w:cnfStyle w:val="000000100000" w:firstRow="0" w:lastRow="0" w:firstColumn="0" w:lastColumn="0" w:oddVBand="0" w:evenVBand="0" w:oddHBand="1"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0</w:t>
            </w:r>
          </w:p>
        </w:tc>
      </w:tr>
      <w:tr w:rsidR="004D24AF" w:rsidRPr="004D24AF" w14:paraId="441DA394" w14:textId="77777777" w:rsidTr="3D90721D">
        <w:trPr>
          <w:trHeight w:val="432"/>
          <w:jc w:val="center"/>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auto"/>
              <w:left w:val="single" w:sz="12" w:space="0" w:color="auto"/>
              <w:bottom w:val="single" w:sz="4" w:space="0" w:color="auto"/>
              <w:right w:val="single" w:sz="4" w:space="0" w:color="auto"/>
            </w:tcBorders>
            <w:vAlign w:val="center"/>
            <w:hideMark/>
          </w:tcPr>
          <w:p w14:paraId="604DD8ED" w14:textId="16C14AFC" w:rsidR="004D24AF" w:rsidRPr="004D24AF" w:rsidRDefault="004D24AF" w:rsidP="5EF294CC">
            <w:pPr>
              <w:spacing w:after="0"/>
              <w:rPr>
                <w:rFonts w:eastAsia="Times New Roman" w:cs="Segoe UI"/>
                <w:color w:val="000000" w:themeColor="text1"/>
                <w:sz w:val="22"/>
                <w:szCs w:val="22"/>
              </w:rPr>
            </w:pPr>
            <w:r w:rsidRPr="6952A7C3">
              <w:rPr>
                <w:rFonts w:eastAsia="Times New Roman" w:cs="Segoe UI"/>
                <w:color w:val="000000" w:themeColor="text1"/>
                <w:sz w:val="22"/>
                <w:szCs w:val="22"/>
              </w:rPr>
              <w:t>Special District Design (202</w:t>
            </w:r>
            <w:r w:rsidR="64EC2F65" w:rsidRPr="6952A7C3">
              <w:rPr>
                <w:rFonts w:eastAsia="Times New Roman" w:cs="Segoe UI"/>
                <w:color w:val="000000" w:themeColor="text1"/>
                <w:sz w:val="22"/>
                <w:szCs w:val="22"/>
              </w:rPr>
              <w:t>6</w:t>
            </w:r>
            <w:r w:rsidRPr="6952A7C3">
              <w:rPr>
                <w:rFonts w:eastAsia="Times New Roman" w:cs="Segoe UI"/>
                <w:color w:val="000000" w:themeColor="text1"/>
                <w:sz w:val="22"/>
                <w:szCs w:val="22"/>
              </w:rPr>
              <w:t>)</w:t>
            </w:r>
          </w:p>
        </w:tc>
        <w:tc>
          <w:tcPr>
            <w:tcW w:w="2340" w:type="dxa"/>
            <w:tcBorders>
              <w:top w:val="single" w:sz="4" w:space="0" w:color="auto"/>
              <w:left w:val="single" w:sz="4" w:space="0" w:color="auto"/>
              <w:bottom w:val="single" w:sz="4" w:space="0" w:color="auto"/>
              <w:right w:val="single" w:sz="4" w:space="0" w:color="auto"/>
            </w:tcBorders>
            <w:vAlign w:val="center"/>
            <w:hideMark/>
          </w:tcPr>
          <w:p w14:paraId="2587F8B5" w14:textId="77777777" w:rsidR="004D24AF" w:rsidRPr="004D24AF" w:rsidRDefault="004D24AF" w:rsidP="5EF294CC">
            <w:pPr>
              <w:spacing w:after="0"/>
              <w:cnfStyle w:val="000000000000" w:firstRow="0" w:lastRow="0" w:firstColumn="0" w:lastColumn="0" w:oddVBand="0" w:evenVBand="0" w:oddHBand="0"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Charter</w:t>
            </w:r>
          </w:p>
        </w:tc>
        <w:tc>
          <w:tcPr>
            <w:tcW w:w="1980" w:type="dxa"/>
            <w:tcBorders>
              <w:top w:val="single" w:sz="4" w:space="0" w:color="auto"/>
              <w:left w:val="single" w:sz="4" w:space="0" w:color="auto"/>
              <w:bottom w:val="single" w:sz="4" w:space="0" w:color="auto"/>
              <w:right w:val="single" w:sz="12" w:space="0" w:color="auto"/>
            </w:tcBorders>
            <w:vAlign w:val="center"/>
            <w:hideMark/>
          </w:tcPr>
          <w:p w14:paraId="6C5CEDDA" w14:textId="2947FAD4" w:rsidR="004D24AF" w:rsidRPr="004D24AF" w:rsidRDefault="00C2197A" w:rsidP="5EF294CC">
            <w:pPr>
              <w:spacing w:after="0"/>
              <w:cnfStyle w:val="000000000000" w:firstRow="0" w:lastRow="0" w:firstColumn="0" w:lastColumn="0" w:oddVBand="0" w:evenVBand="0" w:oddHBand="0" w:evenHBand="0" w:firstRowFirstColumn="0" w:firstRowLastColumn="0" w:lastRowFirstColumn="0" w:lastRowLastColumn="0"/>
              <w:rPr>
                <w:rFonts w:eastAsia="Times New Roman" w:cs="Segoe UI"/>
                <w:color w:val="000000" w:themeColor="text1"/>
                <w:sz w:val="22"/>
                <w:szCs w:val="22"/>
              </w:rPr>
            </w:pPr>
            <w:r>
              <w:rPr>
                <w:rFonts w:eastAsia="Times New Roman" w:cs="Segoe UI"/>
                <w:color w:val="000000" w:themeColor="text1"/>
                <w:sz w:val="22"/>
                <w:szCs w:val="22"/>
              </w:rPr>
              <w:t>2</w:t>
            </w:r>
          </w:p>
        </w:tc>
      </w:tr>
      <w:tr w:rsidR="004D24AF" w:rsidRPr="004D24AF" w14:paraId="3282848E" w14:textId="77777777" w:rsidTr="3D90721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auto"/>
              <w:left w:val="single" w:sz="12" w:space="0" w:color="auto"/>
              <w:bottom w:val="single" w:sz="4" w:space="0" w:color="auto"/>
              <w:right w:val="single" w:sz="4" w:space="0" w:color="auto"/>
            </w:tcBorders>
            <w:vAlign w:val="center"/>
            <w:hideMark/>
          </w:tcPr>
          <w:p w14:paraId="40194772" w14:textId="21960523" w:rsidR="004D24AF" w:rsidRPr="004D24AF" w:rsidRDefault="004D24AF" w:rsidP="5EF294CC">
            <w:pPr>
              <w:spacing w:after="0"/>
              <w:rPr>
                <w:rFonts w:eastAsia="Times New Roman" w:cs="Segoe UI"/>
                <w:color w:val="000000" w:themeColor="text1"/>
                <w:sz w:val="22"/>
                <w:szCs w:val="22"/>
              </w:rPr>
            </w:pPr>
            <w:r w:rsidRPr="6952A7C3">
              <w:rPr>
                <w:rFonts w:eastAsia="Times New Roman" w:cs="Segoe UI"/>
                <w:color w:val="000000" w:themeColor="text1"/>
                <w:sz w:val="22"/>
                <w:szCs w:val="22"/>
              </w:rPr>
              <w:t>Late Claim Submitted (202</w:t>
            </w:r>
            <w:r w:rsidR="35D88E40" w:rsidRPr="6952A7C3">
              <w:rPr>
                <w:rFonts w:eastAsia="Times New Roman" w:cs="Segoe UI"/>
                <w:color w:val="000000" w:themeColor="text1"/>
                <w:sz w:val="22"/>
                <w:szCs w:val="22"/>
              </w:rPr>
              <w:t>6</w:t>
            </w:r>
            <w:r w:rsidRPr="6952A7C3">
              <w:rPr>
                <w:rFonts w:eastAsia="Times New Roman" w:cs="Segoe UI"/>
                <w:color w:val="000000" w:themeColor="text1"/>
                <w:sz w:val="22"/>
                <w:szCs w:val="22"/>
              </w:rPr>
              <w:t>)</w:t>
            </w:r>
          </w:p>
        </w:tc>
        <w:tc>
          <w:tcPr>
            <w:tcW w:w="2340" w:type="dxa"/>
            <w:tcBorders>
              <w:top w:val="single" w:sz="4" w:space="0" w:color="auto"/>
              <w:left w:val="single" w:sz="4" w:space="0" w:color="auto"/>
              <w:bottom w:val="single" w:sz="4" w:space="0" w:color="auto"/>
              <w:right w:val="single" w:sz="4" w:space="0" w:color="auto"/>
            </w:tcBorders>
            <w:vAlign w:val="center"/>
            <w:hideMark/>
          </w:tcPr>
          <w:p w14:paraId="24D6C2B9" w14:textId="77777777" w:rsidR="004D24AF" w:rsidRPr="004D24AF" w:rsidRDefault="004D24AF" w:rsidP="5EF294CC">
            <w:pPr>
              <w:spacing w:after="0"/>
              <w:cnfStyle w:val="000000100000" w:firstRow="0" w:lastRow="0" w:firstColumn="0" w:lastColumn="0" w:oddVBand="0" w:evenVBand="0" w:oddHBand="1"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None</w:t>
            </w:r>
          </w:p>
        </w:tc>
        <w:tc>
          <w:tcPr>
            <w:tcW w:w="1980" w:type="dxa"/>
            <w:tcBorders>
              <w:top w:val="single" w:sz="4" w:space="0" w:color="auto"/>
              <w:left w:val="single" w:sz="4" w:space="0" w:color="auto"/>
              <w:bottom w:val="single" w:sz="4" w:space="0" w:color="auto"/>
              <w:right w:val="single" w:sz="12" w:space="0" w:color="auto"/>
            </w:tcBorders>
            <w:vAlign w:val="center"/>
            <w:hideMark/>
          </w:tcPr>
          <w:p w14:paraId="5DF8F2AB" w14:textId="77777777" w:rsidR="004D24AF" w:rsidRPr="004D24AF" w:rsidRDefault="004D24AF" w:rsidP="5EF294CC">
            <w:pPr>
              <w:spacing w:after="0"/>
              <w:cnfStyle w:val="000000100000" w:firstRow="0" w:lastRow="0" w:firstColumn="0" w:lastColumn="0" w:oddVBand="0" w:evenVBand="0" w:oddHBand="1"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0</w:t>
            </w:r>
          </w:p>
        </w:tc>
      </w:tr>
      <w:tr w:rsidR="004D24AF" w:rsidRPr="004D24AF" w14:paraId="200DDA0D" w14:textId="77777777" w:rsidTr="3D90721D">
        <w:trPr>
          <w:trHeight w:val="432"/>
          <w:jc w:val="center"/>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auto"/>
              <w:left w:val="single" w:sz="12" w:space="0" w:color="auto"/>
              <w:bottom w:val="single" w:sz="4" w:space="0" w:color="auto"/>
              <w:right w:val="single" w:sz="4" w:space="0" w:color="auto"/>
            </w:tcBorders>
            <w:vAlign w:val="center"/>
            <w:hideMark/>
          </w:tcPr>
          <w:p w14:paraId="54240DC8" w14:textId="3933D3C3" w:rsidR="004D24AF" w:rsidRPr="004D24AF" w:rsidRDefault="004D24AF" w:rsidP="5EF294CC">
            <w:pPr>
              <w:spacing w:after="0"/>
              <w:rPr>
                <w:rFonts w:eastAsia="Times New Roman" w:cs="Segoe UI"/>
                <w:color w:val="000000" w:themeColor="text1"/>
                <w:sz w:val="22"/>
                <w:szCs w:val="22"/>
              </w:rPr>
            </w:pPr>
            <w:r w:rsidRPr="6952A7C3">
              <w:rPr>
                <w:rFonts w:eastAsia="Times New Roman" w:cs="Segoe UI"/>
                <w:color w:val="000000" w:themeColor="text1"/>
                <w:sz w:val="22"/>
                <w:szCs w:val="22"/>
              </w:rPr>
              <w:t>Complaint Count (202</w:t>
            </w:r>
            <w:r w:rsidR="05F66772" w:rsidRPr="6952A7C3">
              <w:rPr>
                <w:rFonts w:eastAsia="Times New Roman" w:cs="Segoe UI"/>
                <w:color w:val="000000" w:themeColor="text1"/>
                <w:sz w:val="22"/>
                <w:szCs w:val="22"/>
              </w:rPr>
              <w:t>5</w:t>
            </w:r>
            <w:r w:rsidRPr="6952A7C3">
              <w:rPr>
                <w:rFonts w:eastAsia="Times New Roman" w:cs="Segoe UI"/>
                <w:color w:val="000000" w:themeColor="text1"/>
                <w:sz w:val="22"/>
                <w:szCs w:val="22"/>
              </w:rPr>
              <w:t>-2</w:t>
            </w:r>
            <w:r w:rsidR="1EBDF3A3" w:rsidRPr="6952A7C3">
              <w:rPr>
                <w:rFonts w:eastAsia="Times New Roman" w:cs="Segoe UI"/>
                <w:color w:val="000000" w:themeColor="text1"/>
                <w:sz w:val="22"/>
                <w:szCs w:val="22"/>
              </w:rPr>
              <w:t>6</w:t>
            </w:r>
            <w:r w:rsidRPr="6952A7C3">
              <w:rPr>
                <w:rFonts w:eastAsia="Times New Roman" w:cs="Segoe UI"/>
                <w:color w:val="000000" w:themeColor="text1"/>
                <w:sz w:val="22"/>
                <w:szCs w:val="22"/>
              </w:rPr>
              <w:t>)</w:t>
            </w:r>
          </w:p>
        </w:tc>
        <w:tc>
          <w:tcPr>
            <w:tcW w:w="2340" w:type="dxa"/>
            <w:tcBorders>
              <w:top w:val="single" w:sz="4" w:space="0" w:color="auto"/>
              <w:left w:val="single" w:sz="4" w:space="0" w:color="auto"/>
              <w:bottom w:val="single" w:sz="4" w:space="0" w:color="auto"/>
              <w:right w:val="single" w:sz="4" w:space="0" w:color="auto"/>
            </w:tcBorders>
            <w:vAlign w:val="center"/>
            <w:hideMark/>
          </w:tcPr>
          <w:p w14:paraId="06319577" w14:textId="77777777" w:rsidR="004D24AF" w:rsidRPr="004D24AF" w:rsidRDefault="004D24AF" w:rsidP="5EF294CC">
            <w:pPr>
              <w:spacing w:after="0"/>
              <w:cnfStyle w:val="000000000000" w:firstRow="0" w:lastRow="0" w:firstColumn="0" w:lastColumn="0" w:oddVBand="0" w:evenVBand="0" w:oddHBand="0"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None</w:t>
            </w:r>
          </w:p>
        </w:tc>
        <w:tc>
          <w:tcPr>
            <w:tcW w:w="1980" w:type="dxa"/>
            <w:tcBorders>
              <w:top w:val="single" w:sz="4" w:space="0" w:color="auto"/>
              <w:left w:val="single" w:sz="4" w:space="0" w:color="auto"/>
              <w:bottom w:val="single" w:sz="4" w:space="0" w:color="auto"/>
              <w:right w:val="single" w:sz="12" w:space="0" w:color="auto"/>
            </w:tcBorders>
            <w:vAlign w:val="center"/>
            <w:hideMark/>
          </w:tcPr>
          <w:p w14:paraId="373FA79C" w14:textId="77777777" w:rsidR="004D24AF" w:rsidRPr="004D24AF" w:rsidRDefault="004D24AF" w:rsidP="5EF294CC">
            <w:pPr>
              <w:spacing w:after="0"/>
              <w:cnfStyle w:val="000000000000" w:firstRow="0" w:lastRow="0" w:firstColumn="0" w:lastColumn="0" w:oddVBand="0" w:evenVBand="0" w:oddHBand="0"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0</w:t>
            </w:r>
          </w:p>
        </w:tc>
      </w:tr>
      <w:tr w:rsidR="004D24AF" w:rsidRPr="004D24AF" w14:paraId="26C3AC31" w14:textId="77777777" w:rsidTr="3D90721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auto"/>
              <w:left w:val="single" w:sz="12" w:space="0" w:color="auto"/>
              <w:bottom w:val="single" w:sz="4" w:space="0" w:color="auto"/>
              <w:right w:val="single" w:sz="4" w:space="0" w:color="auto"/>
            </w:tcBorders>
            <w:vAlign w:val="center"/>
            <w:hideMark/>
          </w:tcPr>
          <w:p w14:paraId="4E72D80C" w14:textId="77777777" w:rsidR="004D24AF" w:rsidRPr="004D24AF" w:rsidRDefault="004D24AF" w:rsidP="5EF294CC">
            <w:pPr>
              <w:spacing w:after="0"/>
              <w:rPr>
                <w:rFonts w:eastAsia="Times New Roman" w:cs="Segoe UI"/>
                <w:color w:val="000000" w:themeColor="text1"/>
                <w:sz w:val="22"/>
                <w:szCs w:val="22"/>
              </w:rPr>
            </w:pPr>
            <w:r w:rsidRPr="5EF294CC">
              <w:rPr>
                <w:rFonts w:eastAsia="Times New Roman" w:cs="Segoe UI"/>
                <w:color w:val="000000" w:themeColor="text1"/>
                <w:sz w:val="22"/>
                <w:szCs w:val="22"/>
              </w:rPr>
              <w:t>Years Since Student File Monitoring</w:t>
            </w:r>
          </w:p>
        </w:tc>
        <w:tc>
          <w:tcPr>
            <w:tcW w:w="2340" w:type="dxa"/>
            <w:tcBorders>
              <w:top w:val="single" w:sz="4" w:space="0" w:color="auto"/>
              <w:left w:val="single" w:sz="4" w:space="0" w:color="auto"/>
              <w:bottom w:val="single" w:sz="4" w:space="0" w:color="auto"/>
              <w:right w:val="single" w:sz="4" w:space="0" w:color="auto"/>
            </w:tcBorders>
            <w:vAlign w:val="center"/>
            <w:hideMark/>
          </w:tcPr>
          <w:p w14:paraId="26D72E76" w14:textId="77777777" w:rsidR="004D24AF" w:rsidRPr="004D24AF" w:rsidRDefault="004D24AF" w:rsidP="5EF294CC">
            <w:pPr>
              <w:spacing w:after="0"/>
              <w:cnfStyle w:val="000000100000" w:firstRow="0" w:lastRow="0" w:firstColumn="0" w:lastColumn="0" w:oddVBand="0" w:evenVBand="0" w:oddHBand="1" w:evenHBand="0" w:firstRowFirstColumn="0" w:firstRowLastColumn="0" w:lastRowFirstColumn="0" w:lastRowLastColumn="0"/>
              <w:rPr>
                <w:rFonts w:eastAsia="Times New Roman" w:cs="Segoe UI"/>
                <w:color w:val="000000" w:themeColor="text1"/>
                <w:sz w:val="22"/>
                <w:szCs w:val="22"/>
              </w:rPr>
            </w:pPr>
            <w:r w:rsidRPr="5EF294CC">
              <w:rPr>
                <w:rFonts w:eastAsia="Times New Roman" w:cs="Segoe UI"/>
                <w:color w:val="000000" w:themeColor="text1"/>
                <w:sz w:val="22"/>
                <w:szCs w:val="22"/>
              </w:rPr>
              <w:t>More than Six</w:t>
            </w:r>
          </w:p>
        </w:tc>
        <w:tc>
          <w:tcPr>
            <w:tcW w:w="1980" w:type="dxa"/>
            <w:tcBorders>
              <w:top w:val="single" w:sz="4" w:space="0" w:color="auto"/>
              <w:left w:val="single" w:sz="4" w:space="0" w:color="auto"/>
              <w:bottom w:val="single" w:sz="4" w:space="0" w:color="auto"/>
              <w:right w:val="single" w:sz="12" w:space="0" w:color="auto"/>
            </w:tcBorders>
            <w:vAlign w:val="center"/>
          </w:tcPr>
          <w:p w14:paraId="281E2023" w14:textId="3B99B3B4" w:rsidR="004D24AF" w:rsidRPr="004D24AF" w:rsidRDefault="00F84B91" w:rsidP="5EF294CC">
            <w:pPr>
              <w:spacing w:after="0"/>
              <w:cnfStyle w:val="000000100000" w:firstRow="0" w:lastRow="0" w:firstColumn="0" w:lastColumn="0" w:oddVBand="0" w:evenVBand="0" w:oddHBand="1" w:evenHBand="0" w:firstRowFirstColumn="0" w:firstRowLastColumn="0" w:lastRowFirstColumn="0" w:lastRowLastColumn="0"/>
              <w:rPr>
                <w:rFonts w:eastAsia="Times New Roman" w:cs="Segoe UI"/>
                <w:color w:val="000000" w:themeColor="text1"/>
                <w:sz w:val="22"/>
                <w:szCs w:val="22"/>
              </w:rPr>
            </w:pPr>
            <w:r>
              <w:rPr>
                <w:rFonts w:eastAsia="Times New Roman" w:cs="Segoe UI"/>
                <w:color w:val="000000" w:themeColor="text1"/>
                <w:sz w:val="22"/>
                <w:szCs w:val="22"/>
              </w:rPr>
              <w:t>5</w:t>
            </w:r>
          </w:p>
        </w:tc>
      </w:tr>
      <w:tr w:rsidR="3D90721D" w14:paraId="5769D39E" w14:textId="77777777" w:rsidTr="3D90721D">
        <w:trPr>
          <w:trHeight w:val="432"/>
          <w:jc w:val="center"/>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auto"/>
              <w:left w:val="single" w:sz="12" w:space="0" w:color="auto"/>
              <w:bottom w:val="single" w:sz="4" w:space="0" w:color="auto"/>
              <w:right w:val="single" w:sz="4" w:space="0" w:color="auto"/>
            </w:tcBorders>
            <w:vAlign w:val="center"/>
            <w:hideMark/>
          </w:tcPr>
          <w:p w14:paraId="4F0CA578" w14:textId="5D5A0606" w:rsidR="74F0368B" w:rsidRDefault="74F0368B" w:rsidP="3D90721D">
            <w:r w:rsidRPr="3D90721D">
              <w:rPr>
                <w:rFonts w:eastAsia="Times New Roman" w:cs="Segoe UI"/>
                <w:color w:val="000000" w:themeColor="text1"/>
                <w:sz w:val="22"/>
                <w:szCs w:val="22"/>
              </w:rPr>
              <w:t>Bonus: Attended the First-Year Director Program (2026-2027</w:t>
            </w:r>
          </w:p>
        </w:tc>
        <w:tc>
          <w:tcPr>
            <w:tcW w:w="2340" w:type="dxa"/>
            <w:tcBorders>
              <w:top w:val="single" w:sz="4" w:space="0" w:color="auto"/>
              <w:left w:val="single" w:sz="4" w:space="0" w:color="auto"/>
              <w:bottom w:val="single" w:sz="4" w:space="0" w:color="auto"/>
              <w:right w:val="single" w:sz="4" w:space="0" w:color="auto"/>
            </w:tcBorders>
            <w:vAlign w:val="center"/>
            <w:hideMark/>
          </w:tcPr>
          <w:p w14:paraId="2D213C58" w14:textId="2670E32C" w:rsidR="74F0368B" w:rsidRDefault="74F0368B" w:rsidP="3D90721D">
            <w:pPr>
              <w:cnfStyle w:val="000000000000" w:firstRow="0" w:lastRow="0" w:firstColumn="0" w:lastColumn="0" w:oddVBand="0" w:evenVBand="0" w:oddHBand="0" w:evenHBand="0" w:firstRowFirstColumn="0" w:firstRowLastColumn="0" w:lastRowFirstColumn="0" w:lastRowLastColumn="0"/>
            </w:pPr>
            <w:r w:rsidRPr="3D90721D">
              <w:rPr>
                <w:rFonts w:eastAsia="Times New Roman" w:cs="Segoe UI"/>
                <w:color w:val="000000" w:themeColor="text1"/>
                <w:sz w:val="22"/>
                <w:szCs w:val="22"/>
              </w:rPr>
              <w:t>1 point possible</w:t>
            </w:r>
          </w:p>
        </w:tc>
        <w:tc>
          <w:tcPr>
            <w:tcW w:w="1980" w:type="dxa"/>
            <w:tcBorders>
              <w:top w:val="single" w:sz="4" w:space="0" w:color="auto"/>
              <w:left w:val="single" w:sz="4" w:space="0" w:color="auto"/>
              <w:bottom w:val="single" w:sz="4" w:space="0" w:color="auto"/>
              <w:right w:val="single" w:sz="12" w:space="0" w:color="auto"/>
            </w:tcBorders>
            <w:vAlign w:val="center"/>
          </w:tcPr>
          <w:p w14:paraId="3546ACA1" w14:textId="0BD1399F" w:rsidR="3D90721D" w:rsidRDefault="3D90721D" w:rsidP="3D90721D">
            <w:pPr>
              <w:cnfStyle w:val="000000000000" w:firstRow="0" w:lastRow="0" w:firstColumn="0" w:lastColumn="0" w:oddVBand="0" w:evenVBand="0" w:oddHBand="0" w:evenHBand="0" w:firstRowFirstColumn="0" w:firstRowLastColumn="0" w:lastRowFirstColumn="0" w:lastRowLastColumn="0"/>
              <w:rPr>
                <w:rFonts w:eastAsia="Times New Roman" w:cs="Segoe UI"/>
                <w:color w:val="000000" w:themeColor="text1"/>
                <w:sz w:val="22"/>
                <w:szCs w:val="22"/>
              </w:rPr>
            </w:pPr>
          </w:p>
        </w:tc>
      </w:tr>
      <w:tr w:rsidR="004D24AF" w:rsidRPr="004D24AF" w14:paraId="250914EB" w14:textId="77777777" w:rsidTr="3D90721D">
        <w:trPr>
          <w:cnfStyle w:val="010000000000" w:firstRow="0" w:lastRow="1" w:firstColumn="0" w:lastColumn="0" w:oddVBand="0" w:evenVBand="0" w:oddHBand="0" w:evenHBand="0" w:firstRowFirstColumn="0" w:firstRowLastColumn="0" w:lastRowFirstColumn="0" w:lastRowLastColumn="0"/>
          <w:trHeight w:val="519"/>
          <w:jc w:val="center"/>
        </w:trPr>
        <w:tc>
          <w:tcPr>
            <w:cnfStyle w:val="001000000000" w:firstRow="0" w:lastRow="0" w:firstColumn="1" w:lastColumn="0" w:oddVBand="0" w:evenVBand="0" w:oddHBand="0" w:evenHBand="0" w:firstRowFirstColumn="0" w:firstRowLastColumn="0" w:lastRowFirstColumn="0" w:lastRowLastColumn="0"/>
            <w:tcW w:w="5940" w:type="dxa"/>
            <w:tcBorders>
              <w:top w:val="double" w:sz="4" w:space="0" w:color="auto"/>
              <w:left w:val="single" w:sz="12" w:space="0" w:color="auto"/>
              <w:bottom w:val="single" w:sz="12" w:space="0" w:color="auto"/>
              <w:right w:val="single" w:sz="4" w:space="0" w:color="auto"/>
            </w:tcBorders>
            <w:vAlign w:val="center"/>
            <w:hideMark/>
          </w:tcPr>
          <w:p w14:paraId="3BB1A699" w14:textId="77777777" w:rsidR="004D24AF" w:rsidRPr="004D24AF" w:rsidRDefault="004D24AF" w:rsidP="5EF294CC">
            <w:pPr>
              <w:spacing w:after="0"/>
              <w:rPr>
                <w:rFonts w:eastAsia="Times New Roman" w:cs="Segoe UI"/>
                <w:color w:val="000000" w:themeColor="text1"/>
                <w:sz w:val="22"/>
                <w:szCs w:val="22"/>
              </w:rPr>
            </w:pPr>
            <w:r w:rsidRPr="5EF294CC">
              <w:rPr>
                <w:rFonts w:eastAsia="Times New Roman" w:cs="Segoe UI"/>
                <w:color w:val="000000" w:themeColor="text1"/>
                <w:sz w:val="22"/>
                <w:szCs w:val="22"/>
              </w:rPr>
              <w:t>TOTAL RISK SCORE*</w:t>
            </w:r>
          </w:p>
        </w:tc>
        <w:tc>
          <w:tcPr>
            <w:tcW w:w="4320" w:type="dxa"/>
            <w:gridSpan w:val="2"/>
            <w:tcBorders>
              <w:top w:val="double" w:sz="4" w:space="0" w:color="auto"/>
              <w:left w:val="single" w:sz="4" w:space="0" w:color="auto"/>
              <w:bottom w:val="single" w:sz="12" w:space="0" w:color="auto"/>
              <w:right w:val="single" w:sz="12" w:space="0" w:color="auto"/>
            </w:tcBorders>
            <w:vAlign w:val="center"/>
          </w:tcPr>
          <w:p w14:paraId="29510A69" w14:textId="309A7ECD" w:rsidR="004D24AF" w:rsidRPr="004D24AF" w:rsidRDefault="00C2197A" w:rsidP="5EF294CC">
            <w:pPr>
              <w:spacing w:after="0"/>
              <w:cnfStyle w:val="010000000000" w:firstRow="0" w:lastRow="1" w:firstColumn="0" w:lastColumn="0" w:oddVBand="0" w:evenVBand="0" w:oddHBand="0" w:evenHBand="0" w:firstRowFirstColumn="0" w:firstRowLastColumn="0" w:lastRowFirstColumn="0" w:lastRowLastColumn="0"/>
              <w:rPr>
                <w:rFonts w:eastAsia="Times New Roman" w:cs="Segoe UI"/>
                <w:color w:val="000000" w:themeColor="text1"/>
                <w:sz w:val="22"/>
                <w:szCs w:val="22"/>
              </w:rPr>
            </w:pPr>
            <w:r>
              <w:rPr>
                <w:rFonts w:eastAsia="Times New Roman" w:cs="Segoe UI"/>
                <w:color w:val="000000" w:themeColor="text1"/>
                <w:sz w:val="22"/>
                <w:szCs w:val="22"/>
              </w:rPr>
              <w:t xml:space="preserve">                                        </w:t>
            </w:r>
            <w:r w:rsidR="00F84B91">
              <w:rPr>
                <w:rFonts w:eastAsia="Times New Roman" w:cs="Segoe UI"/>
                <w:color w:val="000000" w:themeColor="text1"/>
                <w:sz w:val="22"/>
                <w:szCs w:val="22"/>
              </w:rPr>
              <w:t>7</w:t>
            </w:r>
          </w:p>
        </w:tc>
      </w:tr>
    </w:tbl>
    <w:p w14:paraId="68744CBE" w14:textId="298BBC37" w:rsidR="004D24AF" w:rsidRDefault="002A09E4" w:rsidP="5EF294CC">
      <w:pPr>
        <w:spacing w:after="0" w:line="240" w:lineRule="auto"/>
        <w:rPr>
          <w:rFonts w:eastAsia="Times New Roman" w:cs="Segoe UI"/>
          <w:color w:val="000000" w:themeColor="text1"/>
          <w:sz w:val="22"/>
          <w:szCs w:val="22"/>
        </w:rPr>
      </w:pPr>
      <w:r>
        <w:rPr>
          <w:rFonts w:eastAsia="Times New Roman" w:cs="Segoe UI"/>
          <w:color w:val="000000" w:themeColor="text1"/>
          <w:sz w:val="22"/>
          <w:szCs w:val="22"/>
        </w:rPr>
        <w:t xml:space="preserve"> </w:t>
      </w:r>
    </w:p>
    <w:p w14:paraId="36F6CD1A" w14:textId="77777777" w:rsidR="004236F3" w:rsidRDefault="004236F3" w:rsidP="5EF294CC">
      <w:pPr>
        <w:spacing w:after="0" w:line="240" w:lineRule="auto"/>
        <w:rPr>
          <w:rFonts w:eastAsia="Times New Roman" w:cs="Segoe UI"/>
          <w:color w:val="000000" w:themeColor="text1"/>
          <w:sz w:val="22"/>
          <w:szCs w:val="22"/>
        </w:rPr>
      </w:pPr>
    </w:p>
    <w:p w14:paraId="1143C701" w14:textId="77777777" w:rsidR="004D24AF" w:rsidRPr="004D24AF" w:rsidRDefault="004D24AF" w:rsidP="5EF294CC">
      <w:pPr>
        <w:spacing w:after="0" w:line="240" w:lineRule="auto"/>
        <w:rPr>
          <w:rFonts w:eastAsia="Times New Roman" w:cs="Segoe UI"/>
          <w:color w:val="000000" w:themeColor="text1"/>
          <w:sz w:val="22"/>
          <w:szCs w:val="22"/>
        </w:rPr>
      </w:pPr>
    </w:p>
    <w:tbl>
      <w:tblPr>
        <w:tblStyle w:val="GridTable6Colorful"/>
        <w:tblW w:w="0" w:type="auto"/>
        <w:jc w:val="center"/>
        <w:tblLook w:val="04A0" w:firstRow="1" w:lastRow="0" w:firstColumn="1" w:lastColumn="0" w:noHBand="0" w:noVBand="1"/>
      </w:tblPr>
      <w:tblGrid>
        <w:gridCol w:w="3675"/>
        <w:gridCol w:w="2250"/>
      </w:tblGrid>
      <w:tr w:rsidR="004D24AF" w:rsidRPr="004D24AF" w14:paraId="11D7AEBF" w14:textId="77777777" w:rsidTr="5EF294CC">
        <w:trPr>
          <w:cnfStyle w:val="100000000000" w:firstRow="1" w:lastRow="0" w:firstColumn="0" w:lastColumn="0" w:oddVBand="0" w:evenVBand="0" w:oddHBand="0"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675" w:type="dxa"/>
            <w:tcBorders>
              <w:top w:val="single" w:sz="4" w:space="0" w:color="666666"/>
              <w:left w:val="single" w:sz="4" w:space="0" w:color="666666"/>
              <w:right w:val="single" w:sz="4" w:space="0" w:color="666666"/>
            </w:tcBorders>
            <w:vAlign w:val="center"/>
            <w:hideMark/>
          </w:tcPr>
          <w:p w14:paraId="50B0F8E7" w14:textId="77777777" w:rsidR="004D24AF" w:rsidRPr="004D24AF" w:rsidRDefault="004D24AF" w:rsidP="5EF294CC">
            <w:pPr>
              <w:spacing w:after="0"/>
              <w:ind w:left="360"/>
              <w:rPr>
                <w:rFonts w:cs="Segoe UI"/>
                <w:sz w:val="22"/>
                <w:szCs w:val="22"/>
              </w:rPr>
            </w:pPr>
            <w:r w:rsidRPr="5EF294CC">
              <w:rPr>
                <w:rFonts w:cs="Segoe UI"/>
                <w:sz w:val="22"/>
                <w:szCs w:val="22"/>
              </w:rPr>
              <w:t>Risk Category</w:t>
            </w:r>
          </w:p>
        </w:tc>
        <w:tc>
          <w:tcPr>
            <w:tcW w:w="2250" w:type="dxa"/>
            <w:tcBorders>
              <w:top w:val="single" w:sz="4" w:space="0" w:color="666666"/>
              <w:left w:val="single" w:sz="4" w:space="0" w:color="666666"/>
              <w:right w:val="single" w:sz="4" w:space="0" w:color="666666"/>
            </w:tcBorders>
            <w:vAlign w:val="center"/>
            <w:hideMark/>
          </w:tcPr>
          <w:p w14:paraId="304994A1" w14:textId="0FD96D47" w:rsidR="004D24AF" w:rsidRPr="004D24AF" w:rsidRDefault="004D24AF" w:rsidP="5EF294CC">
            <w:pPr>
              <w:spacing w:after="0"/>
              <w:ind w:left="360"/>
              <w:cnfStyle w:val="100000000000" w:firstRow="1" w:lastRow="0" w:firstColumn="0" w:lastColumn="0" w:oddVBand="0" w:evenVBand="0" w:oddHBand="0" w:evenHBand="0" w:firstRowFirstColumn="0" w:firstRowLastColumn="0" w:lastRowFirstColumn="0" w:lastRowLastColumn="0"/>
              <w:rPr>
                <w:rFonts w:cs="Segoe UI"/>
                <w:sz w:val="22"/>
                <w:szCs w:val="22"/>
              </w:rPr>
            </w:pPr>
            <w:r w:rsidRPr="5EF294CC">
              <w:rPr>
                <w:rFonts w:cs="Segoe UI"/>
                <w:sz w:val="22"/>
                <w:szCs w:val="22"/>
              </w:rPr>
              <w:t>Risk Score</w:t>
            </w:r>
          </w:p>
        </w:tc>
      </w:tr>
      <w:tr w:rsidR="004D24AF" w:rsidRPr="004D24AF" w14:paraId="5D506910" w14:textId="77777777" w:rsidTr="5EF294CC">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675" w:type="dxa"/>
            <w:tcBorders>
              <w:top w:val="single" w:sz="4" w:space="0" w:color="666666"/>
              <w:left w:val="single" w:sz="4" w:space="0" w:color="666666"/>
              <w:bottom w:val="single" w:sz="4" w:space="0" w:color="666666"/>
              <w:right w:val="single" w:sz="4" w:space="0" w:color="666666"/>
            </w:tcBorders>
            <w:vAlign w:val="center"/>
            <w:hideMark/>
          </w:tcPr>
          <w:p w14:paraId="1A578917" w14:textId="77777777" w:rsidR="004D24AF" w:rsidRPr="004D24AF" w:rsidRDefault="004D24AF" w:rsidP="5EF294CC">
            <w:pPr>
              <w:spacing w:after="0"/>
              <w:ind w:left="360"/>
              <w:rPr>
                <w:rFonts w:cs="Segoe UI"/>
                <w:sz w:val="22"/>
                <w:szCs w:val="22"/>
              </w:rPr>
            </w:pPr>
            <w:r w:rsidRPr="5EF294CC">
              <w:rPr>
                <w:rFonts w:cs="Segoe UI"/>
                <w:sz w:val="22"/>
                <w:szCs w:val="22"/>
              </w:rPr>
              <w:t>Category 1: Very Low Risk</w:t>
            </w:r>
          </w:p>
        </w:tc>
        <w:tc>
          <w:tcPr>
            <w:tcW w:w="2250" w:type="dxa"/>
            <w:tcBorders>
              <w:top w:val="single" w:sz="4" w:space="0" w:color="666666"/>
              <w:left w:val="single" w:sz="4" w:space="0" w:color="666666"/>
              <w:bottom w:val="single" w:sz="4" w:space="0" w:color="666666"/>
              <w:right w:val="single" w:sz="4" w:space="0" w:color="666666"/>
            </w:tcBorders>
            <w:vAlign w:val="center"/>
            <w:hideMark/>
          </w:tcPr>
          <w:p w14:paraId="2B32F792" w14:textId="77777777" w:rsidR="004D24AF" w:rsidRPr="004D24AF" w:rsidRDefault="004D24AF" w:rsidP="5EF294CC">
            <w:pPr>
              <w:spacing w:after="0"/>
              <w:ind w:left="360"/>
              <w:cnfStyle w:val="000000100000" w:firstRow="0" w:lastRow="0" w:firstColumn="0" w:lastColumn="0" w:oddVBand="0" w:evenVBand="0" w:oddHBand="1" w:evenHBand="0" w:firstRowFirstColumn="0" w:firstRowLastColumn="0" w:lastRowFirstColumn="0" w:lastRowLastColumn="0"/>
              <w:rPr>
                <w:rFonts w:cs="Segoe UI"/>
                <w:sz w:val="22"/>
                <w:szCs w:val="22"/>
              </w:rPr>
            </w:pPr>
            <w:r w:rsidRPr="5EF294CC">
              <w:rPr>
                <w:rFonts w:cs="Segoe UI"/>
                <w:sz w:val="22"/>
                <w:szCs w:val="22"/>
              </w:rPr>
              <w:t>0 – 9 points</w:t>
            </w:r>
          </w:p>
        </w:tc>
      </w:tr>
      <w:tr w:rsidR="004D24AF" w:rsidRPr="004D24AF" w14:paraId="0550BE7A" w14:textId="77777777" w:rsidTr="5EF294CC">
        <w:trPr>
          <w:trHeight w:val="360"/>
          <w:jc w:val="center"/>
        </w:trPr>
        <w:tc>
          <w:tcPr>
            <w:cnfStyle w:val="001000000000" w:firstRow="0" w:lastRow="0" w:firstColumn="1" w:lastColumn="0" w:oddVBand="0" w:evenVBand="0" w:oddHBand="0" w:evenHBand="0" w:firstRowFirstColumn="0" w:firstRowLastColumn="0" w:lastRowFirstColumn="0" w:lastRowLastColumn="0"/>
            <w:tcW w:w="3675" w:type="dxa"/>
            <w:tcBorders>
              <w:top w:val="single" w:sz="4" w:space="0" w:color="666666"/>
              <w:left w:val="single" w:sz="4" w:space="0" w:color="666666"/>
              <w:bottom w:val="single" w:sz="4" w:space="0" w:color="666666"/>
              <w:right w:val="single" w:sz="4" w:space="0" w:color="666666"/>
            </w:tcBorders>
            <w:vAlign w:val="center"/>
            <w:hideMark/>
          </w:tcPr>
          <w:p w14:paraId="70DB8086" w14:textId="77777777" w:rsidR="004D24AF" w:rsidRPr="004D24AF" w:rsidRDefault="004D24AF" w:rsidP="5EF294CC">
            <w:pPr>
              <w:spacing w:after="0"/>
              <w:ind w:left="360"/>
              <w:rPr>
                <w:rFonts w:cs="Segoe UI"/>
                <w:sz w:val="22"/>
                <w:szCs w:val="22"/>
              </w:rPr>
            </w:pPr>
            <w:r w:rsidRPr="5EF294CC">
              <w:rPr>
                <w:rFonts w:cs="Segoe UI"/>
                <w:sz w:val="22"/>
                <w:szCs w:val="22"/>
              </w:rPr>
              <w:t>Category 2: Low Risk</w:t>
            </w:r>
          </w:p>
        </w:tc>
        <w:tc>
          <w:tcPr>
            <w:tcW w:w="2250" w:type="dxa"/>
            <w:tcBorders>
              <w:top w:val="single" w:sz="4" w:space="0" w:color="666666"/>
              <w:left w:val="single" w:sz="4" w:space="0" w:color="666666"/>
              <w:bottom w:val="single" w:sz="4" w:space="0" w:color="666666"/>
              <w:right w:val="single" w:sz="4" w:space="0" w:color="666666"/>
            </w:tcBorders>
            <w:vAlign w:val="center"/>
            <w:hideMark/>
          </w:tcPr>
          <w:p w14:paraId="2FDE7C3B" w14:textId="77777777" w:rsidR="004D24AF" w:rsidRPr="004D24AF" w:rsidRDefault="004D24AF" w:rsidP="5EF294CC">
            <w:pPr>
              <w:spacing w:after="0"/>
              <w:ind w:left="360"/>
              <w:cnfStyle w:val="000000000000" w:firstRow="0" w:lastRow="0" w:firstColumn="0" w:lastColumn="0" w:oddVBand="0" w:evenVBand="0" w:oddHBand="0" w:evenHBand="0" w:firstRowFirstColumn="0" w:firstRowLastColumn="0" w:lastRowFirstColumn="0" w:lastRowLastColumn="0"/>
              <w:rPr>
                <w:rFonts w:cs="Segoe UI"/>
                <w:sz w:val="22"/>
                <w:szCs w:val="22"/>
              </w:rPr>
            </w:pPr>
            <w:r w:rsidRPr="5EF294CC">
              <w:rPr>
                <w:rFonts w:cs="Segoe UI"/>
                <w:sz w:val="22"/>
                <w:szCs w:val="22"/>
              </w:rPr>
              <w:t>10 – 18 points</w:t>
            </w:r>
          </w:p>
        </w:tc>
      </w:tr>
      <w:tr w:rsidR="004D24AF" w:rsidRPr="004D24AF" w14:paraId="0216A137" w14:textId="77777777" w:rsidTr="5EF294CC">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675" w:type="dxa"/>
            <w:tcBorders>
              <w:top w:val="single" w:sz="4" w:space="0" w:color="666666"/>
              <w:left w:val="single" w:sz="4" w:space="0" w:color="666666"/>
              <w:bottom w:val="single" w:sz="4" w:space="0" w:color="666666"/>
              <w:right w:val="single" w:sz="4" w:space="0" w:color="666666"/>
            </w:tcBorders>
            <w:vAlign w:val="center"/>
            <w:hideMark/>
          </w:tcPr>
          <w:p w14:paraId="05A7F609" w14:textId="77777777" w:rsidR="004D24AF" w:rsidRPr="004D24AF" w:rsidRDefault="004D24AF" w:rsidP="5EF294CC">
            <w:pPr>
              <w:spacing w:after="0"/>
              <w:ind w:left="360"/>
              <w:rPr>
                <w:rFonts w:cs="Segoe UI"/>
                <w:sz w:val="22"/>
                <w:szCs w:val="22"/>
              </w:rPr>
            </w:pPr>
            <w:r w:rsidRPr="5EF294CC">
              <w:rPr>
                <w:rFonts w:cs="Segoe UI"/>
                <w:sz w:val="22"/>
                <w:szCs w:val="22"/>
              </w:rPr>
              <w:t>Category 3: Moderate Risk</w:t>
            </w:r>
          </w:p>
        </w:tc>
        <w:tc>
          <w:tcPr>
            <w:tcW w:w="2250" w:type="dxa"/>
            <w:tcBorders>
              <w:top w:val="single" w:sz="4" w:space="0" w:color="666666"/>
              <w:left w:val="single" w:sz="4" w:space="0" w:color="666666"/>
              <w:bottom w:val="single" w:sz="4" w:space="0" w:color="666666"/>
              <w:right w:val="single" w:sz="4" w:space="0" w:color="666666"/>
            </w:tcBorders>
            <w:vAlign w:val="center"/>
            <w:hideMark/>
          </w:tcPr>
          <w:p w14:paraId="17967517" w14:textId="77777777" w:rsidR="004D24AF" w:rsidRPr="004D24AF" w:rsidRDefault="004D24AF" w:rsidP="5EF294CC">
            <w:pPr>
              <w:spacing w:after="0"/>
              <w:ind w:left="360"/>
              <w:cnfStyle w:val="000000100000" w:firstRow="0" w:lastRow="0" w:firstColumn="0" w:lastColumn="0" w:oddVBand="0" w:evenVBand="0" w:oddHBand="1" w:evenHBand="0" w:firstRowFirstColumn="0" w:firstRowLastColumn="0" w:lastRowFirstColumn="0" w:lastRowLastColumn="0"/>
              <w:rPr>
                <w:rFonts w:cs="Segoe UI"/>
                <w:sz w:val="22"/>
                <w:szCs w:val="22"/>
              </w:rPr>
            </w:pPr>
            <w:r w:rsidRPr="5EF294CC">
              <w:rPr>
                <w:rFonts w:cs="Segoe UI"/>
                <w:sz w:val="22"/>
                <w:szCs w:val="22"/>
              </w:rPr>
              <w:t>19 – 27 points</w:t>
            </w:r>
          </w:p>
        </w:tc>
      </w:tr>
      <w:tr w:rsidR="004D24AF" w:rsidRPr="004D24AF" w14:paraId="19287D8F" w14:textId="77777777" w:rsidTr="5EF294CC">
        <w:trPr>
          <w:trHeight w:val="360"/>
          <w:jc w:val="center"/>
        </w:trPr>
        <w:tc>
          <w:tcPr>
            <w:cnfStyle w:val="001000000000" w:firstRow="0" w:lastRow="0" w:firstColumn="1" w:lastColumn="0" w:oddVBand="0" w:evenVBand="0" w:oddHBand="0" w:evenHBand="0" w:firstRowFirstColumn="0" w:firstRowLastColumn="0" w:lastRowFirstColumn="0" w:lastRowLastColumn="0"/>
            <w:tcW w:w="3675" w:type="dxa"/>
            <w:tcBorders>
              <w:top w:val="single" w:sz="4" w:space="0" w:color="666666"/>
              <w:left w:val="single" w:sz="4" w:space="0" w:color="666666"/>
              <w:bottom w:val="single" w:sz="4" w:space="0" w:color="666666"/>
              <w:right w:val="single" w:sz="4" w:space="0" w:color="666666"/>
            </w:tcBorders>
            <w:vAlign w:val="center"/>
            <w:hideMark/>
          </w:tcPr>
          <w:p w14:paraId="393374C0" w14:textId="77777777" w:rsidR="004D24AF" w:rsidRPr="004D24AF" w:rsidRDefault="004D24AF" w:rsidP="5EF294CC">
            <w:pPr>
              <w:spacing w:after="0"/>
              <w:ind w:left="360"/>
              <w:rPr>
                <w:rFonts w:cs="Segoe UI"/>
                <w:sz w:val="22"/>
                <w:szCs w:val="22"/>
              </w:rPr>
            </w:pPr>
            <w:r w:rsidRPr="5EF294CC">
              <w:rPr>
                <w:rFonts w:cs="Segoe UI"/>
                <w:sz w:val="22"/>
                <w:szCs w:val="22"/>
              </w:rPr>
              <w:t>Category 4: High Risk</w:t>
            </w:r>
          </w:p>
        </w:tc>
        <w:tc>
          <w:tcPr>
            <w:tcW w:w="2250" w:type="dxa"/>
            <w:tcBorders>
              <w:top w:val="single" w:sz="4" w:space="0" w:color="666666"/>
              <w:left w:val="single" w:sz="4" w:space="0" w:color="666666"/>
              <w:bottom w:val="single" w:sz="4" w:space="0" w:color="666666"/>
              <w:right w:val="single" w:sz="4" w:space="0" w:color="666666"/>
            </w:tcBorders>
            <w:vAlign w:val="center"/>
            <w:hideMark/>
          </w:tcPr>
          <w:p w14:paraId="0612C552" w14:textId="77777777" w:rsidR="004D24AF" w:rsidRPr="004D24AF" w:rsidRDefault="004D24AF" w:rsidP="5EF294CC">
            <w:pPr>
              <w:spacing w:after="0"/>
              <w:ind w:left="360"/>
              <w:cnfStyle w:val="000000000000" w:firstRow="0" w:lastRow="0" w:firstColumn="0" w:lastColumn="0" w:oddVBand="0" w:evenVBand="0" w:oddHBand="0" w:evenHBand="0" w:firstRowFirstColumn="0" w:firstRowLastColumn="0" w:lastRowFirstColumn="0" w:lastRowLastColumn="0"/>
              <w:rPr>
                <w:rFonts w:cs="Segoe UI"/>
                <w:sz w:val="22"/>
                <w:szCs w:val="22"/>
              </w:rPr>
            </w:pPr>
            <w:r w:rsidRPr="5EF294CC">
              <w:rPr>
                <w:rFonts w:cs="Segoe UI"/>
                <w:sz w:val="22"/>
                <w:szCs w:val="22"/>
              </w:rPr>
              <w:t>28 – 50 points</w:t>
            </w:r>
          </w:p>
        </w:tc>
      </w:tr>
    </w:tbl>
    <w:p w14:paraId="53EDD812" w14:textId="77777777" w:rsidR="004D24AF" w:rsidRDefault="004D24AF" w:rsidP="5EF294CC">
      <w:pPr>
        <w:spacing w:after="0" w:line="240" w:lineRule="auto"/>
        <w:rPr>
          <w:rFonts w:eastAsia="Times New Roman" w:cs="Segoe UI"/>
          <w:color w:val="000000" w:themeColor="text1"/>
          <w:sz w:val="22"/>
          <w:szCs w:val="22"/>
        </w:rPr>
      </w:pPr>
    </w:p>
    <w:p w14:paraId="23C910E9" w14:textId="052768D8" w:rsidR="004D24AF" w:rsidRDefault="004D24AF" w:rsidP="5EF294CC">
      <w:pPr>
        <w:spacing w:after="0" w:line="240" w:lineRule="auto"/>
        <w:rPr>
          <w:rFonts w:eastAsia="Times New Roman" w:cs="Segoe UI"/>
          <w:color w:val="000000" w:themeColor="text1"/>
          <w:sz w:val="22"/>
          <w:szCs w:val="22"/>
        </w:rPr>
      </w:pPr>
      <w:r w:rsidRPr="5EF294CC">
        <w:rPr>
          <w:rFonts w:eastAsia="Times New Roman" w:cs="Segoe UI"/>
          <w:color w:val="000000" w:themeColor="text1"/>
          <w:sz w:val="22"/>
          <w:szCs w:val="22"/>
        </w:rPr>
        <w:t>NOTE: Please refer to the Differentiated Monitoring Result letter for the district’s assigned Level of Support and required activities associated with the current Risk Score and Determination.</w:t>
      </w:r>
    </w:p>
    <w:p w14:paraId="2CDAECC3" w14:textId="77777777" w:rsidR="004D24AF" w:rsidRDefault="004D24AF" w:rsidP="5EF294CC">
      <w:pPr>
        <w:spacing w:after="0" w:line="240" w:lineRule="auto"/>
        <w:rPr>
          <w:rFonts w:eastAsia="Times New Roman" w:cs="Segoe UI"/>
          <w:color w:val="000000" w:themeColor="text1"/>
          <w:sz w:val="22"/>
          <w:szCs w:val="22"/>
        </w:rPr>
      </w:pPr>
    </w:p>
    <w:p w14:paraId="1F2D3515" w14:textId="77777777" w:rsidR="004D24AF" w:rsidRDefault="004D24AF" w:rsidP="5EF294CC">
      <w:pPr>
        <w:spacing w:after="0" w:line="240" w:lineRule="auto"/>
        <w:rPr>
          <w:rFonts w:eastAsia="Times New Roman" w:cs="Segoe UI"/>
          <w:color w:val="000000" w:themeColor="text1"/>
          <w:sz w:val="22"/>
          <w:szCs w:val="22"/>
        </w:rPr>
      </w:pPr>
    </w:p>
    <w:p w14:paraId="318B39C1" w14:textId="77777777" w:rsidR="004D24AF" w:rsidRDefault="004D24AF" w:rsidP="5EF294CC">
      <w:pPr>
        <w:spacing w:after="0" w:line="240" w:lineRule="auto"/>
        <w:rPr>
          <w:rFonts w:eastAsia="Times New Roman" w:cs="Segoe UI"/>
          <w:color w:val="000000" w:themeColor="text1"/>
          <w:sz w:val="22"/>
          <w:szCs w:val="22"/>
        </w:rPr>
      </w:pPr>
    </w:p>
    <w:p w14:paraId="62AA7831" w14:textId="77777777" w:rsidR="004D24AF" w:rsidRDefault="004D24AF" w:rsidP="5EF294CC">
      <w:pPr>
        <w:spacing w:after="0" w:line="240" w:lineRule="auto"/>
        <w:rPr>
          <w:rFonts w:eastAsia="Times New Roman" w:cs="Segoe UI"/>
          <w:color w:val="000000" w:themeColor="text1"/>
          <w:sz w:val="22"/>
          <w:szCs w:val="22"/>
        </w:rPr>
      </w:pPr>
    </w:p>
    <w:p w14:paraId="4C67DC48" w14:textId="77777777" w:rsidR="004D24AF" w:rsidRDefault="004D24AF" w:rsidP="5EF294CC">
      <w:pPr>
        <w:spacing w:after="0" w:line="240" w:lineRule="auto"/>
        <w:rPr>
          <w:rFonts w:eastAsia="Times New Roman" w:cs="Segoe UI"/>
          <w:color w:val="000000" w:themeColor="text1"/>
          <w:sz w:val="22"/>
          <w:szCs w:val="22"/>
        </w:rPr>
      </w:pPr>
    </w:p>
    <w:p w14:paraId="462C21B4" w14:textId="77777777" w:rsidR="004D24AF" w:rsidRDefault="004D24AF" w:rsidP="5EF294CC">
      <w:pPr>
        <w:spacing w:after="0" w:line="240" w:lineRule="auto"/>
        <w:rPr>
          <w:rFonts w:eastAsia="Times New Roman" w:cs="Segoe UI"/>
          <w:color w:val="000000" w:themeColor="text1"/>
          <w:sz w:val="22"/>
          <w:szCs w:val="22"/>
        </w:rPr>
      </w:pPr>
    </w:p>
    <w:p w14:paraId="2C444BBB" w14:textId="77777777" w:rsidR="004D24AF" w:rsidRDefault="004D24AF" w:rsidP="5EF294CC">
      <w:pPr>
        <w:spacing w:after="0" w:line="240" w:lineRule="auto"/>
        <w:rPr>
          <w:rFonts w:eastAsia="Times New Roman" w:cs="Segoe UI"/>
          <w:color w:val="000000" w:themeColor="text1"/>
          <w:sz w:val="22"/>
          <w:szCs w:val="22"/>
        </w:rPr>
      </w:pPr>
    </w:p>
    <w:p w14:paraId="78CDBC11" w14:textId="77777777" w:rsidR="005405F0" w:rsidRDefault="005405F0" w:rsidP="5EF294CC">
      <w:pPr>
        <w:spacing w:after="0" w:line="240" w:lineRule="auto"/>
        <w:rPr>
          <w:rFonts w:eastAsia="Times New Roman" w:cs="Segoe UI"/>
          <w:color w:val="000000" w:themeColor="text1"/>
          <w:sz w:val="22"/>
          <w:szCs w:val="22"/>
        </w:rPr>
      </w:pPr>
    </w:p>
    <w:p w14:paraId="4105F036" w14:textId="77777777" w:rsidR="005405F0" w:rsidRDefault="005405F0" w:rsidP="5EF294CC">
      <w:pPr>
        <w:spacing w:after="0" w:line="240" w:lineRule="auto"/>
        <w:rPr>
          <w:rFonts w:eastAsia="Times New Roman" w:cs="Segoe UI"/>
          <w:color w:val="000000" w:themeColor="text1"/>
          <w:sz w:val="22"/>
          <w:szCs w:val="22"/>
        </w:rPr>
      </w:pPr>
    </w:p>
    <w:p w14:paraId="3C060B3A" w14:textId="59735A13" w:rsidR="006138C4" w:rsidRPr="006138C4" w:rsidRDefault="004D24AF" w:rsidP="6952A7C3">
      <w:pPr>
        <w:pStyle w:val="Heading1"/>
        <w:spacing w:after="0"/>
        <w:rPr>
          <w:rFonts w:eastAsia="Times New Roman" w:cs="Segoe UI"/>
          <w:color w:val="000000" w:themeColor="text1"/>
          <w:sz w:val="22"/>
          <w:szCs w:val="22"/>
        </w:rPr>
      </w:pPr>
      <w:bookmarkStart w:id="20" w:name="_Toc238561219"/>
      <w:r w:rsidRPr="6952A7C3">
        <w:rPr>
          <w:rFonts w:eastAsia="Times New Roman"/>
        </w:rPr>
        <w:lastRenderedPageBreak/>
        <w:t xml:space="preserve">Appendix </w:t>
      </w:r>
      <w:r w:rsidR="005405F0" w:rsidRPr="6952A7C3">
        <w:rPr>
          <w:rFonts w:eastAsia="Times New Roman"/>
        </w:rPr>
        <w:t>B</w:t>
      </w:r>
      <w:r w:rsidRPr="6952A7C3">
        <w:rPr>
          <w:rFonts w:eastAsia="Times New Roman"/>
        </w:rPr>
        <w:t>: FY 202</w:t>
      </w:r>
      <w:r w:rsidR="00C9689C">
        <w:rPr>
          <w:rFonts w:eastAsia="Times New Roman"/>
        </w:rPr>
        <w:t>7</w:t>
      </w:r>
      <w:r w:rsidRPr="6952A7C3">
        <w:rPr>
          <w:rFonts w:eastAsia="Times New Roman"/>
        </w:rPr>
        <w:t xml:space="preserve"> District Determination </w:t>
      </w:r>
      <w:r w:rsidRPr="6952A7C3">
        <w:rPr>
          <w:rFonts w:eastAsia="Times New Roman"/>
          <w:i/>
          <w:iCs/>
        </w:rPr>
        <w:t>Example</w:t>
      </w:r>
      <w:bookmarkEnd w:id="20"/>
      <w:r w:rsidRPr="6952A7C3">
        <w:rPr>
          <w:rFonts w:eastAsia="Times New Roman"/>
          <w:i/>
          <w:iCs/>
        </w:rPr>
        <w:t xml:space="preserve"> </w:t>
      </w:r>
    </w:p>
    <w:p w14:paraId="39E9B9BF" w14:textId="77777777" w:rsidR="004236F3" w:rsidRPr="00F038B8" w:rsidRDefault="004236F3" w:rsidP="5EF294CC">
      <w:pPr>
        <w:autoSpaceDE w:val="0"/>
        <w:autoSpaceDN w:val="0"/>
        <w:adjustRightInd w:val="0"/>
        <w:spacing w:line="254" w:lineRule="auto"/>
        <w:rPr>
          <w:rFonts w:ascii="Tw Cen MT" w:eastAsia="Times New Roman" w:hAnsi="Tw Cen MT" w:cs="Segoe UI"/>
          <w:b/>
          <w:bCs/>
        </w:rPr>
      </w:pPr>
    </w:p>
    <w:tbl>
      <w:tblPr>
        <w:tblW w:w="1099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686"/>
        <w:gridCol w:w="2617"/>
        <w:gridCol w:w="902"/>
        <w:gridCol w:w="1534"/>
        <w:gridCol w:w="1444"/>
        <w:gridCol w:w="812"/>
      </w:tblGrid>
      <w:tr w:rsidR="006138C4" w:rsidRPr="00F038B8" w14:paraId="7DE42DF6" w14:textId="77777777" w:rsidTr="59056DEA">
        <w:trPr>
          <w:trHeight w:val="474"/>
          <w:jc w:val="center"/>
        </w:trPr>
        <w:tc>
          <w:tcPr>
            <w:tcW w:w="10965" w:type="dxa"/>
            <w:gridSpan w:val="6"/>
            <w:tcBorders>
              <w:top w:val="single" w:sz="12" w:space="0" w:color="auto"/>
              <w:bottom w:val="single" w:sz="12" w:space="0" w:color="auto"/>
            </w:tcBorders>
            <w:shd w:val="clear" w:color="auto" w:fill="FFE483"/>
            <w:vAlign w:val="center"/>
          </w:tcPr>
          <w:p w14:paraId="3568507A" w14:textId="77777777" w:rsidR="006138C4" w:rsidRPr="00F038B8" w:rsidRDefault="006138C4" w:rsidP="006F0F1B">
            <w:pPr>
              <w:spacing w:line="254" w:lineRule="auto"/>
              <w:ind w:left="864" w:right="864"/>
              <w:jc w:val="center"/>
              <w:rPr>
                <w:rFonts w:ascii="Tw Cen MT" w:eastAsia="Times New Roman" w:hAnsi="Tw Cen MT" w:cs="Segoe UI"/>
                <w:b/>
                <w:bCs/>
                <w:sz w:val="28"/>
                <w:szCs w:val="28"/>
              </w:rPr>
            </w:pPr>
            <w:r w:rsidRPr="5EF294CC">
              <w:rPr>
                <w:rFonts w:ascii="Segoe UI" w:eastAsia="Times New Roman" w:hAnsi="Segoe UI" w:cs="Segoe UI"/>
                <w:b/>
                <w:bCs/>
                <w:sz w:val="28"/>
                <w:szCs w:val="28"/>
              </w:rPr>
              <w:t>IDEA Part B Compliance Matrix</w:t>
            </w:r>
          </w:p>
        </w:tc>
      </w:tr>
      <w:tr w:rsidR="006138C4" w:rsidRPr="00F038B8" w14:paraId="2F8C7E9C" w14:textId="77777777" w:rsidTr="59056DEA">
        <w:trPr>
          <w:trHeight w:val="375"/>
          <w:jc w:val="center"/>
        </w:trPr>
        <w:tc>
          <w:tcPr>
            <w:tcW w:w="7185" w:type="dxa"/>
            <w:gridSpan w:val="3"/>
            <w:tcBorders>
              <w:top w:val="single" w:sz="12" w:space="0" w:color="auto"/>
              <w:bottom w:val="single" w:sz="12" w:space="0" w:color="auto"/>
              <w:right w:val="single" w:sz="12" w:space="0" w:color="auto"/>
            </w:tcBorders>
            <w:shd w:val="clear" w:color="auto" w:fill="FFE483"/>
            <w:vAlign w:val="center"/>
          </w:tcPr>
          <w:p w14:paraId="35C427CF" w14:textId="77777777" w:rsidR="006138C4" w:rsidRPr="00F038B8" w:rsidRDefault="006138C4" w:rsidP="5EF294CC">
            <w:pPr>
              <w:spacing w:line="254" w:lineRule="auto"/>
              <w:jc w:val="center"/>
              <w:rPr>
                <w:rFonts w:ascii="Tw Cen MT" w:eastAsia="Times New Roman" w:hAnsi="Tw Cen MT" w:cs="Segoe UI"/>
                <w:b/>
                <w:bCs/>
              </w:rPr>
            </w:pPr>
            <w:r w:rsidRPr="5EF294CC">
              <w:rPr>
                <w:rFonts w:ascii="Segoe UI" w:eastAsia="Times New Roman" w:hAnsi="Segoe UI" w:cs="Segoe UI"/>
                <w:b/>
                <w:bCs/>
              </w:rPr>
              <w:t>Compliance Elements</w:t>
            </w:r>
          </w:p>
        </w:tc>
        <w:tc>
          <w:tcPr>
            <w:tcW w:w="1530" w:type="dxa"/>
            <w:tcBorders>
              <w:top w:val="single" w:sz="12" w:space="0" w:color="auto"/>
              <w:left w:val="single" w:sz="12" w:space="0" w:color="auto"/>
              <w:bottom w:val="single" w:sz="12" w:space="0" w:color="auto"/>
              <w:right w:val="single" w:sz="12" w:space="0" w:color="auto"/>
            </w:tcBorders>
            <w:shd w:val="clear" w:color="auto" w:fill="FFE483"/>
            <w:vAlign w:val="center"/>
          </w:tcPr>
          <w:p w14:paraId="41380A57" w14:textId="77777777" w:rsidR="006138C4" w:rsidRPr="00F038B8" w:rsidRDefault="006138C4" w:rsidP="5EF294CC">
            <w:pPr>
              <w:spacing w:line="254" w:lineRule="auto"/>
              <w:jc w:val="center"/>
              <w:rPr>
                <w:rFonts w:ascii="Tw Cen MT" w:eastAsia="Times New Roman" w:hAnsi="Tw Cen MT" w:cs="Segoe UI"/>
                <w:b/>
                <w:bCs/>
              </w:rPr>
            </w:pPr>
            <w:r w:rsidRPr="5EF294CC">
              <w:rPr>
                <w:rFonts w:ascii="Segoe UI" w:eastAsia="Times New Roman" w:hAnsi="Segoe UI" w:cs="Segoe UI"/>
                <w:b/>
                <w:bCs/>
              </w:rPr>
              <w:t>District</w:t>
            </w:r>
          </w:p>
        </w:tc>
        <w:tc>
          <w:tcPr>
            <w:tcW w:w="1440" w:type="dxa"/>
            <w:tcBorders>
              <w:top w:val="single" w:sz="12" w:space="0" w:color="auto"/>
              <w:left w:val="single" w:sz="12" w:space="0" w:color="auto"/>
              <w:bottom w:val="single" w:sz="12" w:space="0" w:color="auto"/>
              <w:right w:val="single" w:sz="12" w:space="0" w:color="auto"/>
            </w:tcBorders>
            <w:shd w:val="clear" w:color="auto" w:fill="FFE483"/>
            <w:vAlign w:val="center"/>
          </w:tcPr>
          <w:p w14:paraId="1DF172CA" w14:textId="77777777" w:rsidR="006138C4" w:rsidRPr="00F038B8" w:rsidRDefault="006138C4" w:rsidP="5EF294CC">
            <w:pPr>
              <w:spacing w:line="254" w:lineRule="auto"/>
              <w:jc w:val="center"/>
              <w:rPr>
                <w:rFonts w:ascii="Tw Cen MT" w:eastAsia="Times New Roman" w:hAnsi="Tw Cen MT" w:cs="Segoe UI"/>
                <w:b/>
                <w:bCs/>
              </w:rPr>
            </w:pPr>
            <w:r w:rsidRPr="5EF294CC">
              <w:rPr>
                <w:rFonts w:ascii="Segoe UI" w:eastAsia="Times New Roman" w:hAnsi="Segoe UI" w:cs="Segoe UI"/>
                <w:b/>
                <w:bCs/>
              </w:rPr>
              <w:t>Target Met</w:t>
            </w:r>
          </w:p>
        </w:tc>
        <w:tc>
          <w:tcPr>
            <w:tcW w:w="810" w:type="dxa"/>
            <w:tcBorders>
              <w:top w:val="single" w:sz="12" w:space="0" w:color="auto"/>
              <w:left w:val="single" w:sz="12" w:space="0" w:color="auto"/>
              <w:bottom w:val="single" w:sz="12" w:space="0" w:color="auto"/>
            </w:tcBorders>
            <w:shd w:val="clear" w:color="auto" w:fill="FFE483"/>
            <w:vAlign w:val="center"/>
          </w:tcPr>
          <w:p w14:paraId="52CD784A" w14:textId="77777777" w:rsidR="006138C4" w:rsidRPr="00F038B8" w:rsidRDefault="006138C4" w:rsidP="5EF294CC">
            <w:pPr>
              <w:spacing w:line="254" w:lineRule="auto"/>
              <w:jc w:val="center"/>
              <w:rPr>
                <w:rFonts w:ascii="Tw Cen MT" w:eastAsia="Times New Roman" w:hAnsi="Tw Cen MT" w:cs="Segoe UI"/>
                <w:b/>
                <w:bCs/>
              </w:rPr>
            </w:pPr>
            <w:r w:rsidRPr="5EF294CC">
              <w:rPr>
                <w:rFonts w:ascii="Segoe UI" w:eastAsia="Times New Roman" w:hAnsi="Segoe UI" w:cs="Segoe UI"/>
                <w:b/>
                <w:bCs/>
              </w:rPr>
              <w:t>Score</w:t>
            </w:r>
          </w:p>
        </w:tc>
      </w:tr>
      <w:tr w:rsidR="006138C4" w:rsidRPr="00F038B8" w14:paraId="4FAF1BE7" w14:textId="77777777" w:rsidTr="59056DEA">
        <w:trPr>
          <w:trHeight w:val="647"/>
          <w:jc w:val="center"/>
        </w:trPr>
        <w:tc>
          <w:tcPr>
            <w:tcW w:w="7185" w:type="dxa"/>
            <w:gridSpan w:val="3"/>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3BE1E457" w14:textId="77777777" w:rsidR="006138C4" w:rsidRPr="00EB0CC9" w:rsidRDefault="006138C4" w:rsidP="5EF294CC">
            <w:pPr>
              <w:spacing w:line="254" w:lineRule="auto"/>
              <w:rPr>
                <w:rFonts w:ascii="Tw Cen MT" w:eastAsia="Times New Roman" w:hAnsi="Tw Cen MT" w:cs="Segoe UI"/>
              </w:rPr>
            </w:pPr>
            <w:r w:rsidRPr="5EF294CC">
              <w:rPr>
                <w:rFonts w:ascii="Segoe UI" w:eastAsia="Times New Roman" w:hAnsi="Segoe UI" w:cs="Segoe UI"/>
                <w:b/>
                <w:bCs/>
              </w:rPr>
              <w:t>Indicator 4B:</w:t>
            </w:r>
            <w:r w:rsidRPr="5EF294CC">
              <w:rPr>
                <w:rFonts w:ascii="Segoe UI" w:eastAsia="Times New Roman" w:hAnsi="Segoe UI" w:cs="Segoe UI"/>
              </w:rPr>
              <w:t xml:space="preserve">  Significant discrepancy, by race or ethnicity, in the rate of long-term suspensions/ expulsions for children with IEPs </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401A3E3" w14:textId="494AF1C6" w:rsidR="006138C4" w:rsidRPr="00EB0CC9" w:rsidRDefault="00911AE8" w:rsidP="5EF294CC">
            <w:pPr>
              <w:spacing w:line="254" w:lineRule="auto"/>
              <w:jc w:val="center"/>
              <w:rPr>
                <w:rFonts w:ascii="Tw Cen MT" w:eastAsia="Times New Roman" w:hAnsi="Tw Cen MT" w:cs="Segoe UI"/>
                <w:b/>
                <w:bCs/>
              </w:rPr>
            </w:pPr>
            <w:r>
              <w:rPr>
                <w:rFonts w:ascii="Tw Cen MT" w:eastAsia="Times New Roman" w:hAnsi="Tw Cen MT" w:cs="Segoe UI"/>
                <w:b/>
                <w:bCs/>
              </w:rPr>
              <w:t>1.00</w:t>
            </w:r>
          </w:p>
        </w:tc>
        <w:tc>
          <w:tcPr>
            <w:tcW w:w="144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DF923D7" w14:textId="77777777" w:rsidR="006138C4" w:rsidRPr="005A7883" w:rsidRDefault="006138C4" w:rsidP="5EF294CC">
            <w:pPr>
              <w:spacing w:line="254" w:lineRule="auto"/>
              <w:jc w:val="center"/>
              <w:rPr>
                <w:rFonts w:ascii="Tw Cen MT" w:eastAsia="Times New Roman" w:hAnsi="Tw Cen MT" w:cs="Segoe UI"/>
                <w:b/>
                <w:bCs/>
              </w:rPr>
            </w:pPr>
            <w:r w:rsidRPr="59056DEA">
              <w:rPr>
                <w:rFonts w:ascii="Tw Cen MT" w:eastAsia="Times New Roman" w:hAnsi="Tw Cen MT" w:cs="Segoe UI"/>
                <w:b/>
                <w:bCs/>
              </w:rPr>
              <w:t>Yes</w:t>
            </w:r>
          </w:p>
        </w:tc>
        <w:tc>
          <w:tcPr>
            <w:tcW w:w="810" w:type="dxa"/>
            <w:tcBorders>
              <w:top w:val="single" w:sz="12" w:space="0" w:color="auto"/>
              <w:left w:val="single" w:sz="12" w:space="0" w:color="auto"/>
              <w:bottom w:val="single" w:sz="12" w:space="0" w:color="auto"/>
            </w:tcBorders>
            <w:vAlign w:val="center"/>
          </w:tcPr>
          <w:p w14:paraId="49E0C9EB" w14:textId="28BD96B1" w:rsidR="006138C4" w:rsidRPr="005A7883" w:rsidRDefault="00947362" w:rsidP="5EF294CC">
            <w:pPr>
              <w:spacing w:line="254" w:lineRule="auto"/>
              <w:jc w:val="center"/>
              <w:rPr>
                <w:rFonts w:ascii="Tw Cen MT" w:eastAsia="Times New Roman" w:hAnsi="Tw Cen MT" w:cs="Segoe UI"/>
                <w:b/>
                <w:bCs/>
              </w:rPr>
            </w:pPr>
            <w:r>
              <w:rPr>
                <w:rFonts w:ascii="Tw Cen MT" w:eastAsia="Times New Roman" w:hAnsi="Tw Cen MT" w:cs="Segoe UI"/>
                <w:b/>
                <w:bCs/>
              </w:rPr>
              <w:t>2</w:t>
            </w:r>
          </w:p>
        </w:tc>
      </w:tr>
      <w:tr w:rsidR="006138C4" w:rsidRPr="00F038B8" w14:paraId="03D309F7" w14:textId="77777777" w:rsidTr="59056DEA">
        <w:trPr>
          <w:trHeight w:val="998"/>
          <w:jc w:val="center"/>
        </w:trPr>
        <w:tc>
          <w:tcPr>
            <w:tcW w:w="7185" w:type="dxa"/>
            <w:gridSpan w:val="3"/>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0BCE5D77" w14:textId="13B895BE" w:rsidR="006138C4" w:rsidRPr="005A7883" w:rsidRDefault="006138C4" w:rsidP="5EF294CC">
            <w:pPr>
              <w:spacing w:line="254" w:lineRule="auto"/>
              <w:rPr>
                <w:rFonts w:ascii="Tw Cen MT" w:eastAsia="Times New Roman" w:hAnsi="Tw Cen MT" w:cs="Segoe UI"/>
              </w:rPr>
            </w:pPr>
            <w:r w:rsidRPr="5EF294CC">
              <w:rPr>
                <w:rFonts w:ascii="Segoe UI" w:eastAsia="Times New Roman" w:hAnsi="Segoe UI" w:cs="Segoe UI"/>
                <w:b/>
                <w:bCs/>
              </w:rPr>
              <w:t>Indicator 9:</w:t>
            </w:r>
            <w:r w:rsidRPr="5EF294CC">
              <w:rPr>
                <w:rFonts w:ascii="Segoe UI" w:eastAsia="Times New Roman" w:hAnsi="Segoe UI" w:cs="Segoe UI"/>
              </w:rPr>
              <w:t xml:space="preserve"> Disproportionate representation of racial and ethnic groups in special education and related services due to inappropriate identification</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06E44AF7" w14:textId="77777777" w:rsidR="006138C4" w:rsidRPr="005A7883" w:rsidRDefault="006138C4" w:rsidP="5EF294CC">
            <w:pPr>
              <w:spacing w:line="254" w:lineRule="auto"/>
              <w:jc w:val="center"/>
              <w:rPr>
                <w:rFonts w:ascii="Tw Cen MT" w:eastAsia="Times New Roman" w:hAnsi="Tw Cen MT" w:cs="Segoe UI"/>
                <w:b/>
                <w:bCs/>
              </w:rPr>
            </w:pPr>
            <w:r w:rsidRPr="5EF294CC">
              <w:rPr>
                <w:rFonts w:ascii="Tw Cen MT" w:eastAsia="Times New Roman" w:hAnsi="Tw Cen MT" w:cs="Segoe UI"/>
                <w:b/>
                <w:bCs/>
              </w:rPr>
              <w:t>1.48</w:t>
            </w:r>
          </w:p>
        </w:tc>
        <w:tc>
          <w:tcPr>
            <w:tcW w:w="144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7F1CAA10" w14:textId="77777777" w:rsidR="006138C4" w:rsidRPr="00EB0CC9" w:rsidRDefault="006138C4" w:rsidP="5EF294CC">
            <w:pPr>
              <w:spacing w:line="254" w:lineRule="auto"/>
              <w:jc w:val="center"/>
              <w:rPr>
                <w:rFonts w:ascii="Tw Cen MT" w:eastAsia="Times New Roman" w:hAnsi="Tw Cen MT" w:cs="Segoe UI"/>
                <w:b/>
                <w:bCs/>
              </w:rPr>
            </w:pPr>
            <w:r w:rsidRPr="5EF294CC">
              <w:rPr>
                <w:rFonts w:ascii="Tw Cen MT" w:eastAsia="Times New Roman" w:hAnsi="Tw Cen MT" w:cs="Segoe UI"/>
                <w:b/>
                <w:bCs/>
              </w:rPr>
              <w:t>Yes</w:t>
            </w:r>
          </w:p>
        </w:tc>
        <w:tc>
          <w:tcPr>
            <w:tcW w:w="810" w:type="dxa"/>
            <w:tcBorders>
              <w:top w:val="single" w:sz="12" w:space="0" w:color="auto"/>
              <w:left w:val="single" w:sz="12" w:space="0" w:color="auto"/>
              <w:bottom w:val="single" w:sz="12" w:space="0" w:color="auto"/>
            </w:tcBorders>
            <w:shd w:val="clear" w:color="auto" w:fill="FFFFFF" w:themeFill="background1"/>
            <w:vAlign w:val="center"/>
          </w:tcPr>
          <w:p w14:paraId="09B51AD5" w14:textId="77777777" w:rsidR="006138C4" w:rsidRPr="00EB0CC9" w:rsidRDefault="006138C4" w:rsidP="5EF294CC">
            <w:pPr>
              <w:spacing w:line="254" w:lineRule="auto"/>
              <w:jc w:val="center"/>
              <w:rPr>
                <w:rFonts w:ascii="Tw Cen MT" w:eastAsia="Times New Roman" w:hAnsi="Tw Cen MT" w:cs="Segoe UI"/>
                <w:b/>
                <w:bCs/>
              </w:rPr>
            </w:pPr>
            <w:r w:rsidRPr="5EF294CC">
              <w:rPr>
                <w:rFonts w:ascii="Tw Cen MT" w:eastAsia="Times New Roman" w:hAnsi="Tw Cen MT" w:cs="Segoe UI"/>
                <w:b/>
                <w:bCs/>
              </w:rPr>
              <w:t>2</w:t>
            </w:r>
          </w:p>
        </w:tc>
      </w:tr>
      <w:tr w:rsidR="006138C4" w:rsidRPr="00F038B8" w14:paraId="733D585B" w14:textId="77777777" w:rsidTr="59056DEA">
        <w:trPr>
          <w:trHeight w:val="1008"/>
          <w:jc w:val="center"/>
        </w:trPr>
        <w:tc>
          <w:tcPr>
            <w:tcW w:w="7185" w:type="dxa"/>
            <w:gridSpan w:val="3"/>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5231FF21" w14:textId="060BD0D3" w:rsidR="006138C4" w:rsidRPr="00DB2268" w:rsidRDefault="006138C4" w:rsidP="5EF294CC">
            <w:pPr>
              <w:spacing w:line="254" w:lineRule="auto"/>
              <w:rPr>
                <w:rFonts w:ascii="Tw Cen MT" w:eastAsia="Times New Roman" w:hAnsi="Tw Cen MT" w:cs="Segoe UI"/>
                <w:highlight w:val="green"/>
              </w:rPr>
            </w:pPr>
            <w:r w:rsidRPr="5EF294CC">
              <w:rPr>
                <w:rFonts w:ascii="Segoe UI" w:eastAsia="Times New Roman" w:hAnsi="Segoe UI" w:cs="Segoe UI"/>
                <w:b/>
                <w:bCs/>
              </w:rPr>
              <w:t>Indicator 10:</w:t>
            </w:r>
            <w:r w:rsidRPr="5EF294CC">
              <w:rPr>
                <w:rFonts w:ascii="Segoe UI" w:eastAsia="Times New Roman" w:hAnsi="Segoe UI" w:cs="Segoe UI"/>
              </w:rPr>
              <w:t xml:space="preserve"> Disproportionate representation of racial and ethnic groups in specific disability categories due to inappropriate identification </w:t>
            </w:r>
            <w:r w:rsidRPr="5EF294CC">
              <w:rPr>
                <w:rFonts w:ascii="Segoe UI" w:eastAsia="Times New Roman" w:hAnsi="Segoe UI" w:cs="Segoe UI"/>
                <w:b/>
                <w:bCs/>
              </w:rPr>
              <w:t>(Area of concern: AUT - White)</w:t>
            </w:r>
          </w:p>
        </w:tc>
        <w:tc>
          <w:tcPr>
            <w:tcW w:w="1530" w:type="dxa"/>
            <w:tcBorders>
              <w:top w:val="single" w:sz="12" w:space="0" w:color="auto"/>
              <w:left w:val="single" w:sz="12" w:space="0" w:color="auto"/>
              <w:bottom w:val="single" w:sz="12" w:space="0" w:color="auto"/>
              <w:right w:val="single" w:sz="12" w:space="0" w:color="auto"/>
            </w:tcBorders>
            <w:vAlign w:val="center"/>
          </w:tcPr>
          <w:p w14:paraId="631569E1" w14:textId="77777777" w:rsidR="006138C4" w:rsidRPr="00DF3438" w:rsidRDefault="006138C4" w:rsidP="5EF294CC">
            <w:pPr>
              <w:spacing w:line="254" w:lineRule="auto"/>
              <w:jc w:val="center"/>
              <w:rPr>
                <w:rFonts w:ascii="Tw Cen MT" w:eastAsia="Times New Roman" w:hAnsi="Tw Cen MT" w:cs="Segoe UI"/>
                <w:b/>
                <w:bCs/>
              </w:rPr>
            </w:pPr>
            <w:r w:rsidRPr="5EF294CC">
              <w:rPr>
                <w:rFonts w:ascii="Tw Cen MT" w:eastAsia="Times New Roman" w:hAnsi="Tw Cen MT" w:cs="Segoe UI"/>
                <w:b/>
                <w:bCs/>
              </w:rPr>
              <w:t>1.91</w:t>
            </w:r>
          </w:p>
        </w:tc>
        <w:tc>
          <w:tcPr>
            <w:tcW w:w="1440" w:type="dxa"/>
            <w:tcBorders>
              <w:top w:val="single" w:sz="12" w:space="0" w:color="auto"/>
              <w:left w:val="single" w:sz="12" w:space="0" w:color="auto"/>
              <w:bottom w:val="single" w:sz="12" w:space="0" w:color="auto"/>
              <w:right w:val="single" w:sz="12" w:space="0" w:color="auto"/>
            </w:tcBorders>
            <w:vAlign w:val="center"/>
          </w:tcPr>
          <w:p w14:paraId="478BD539" w14:textId="77777777" w:rsidR="006138C4" w:rsidRPr="00DF3438" w:rsidRDefault="006138C4" w:rsidP="5EF294CC">
            <w:pPr>
              <w:spacing w:line="254" w:lineRule="auto"/>
              <w:jc w:val="center"/>
              <w:rPr>
                <w:rFonts w:ascii="Tw Cen MT" w:eastAsia="Times New Roman" w:hAnsi="Tw Cen MT" w:cs="Segoe UI"/>
                <w:b/>
                <w:bCs/>
              </w:rPr>
            </w:pPr>
            <w:r w:rsidRPr="5EF294CC">
              <w:rPr>
                <w:rFonts w:ascii="Tw Cen MT" w:eastAsia="Times New Roman" w:hAnsi="Tw Cen MT" w:cs="Segoe UI"/>
                <w:b/>
                <w:bCs/>
              </w:rPr>
              <w:t>Yes</w:t>
            </w:r>
          </w:p>
        </w:tc>
        <w:tc>
          <w:tcPr>
            <w:tcW w:w="810" w:type="dxa"/>
            <w:tcBorders>
              <w:top w:val="single" w:sz="12" w:space="0" w:color="auto"/>
              <w:left w:val="single" w:sz="12" w:space="0" w:color="auto"/>
              <w:bottom w:val="single" w:sz="12" w:space="0" w:color="auto"/>
            </w:tcBorders>
            <w:shd w:val="clear" w:color="auto" w:fill="FFFFFF" w:themeFill="background1"/>
            <w:vAlign w:val="center"/>
          </w:tcPr>
          <w:p w14:paraId="5A7FC88B" w14:textId="77777777" w:rsidR="006138C4" w:rsidRPr="00DF3438" w:rsidRDefault="006138C4" w:rsidP="5EF294CC">
            <w:pPr>
              <w:spacing w:line="254" w:lineRule="auto"/>
              <w:jc w:val="center"/>
              <w:rPr>
                <w:rFonts w:ascii="Tw Cen MT" w:eastAsia="Times New Roman" w:hAnsi="Tw Cen MT" w:cs="Segoe UI"/>
                <w:b/>
                <w:bCs/>
              </w:rPr>
            </w:pPr>
            <w:r w:rsidRPr="5EF294CC">
              <w:rPr>
                <w:rFonts w:ascii="Tw Cen MT" w:eastAsia="Times New Roman" w:hAnsi="Tw Cen MT" w:cs="Segoe UI"/>
                <w:b/>
                <w:bCs/>
              </w:rPr>
              <w:t xml:space="preserve">2 </w:t>
            </w:r>
          </w:p>
        </w:tc>
      </w:tr>
      <w:tr w:rsidR="006138C4" w:rsidRPr="00F038B8" w14:paraId="4315694C" w14:textId="77777777" w:rsidTr="59056DEA">
        <w:trPr>
          <w:trHeight w:val="432"/>
          <w:jc w:val="center"/>
        </w:trPr>
        <w:tc>
          <w:tcPr>
            <w:tcW w:w="7185" w:type="dxa"/>
            <w:gridSpan w:val="3"/>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13738F6D" w14:textId="2800FB26" w:rsidR="006138C4" w:rsidRPr="00DF3438" w:rsidRDefault="006138C4" w:rsidP="5EF294CC">
            <w:pPr>
              <w:spacing w:line="254" w:lineRule="auto"/>
              <w:jc w:val="left"/>
              <w:rPr>
                <w:rFonts w:ascii="Tw Cen MT" w:eastAsia="Times New Roman" w:hAnsi="Tw Cen MT" w:cs="Segoe UI"/>
                <w:b/>
                <w:bCs/>
              </w:rPr>
            </w:pPr>
            <w:r w:rsidRPr="5EF294CC">
              <w:rPr>
                <w:rFonts w:ascii="Segoe UI" w:eastAsia="Times New Roman" w:hAnsi="Segoe UI" w:cs="Segoe UI"/>
                <w:b/>
                <w:bCs/>
              </w:rPr>
              <w:t xml:space="preserve">Indicator 11: </w:t>
            </w:r>
            <w:r w:rsidRPr="5EF294CC">
              <w:rPr>
                <w:rFonts w:ascii="Segoe UI" w:eastAsia="Times New Roman" w:hAnsi="Segoe UI" w:cs="Segoe UI"/>
              </w:rPr>
              <w:t>Child Find; timely initial evaluation</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351FF85" w14:textId="7316CACE" w:rsidR="006138C4" w:rsidRPr="00DF3438" w:rsidRDefault="006138C4" w:rsidP="5EF294CC">
            <w:pPr>
              <w:spacing w:line="254" w:lineRule="auto"/>
              <w:jc w:val="center"/>
              <w:rPr>
                <w:rFonts w:ascii="Tw Cen MT" w:eastAsia="Times New Roman" w:hAnsi="Tw Cen MT" w:cs="Segoe UI"/>
                <w:b/>
                <w:bCs/>
              </w:rPr>
            </w:pPr>
            <w:r w:rsidRPr="5EF294CC">
              <w:rPr>
                <w:rFonts w:ascii="Tw Cen MT" w:eastAsia="Times New Roman" w:hAnsi="Tw Cen MT" w:cs="Segoe UI"/>
                <w:b/>
                <w:bCs/>
              </w:rPr>
              <w:t>100%</w:t>
            </w:r>
          </w:p>
        </w:tc>
        <w:tc>
          <w:tcPr>
            <w:tcW w:w="144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0BC470A1" w14:textId="77777777" w:rsidR="006138C4" w:rsidRPr="00DB2268" w:rsidRDefault="006138C4" w:rsidP="5EF294CC">
            <w:pPr>
              <w:spacing w:line="254" w:lineRule="auto"/>
              <w:jc w:val="center"/>
              <w:rPr>
                <w:rFonts w:ascii="Tw Cen MT" w:eastAsia="Times New Roman" w:hAnsi="Tw Cen MT" w:cs="Segoe UI"/>
                <w:b/>
                <w:bCs/>
                <w:highlight w:val="green"/>
              </w:rPr>
            </w:pPr>
            <w:r w:rsidRPr="5EF294CC">
              <w:rPr>
                <w:rFonts w:ascii="Tw Cen MT" w:eastAsia="Times New Roman" w:hAnsi="Tw Cen MT" w:cs="Segoe UI"/>
                <w:b/>
                <w:bCs/>
              </w:rPr>
              <w:t>Yes</w:t>
            </w:r>
          </w:p>
        </w:tc>
        <w:tc>
          <w:tcPr>
            <w:tcW w:w="810" w:type="dxa"/>
            <w:tcBorders>
              <w:top w:val="single" w:sz="12" w:space="0" w:color="auto"/>
              <w:left w:val="single" w:sz="12" w:space="0" w:color="auto"/>
              <w:bottom w:val="single" w:sz="12" w:space="0" w:color="auto"/>
            </w:tcBorders>
            <w:shd w:val="clear" w:color="auto" w:fill="FFFFFF" w:themeFill="background1"/>
            <w:vAlign w:val="center"/>
          </w:tcPr>
          <w:p w14:paraId="0A2185C4" w14:textId="77777777" w:rsidR="006138C4" w:rsidRPr="00DB2268" w:rsidRDefault="006138C4" w:rsidP="5EF294CC">
            <w:pPr>
              <w:spacing w:line="254" w:lineRule="auto"/>
              <w:jc w:val="center"/>
              <w:rPr>
                <w:rFonts w:ascii="Tw Cen MT" w:eastAsia="Times New Roman" w:hAnsi="Tw Cen MT" w:cs="Segoe UI"/>
                <w:b/>
                <w:bCs/>
                <w:highlight w:val="green"/>
              </w:rPr>
            </w:pPr>
            <w:r w:rsidRPr="5EF294CC">
              <w:rPr>
                <w:rFonts w:ascii="Tw Cen MT" w:eastAsia="Times New Roman" w:hAnsi="Tw Cen MT" w:cs="Segoe UI"/>
                <w:b/>
                <w:bCs/>
              </w:rPr>
              <w:t>2</w:t>
            </w:r>
          </w:p>
        </w:tc>
      </w:tr>
      <w:tr w:rsidR="006138C4" w:rsidRPr="00F038B8" w14:paraId="51969F13" w14:textId="77777777" w:rsidTr="00947362">
        <w:trPr>
          <w:trHeight w:val="432"/>
          <w:jc w:val="center"/>
        </w:trPr>
        <w:tc>
          <w:tcPr>
            <w:tcW w:w="7185" w:type="dxa"/>
            <w:gridSpan w:val="3"/>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2775722F" w14:textId="65953436" w:rsidR="006138C4" w:rsidRPr="00CA210D" w:rsidRDefault="006138C4" w:rsidP="5EF294CC">
            <w:pPr>
              <w:spacing w:line="254" w:lineRule="auto"/>
              <w:jc w:val="left"/>
              <w:rPr>
                <w:rFonts w:ascii="Tw Cen MT" w:eastAsia="Times New Roman" w:hAnsi="Tw Cen MT" w:cs="Segoe UI"/>
                <w:b/>
                <w:bCs/>
              </w:rPr>
            </w:pPr>
            <w:r w:rsidRPr="5EF294CC">
              <w:rPr>
                <w:rFonts w:ascii="Segoe UI" w:eastAsia="Times New Roman" w:hAnsi="Segoe UI" w:cs="Segoe UI"/>
                <w:b/>
                <w:bCs/>
              </w:rPr>
              <w:t>Indicator 12:</w:t>
            </w:r>
            <w:r w:rsidR="00FF09EB">
              <w:rPr>
                <w:rFonts w:ascii="Segoe UI" w:eastAsia="Times New Roman" w:hAnsi="Segoe UI" w:cs="Segoe UI"/>
                <w:b/>
                <w:bCs/>
              </w:rPr>
              <w:t xml:space="preserve"> </w:t>
            </w:r>
            <w:r w:rsidRPr="5EF294CC">
              <w:rPr>
                <w:rFonts w:ascii="Segoe UI" w:eastAsia="Times New Roman" w:hAnsi="Segoe UI" w:cs="Segoe UI"/>
              </w:rPr>
              <w:t>Early Childhood Transition; IEP developed/implemented by third birthday</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FAA4C4A" w14:textId="77777777" w:rsidR="006138C4" w:rsidRPr="00CA210D" w:rsidRDefault="006138C4" w:rsidP="5EF294CC">
            <w:pPr>
              <w:spacing w:line="254" w:lineRule="auto"/>
              <w:jc w:val="center"/>
              <w:rPr>
                <w:rFonts w:ascii="Tw Cen MT" w:eastAsia="Times New Roman" w:hAnsi="Tw Cen MT" w:cs="Segoe UI"/>
                <w:b/>
                <w:bCs/>
              </w:rPr>
            </w:pPr>
            <w:r w:rsidRPr="5EF294CC">
              <w:rPr>
                <w:rFonts w:ascii="Tw Cen MT" w:eastAsia="Times New Roman" w:hAnsi="Tw Cen MT" w:cs="Segoe UI"/>
                <w:b/>
                <w:bCs/>
              </w:rPr>
              <w:t>100%</w:t>
            </w:r>
          </w:p>
        </w:tc>
        <w:tc>
          <w:tcPr>
            <w:tcW w:w="144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33D9D35" w14:textId="77777777" w:rsidR="006138C4" w:rsidRPr="00CA210D" w:rsidRDefault="006138C4" w:rsidP="5EF294CC">
            <w:pPr>
              <w:spacing w:line="254" w:lineRule="auto"/>
              <w:jc w:val="center"/>
              <w:rPr>
                <w:rFonts w:ascii="Tw Cen MT" w:eastAsia="Times New Roman" w:hAnsi="Tw Cen MT" w:cs="Segoe UI"/>
                <w:b/>
                <w:bCs/>
              </w:rPr>
            </w:pPr>
            <w:r w:rsidRPr="5EF294CC">
              <w:rPr>
                <w:rFonts w:ascii="Tw Cen MT" w:eastAsia="Times New Roman" w:hAnsi="Tw Cen MT" w:cs="Segoe UI"/>
                <w:b/>
                <w:bCs/>
              </w:rPr>
              <w:t>Yes</w:t>
            </w:r>
          </w:p>
        </w:tc>
        <w:tc>
          <w:tcPr>
            <w:tcW w:w="810" w:type="dxa"/>
            <w:tcBorders>
              <w:top w:val="single" w:sz="12" w:space="0" w:color="auto"/>
              <w:left w:val="single" w:sz="12" w:space="0" w:color="auto"/>
              <w:bottom w:val="single" w:sz="12" w:space="0" w:color="auto"/>
            </w:tcBorders>
            <w:vAlign w:val="center"/>
          </w:tcPr>
          <w:p w14:paraId="0DC4CA6E" w14:textId="77777777" w:rsidR="006138C4" w:rsidRPr="00DB2268" w:rsidRDefault="006138C4" w:rsidP="5EF294CC">
            <w:pPr>
              <w:spacing w:line="254" w:lineRule="auto"/>
              <w:jc w:val="center"/>
              <w:rPr>
                <w:rFonts w:ascii="Tw Cen MT" w:eastAsia="Times New Roman" w:hAnsi="Tw Cen MT" w:cs="Segoe UI"/>
                <w:b/>
                <w:bCs/>
                <w:highlight w:val="green"/>
              </w:rPr>
            </w:pPr>
            <w:r w:rsidRPr="5EF294CC">
              <w:rPr>
                <w:rFonts w:ascii="Tw Cen MT" w:eastAsia="Times New Roman" w:hAnsi="Tw Cen MT" w:cs="Segoe UI"/>
                <w:b/>
                <w:bCs/>
              </w:rPr>
              <w:t>2</w:t>
            </w:r>
          </w:p>
        </w:tc>
      </w:tr>
      <w:tr w:rsidR="006138C4" w:rsidRPr="00BC1AE9" w14:paraId="2D1136E4" w14:textId="77777777" w:rsidTr="00947362">
        <w:trPr>
          <w:trHeight w:val="1016"/>
          <w:jc w:val="center"/>
        </w:trPr>
        <w:tc>
          <w:tcPr>
            <w:tcW w:w="7185" w:type="dxa"/>
            <w:gridSpan w:val="3"/>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270BB5EA" w14:textId="6E7D18C2" w:rsidR="006138C4" w:rsidRPr="00BC1AE9" w:rsidRDefault="006138C4" w:rsidP="006F0F1B">
            <w:pPr>
              <w:spacing w:line="254" w:lineRule="auto"/>
              <w:rPr>
                <w:rFonts w:ascii="Segoe UI" w:eastAsia="Times New Roman" w:hAnsi="Segoe UI" w:cs="Segoe UI"/>
              </w:rPr>
            </w:pPr>
            <w:r w:rsidRPr="5EF294CC">
              <w:rPr>
                <w:rFonts w:ascii="Segoe UI" w:eastAsia="Times New Roman" w:hAnsi="Segoe UI" w:cs="Segoe UI"/>
                <w:b/>
                <w:bCs/>
              </w:rPr>
              <w:t>Indicator 13A:</w:t>
            </w:r>
            <w:r w:rsidRPr="5EF294CC">
              <w:rPr>
                <w:rFonts w:ascii="Segoe UI" w:eastAsia="Times New Roman" w:hAnsi="Segoe UI" w:cs="Segoe UI"/>
              </w:rPr>
              <w:t xml:space="preserve"> For students of secondary transition age (ages 15 – 21), an IEP, including all required transition components, has been completed annually on or before the anniversary date. </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9A2D84B" w14:textId="75DEDF13" w:rsidR="006138C4" w:rsidRPr="00CA210D" w:rsidRDefault="006138C4" w:rsidP="00947362">
            <w:pPr>
              <w:spacing w:line="254" w:lineRule="auto"/>
              <w:jc w:val="center"/>
              <w:rPr>
                <w:rFonts w:ascii="Tw Cen MT" w:eastAsia="Times New Roman" w:hAnsi="Tw Cen MT" w:cs="Segoe UI"/>
                <w:b/>
                <w:bCs/>
                <w:noProof/>
              </w:rPr>
            </w:pPr>
            <w:r w:rsidRPr="5EF294CC">
              <w:rPr>
                <w:rFonts w:ascii="Tw Cen MT" w:eastAsia="Times New Roman" w:hAnsi="Tw Cen MT" w:cs="Segoe UI"/>
                <w:b/>
                <w:bCs/>
              </w:rPr>
              <w:t>100%</w:t>
            </w:r>
          </w:p>
        </w:tc>
        <w:tc>
          <w:tcPr>
            <w:tcW w:w="144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07509B9A" w14:textId="77777777" w:rsidR="006138C4" w:rsidRPr="005A7883" w:rsidRDefault="006138C4" w:rsidP="5EF294CC">
            <w:pPr>
              <w:spacing w:line="254" w:lineRule="auto"/>
              <w:jc w:val="center"/>
              <w:rPr>
                <w:rFonts w:ascii="Tw Cen MT" w:eastAsia="Times New Roman" w:hAnsi="Tw Cen MT" w:cs="Segoe UI"/>
                <w:b/>
                <w:bCs/>
              </w:rPr>
            </w:pPr>
            <w:r w:rsidRPr="5EF294CC">
              <w:rPr>
                <w:rFonts w:ascii="Tw Cen MT" w:eastAsia="Times New Roman" w:hAnsi="Tw Cen MT" w:cs="Segoe UI"/>
                <w:b/>
                <w:bCs/>
              </w:rPr>
              <w:t>Yes</w:t>
            </w:r>
          </w:p>
        </w:tc>
        <w:tc>
          <w:tcPr>
            <w:tcW w:w="810" w:type="dxa"/>
            <w:tcBorders>
              <w:top w:val="single" w:sz="12" w:space="0" w:color="auto"/>
              <w:left w:val="single" w:sz="12" w:space="0" w:color="auto"/>
              <w:bottom w:val="single" w:sz="12" w:space="0" w:color="auto"/>
            </w:tcBorders>
            <w:vAlign w:val="center"/>
          </w:tcPr>
          <w:p w14:paraId="3A6E1B11" w14:textId="77777777" w:rsidR="006138C4" w:rsidRPr="00BC1AE9" w:rsidRDefault="006138C4" w:rsidP="5EF294CC">
            <w:pPr>
              <w:spacing w:line="254" w:lineRule="auto"/>
              <w:jc w:val="center"/>
              <w:rPr>
                <w:rFonts w:ascii="Tw Cen MT" w:eastAsia="Times New Roman" w:hAnsi="Tw Cen MT" w:cs="Segoe UI"/>
                <w:b/>
                <w:bCs/>
              </w:rPr>
            </w:pPr>
            <w:r w:rsidRPr="5EF294CC">
              <w:rPr>
                <w:rFonts w:ascii="Tw Cen MT" w:eastAsia="Times New Roman" w:hAnsi="Tw Cen MT" w:cs="Segoe UI"/>
                <w:b/>
                <w:bCs/>
              </w:rPr>
              <w:t>1</w:t>
            </w:r>
          </w:p>
        </w:tc>
      </w:tr>
      <w:tr w:rsidR="006138C4" w:rsidRPr="00F038B8" w14:paraId="57ED825E" w14:textId="77777777" w:rsidTr="00947362">
        <w:trPr>
          <w:trHeight w:val="2413"/>
          <w:jc w:val="center"/>
        </w:trPr>
        <w:tc>
          <w:tcPr>
            <w:tcW w:w="7185" w:type="dxa"/>
            <w:gridSpan w:val="3"/>
            <w:tcBorders>
              <w:top w:val="single" w:sz="12" w:space="0" w:color="auto"/>
            </w:tcBorders>
            <w:shd w:val="clear" w:color="auto" w:fill="FFFFFF" w:themeFill="background1"/>
            <w:tcMar>
              <w:top w:w="43" w:type="dxa"/>
              <w:left w:w="86" w:type="dxa"/>
              <w:bottom w:w="43" w:type="dxa"/>
              <w:right w:w="86" w:type="dxa"/>
            </w:tcMar>
            <w:vAlign w:val="center"/>
          </w:tcPr>
          <w:p w14:paraId="087388E5" w14:textId="502BB4B9" w:rsidR="006138C4" w:rsidRPr="00F038B8" w:rsidRDefault="00947362" w:rsidP="006F0F1B">
            <w:pPr>
              <w:spacing w:line="254" w:lineRule="auto"/>
              <w:rPr>
                <w:rFonts w:ascii="Tw Cen MT" w:eastAsia="Times New Roman" w:hAnsi="Tw Cen MT" w:cs="Segoe UI"/>
                <w:b/>
                <w:bCs/>
              </w:rPr>
            </w:pPr>
            <w:r w:rsidRPr="5EF294CC">
              <w:rPr>
                <w:rFonts w:ascii="Segoe UI" w:eastAsia="Times New Roman" w:hAnsi="Segoe UI" w:cs="Segoe UI"/>
                <w:b/>
                <w:bCs/>
              </w:rPr>
              <w:t>Indicator 13B:</w:t>
            </w:r>
            <w:r w:rsidRPr="5EF294CC">
              <w:rPr>
                <w:rFonts w:ascii="Segoe UI" w:eastAsia="Times New Roman" w:hAnsi="Segoe UI" w:cs="Segoe UI"/>
              </w:rPr>
              <w:t xml:space="preserve"> Secondary transition plans, for students of secondary transition ages (ages 15 – 21), whose IEPs demonstrate measurable post-secondary goals, annual IEP goals, services, and course of study aligned with current transition assessments that will enable the student to meet the post-secondary goals.  There must be evidence of student invitation and participating agency, if appropriate.</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3577848" w14:textId="77777777" w:rsidR="006138C4" w:rsidRPr="00F038B8" w:rsidRDefault="006138C4" w:rsidP="5EF294CC">
            <w:pPr>
              <w:spacing w:line="254" w:lineRule="auto"/>
              <w:jc w:val="center"/>
              <w:rPr>
                <w:rFonts w:ascii="Tw Cen MT" w:eastAsia="Times New Roman" w:hAnsi="Tw Cen MT" w:cs="Segoe UI"/>
                <w:b/>
                <w:bCs/>
              </w:rPr>
            </w:pPr>
            <w:r w:rsidRPr="5EF294CC">
              <w:rPr>
                <w:rFonts w:ascii="Tw Cen MT" w:eastAsia="Times New Roman" w:hAnsi="Tw Cen MT" w:cs="Segoe UI"/>
                <w:b/>
                <w:bCs/>
              </w:rPr>
              <w:t>100%</w:t>
            </w:r>
          </w:p>
        </w:tc>
        <w:tc>
          <w:tcPr>
            <w:tcW w:w="14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5DAE39BF" w14:textId="77777777" w:rsidR="006138C4" w:rsidRPr="00F038B8" w:rsidRDefault="006138C4" w:rsidP="5EF294CC">
            <w:pPr>
              <w:spacing w:line="254" w:lineRule="auto"/>
              <w:jc w:val="center"/>
              <w:rPr>
                <w:rFonts w:ascii="Tw Cen MT" w:eastAsia="Times New Roman" w:hAnsi="Tw Cen MT" w:cs="Segoe UI"/>
                <w:b/>
                <w:bCs/>
              </w:rPr>
            </w:pPr>
            <w:r w:rsidRPr="5EF294CC">
              <w:rPr>
                <w:rFonts w:ascii="Tw Cen MT" w:eastAsia="Times New Roman" w:hAnsi="Tw Cen MT" w:cs="Segoe UI"/>
                <w:b/>
                <w:bCs/>
              </w:rPr>
              <w:t>Yes</w:t>
            </w:r>
          </w:p>
        </w:tc>
        <w:tc>
          <w:tcPr>
            <w:tcW w:w="810" w:type="dxa"/>
            <w:tcBorders>
              <w:top w:val="single" w:sz="12" w:space="0" w:color="auto"/>
              <w:left w:val="single" w:sz="12" w:space="0" w:color="auto"/>
              <w:bottom w:val="single" w:sz="12" w:space="0" w:color="auto"/>
            </w:tcBorders>
            <w:shd w:val="clear" w:color="auto" w:fill="FFFFFF" w:themeFill="background1"/>
            <w:vAlign w:val="center"/>
          </w:tcPr>
          <w:p w14:paraId="7FEA3B2F" w14:textId="77777777" w:rsidR="006138C4" w:rsidRPr="00F038B8" w:rsidRDefault="006138C4" w:rsidP="5EF294CC">
            <w:pPr>
              <w:spacing w:line="254" w:lineRule="auto"/>
              <w:jc w:val="center"/>
              <w:rPr>
                <w:rFonts w:ascii="Tw Cen MT" w:eastAsia="Times New Roman" w:hAnsi="Tw Cen MT" w:cs="Segoe UI"/>
                <w:b/>
                <w:bCs/>
              </w:rPr>
            </w:pPr>
            <w:r w:rsidRPr="59056DEA">
              <w:rPr>
                <w:rFonts w:ascii="Tw Cen MT" w:eastAsia="Times New Roman" w:hAnsi="Tw Cen MT" w:cs="Segoe UI"/>
                <w:b/>
                <w:bCs/>
              </w:rPr>
              <w:t>2</w:t>
            </w:r>
          </w:p>
        </w:tc>
      </w:tr>
      <w:tr w:rsidR="006138C4" w:rsidRPr="00F038B8" w14:paraId="5F095E00" w14:textId="77777777" w:rsidTr="59056DEA">
        <w:trPr>
          <w:trHeight w:val="432"/>
          <w:jc w:val="center"/>
        </w:trPr>
        <w:tc>
          <w:tcPr>
            <w:tcW w:w="7185" w:type="dxa"/>
            <w:gridSpan w:val="3"/>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4DAF3992" w14:textId="64236E75" w:rsidR="006138C4" w:rsidRPr="00A1564E" w:rsidRDefault="00A509B7" w:rsidP="5EF294CC">
            <w:pPr>
              <w:spacing w:line="254" w:lineRule="auto"/>
              <w:rPr>
                <w:rFonts w:ascii="Segoe UI" w:eastAsia="Times New Roman" w:hAnsi="Segoe UI" w:cs="Segoe UI"/>
                <w:b/>
                <w:bCs/>
              </w:rPr>
            </w:pPr>
            <w:r>
              <w:rPr>
                <w:rFonts w:ascii="Segoe UI" w:eastAsia="Times New Roman" w:hAnsi="Segoe UI" w:cs="Segoe UI"/>
                <w:b/>
                <w:bCs/>
              </w:rPr>
              <w:t>Valid and Reliable Data Submission</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64085AE" w14:textId="77777777" w:rsidR="006138C4" w:rsidRPr="00CD7DBE" w:rsidRDefault="006138C4" w:rsidP="5EF294CC">
            <w:pPr>
              <w:spacing w:line="254" w:lineRule="auto"/>
              <w:jc w:val="center"/>
              <w:rPr>
                <w:rFonts w:ascii="Tw Cen MT" w:eastAsia="Times New Roman" w:hAnsi="Tw Cen MT" w:cs="Segoe UI"/>
                <w:b/>
                <w:bCs/>
                <w:noProof/>
              </w:rPr>
            </w:pPr>
            <w:r w:rsidRPr="5EF294CC">
              <w:rPr>
                <w:rFonts w:ascii="Tw Cen MT" w:eastAsia="Times New Roman" w:hAnsi="Tw Cen MT" w:cs="Segoe UI"/>
                <w:b/>
                <w:bCs/>
              </w:rPr>
              <w:t>Timely</w:t>
            </w:r>
          </w:p>
        </w:tc>
        <w:tc>
          <w:tcPr>
            <w:tcW w:w="14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45556C8" w14:textId="77777777" w:rsidR="006138C4" w:rsidRPr="00F038B8" w:rsidRDefault="006138C4" w:rsidP="5EF294CC">
            <w:pPr>
              <w:spacing w:line="254" w:lineRule="auto"/>
              <w:jc w:val="center"/>
              <w:rPr>
                <w:rFonts w:ascii="Tw Cen MT" w:eastAsia="Times New Roman" w:hAnsi="Tw Cen MT" w:cs="Segoe UI"/>
                <w:b/>
                <w:bCs/>
              </w:rPr>
            </w:pPr>
          </w:p>
        </w:tc>
        <w:tc>
          <w:tcPr>
            <w:tcW w:w="810" w:type="dxa"/>
            <w:tcBorders>
              <w:top w:val="single" w:sz="12" w:space="0" w:color="auto"/>
              <w:left w:val="single" w:sz="12" w:space="0" w:color="auto"/>
              <w:bottom w:val="single" w:sz="12" w:space="0" w:color="auto"/>
            </w:tcBorders>
            <w:shd w:val="clear" w:color="auto" w:fill="FFFFFF" w:themeFill="background1"/>
            <w:vAlign w:val="center"/>
          </w:tcPr>
          <w:p w14:paraId="58EEDFB7" w14:textId="77777777" w:rsidR="006138C4" w:rsidRPr="00CD7DBE" w:rsidRDefault="006138C4" w:rsidP="5EF294CC">
            <w:pPr>
              <w:spacing w:line="254" w:lineRule="auto"/>
              <w:jc w:val="center"/>
              <w:rPr>
                <w:rFonts w:ascii="Tw Cen MT" w:eastAsia="Times New Roman" w:hAnsi="Tw Cen MT" w:cs="Segoe UI"/>
                <w:b/>
                <w:bCs/>
                <w:noProof/>
              </w:rPr>
            </w:pPr>
            <w:r w:rsidRPr="5EF294CC">
              <w:rPr>
                <w:rFonts w:ascii="Tw Cen MT" w:eastAsia="Times New Roman" w:hAnsi="Tw Cen MT" w:cs="Segoe UI"/>
                <w:b/>
                <w:bCs/>
              </w:rPr>
              <w:t>1</w:t>
            </w:r>
          </w:p>
        </w:tc>
      </w:tr>
      <w:tr w:rsidR="006138C4" w:rsidRPr="00F038B8" w14:paraId="60C93B8F" w14:textId="77777777" w:rsidTr="59056DEA">
        <w:trPr>
          <w:trHeight w:val="432"/>
          <w:jc w:val="center"/>
        </w:trPr>
        <w:tc>
          <w:tcPr>
            <w:tcW w:w="7185" w:type="dxa"/>
            <w:gridSpan w:val="3"/>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0567FCC5" w14:textId="3E515E7D" w:rsidR="006138C4" w:rsidRPr="00F038B8" w:rsidRDefault="006138C4" w:rsidP="5EF294CC">
            <w:pPr>
              <w:spacing w:line="254" w:lineRule="auto"/>
              <w:rPr>
                <w:rFonts w:ascii="Tw Cen MT" w:eastAsia="Times New Roman" w:hAnsi="Tw Cen MT" w:cs="Segoe UI"/>
                <w:b/>
                <w:bCs/>
              </w:rPr>
            </w:pPr>
            <w:r w:rsidRPr="5EF294CC">
              <w:rPr>
                <w:rFonts w:ascii="Segoe UI" w:eastAsia="Times New Roman" w:hAnsi="Segoe UI" w:cs="Segoe UI"/>
                <w:b/>
                <w:bCs/>
              </w:rPr>
              <w:t>Longstanding Noncompliance</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0158D215" w14:textId="77777777" w:rsidR="006138C4" w:rsidRPr="00F038B8" w:rsidRDefault="006138C4" w:rsidP="5EF294CC">
            <w:pPr>
              <w:spacing w:line="254" w:lineRule="auto"/>
              <w:jc w:val="center"/>
              <w:rPr>
                <w:rFonts w:ascii="Tw Cen MT" w:eastAsia="Times New Roman" w:hAnsi="Tw Cen MT" w:cs="Segoe UI"/>
                <w:b/>
                <w:bCs/>
              </w:rPr>
            </w:pPr>
            <w:r w:rsidRPr="5EF294CC">
              <w:rPr>
                <w:rFonts w:ascii="Tw Cen MT" w:eastAsia="Times New Roman" w:hAnsi="Tw Cen MT" w:cs="Segoe UI"/>
                <w:b/>
                <w:bCs/>
              </w:rPr>
              <w:t>Compliant</w:t>
            </w:r>
          </w:p>
        </w:tc>
        <w:tc>
          <w:tcPr>
            <w:tcW w:w="14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780322A" w14:textId="77777777" w:rsidR="006138C4" w:rsidRPr="00F038B8" w:rsidRDefault="006138C4" w:rsidP="5EF294CC">
            <w:pPr>
              <w:spacing w:line="254" w:lineRule="auto"/>
              <w:jc w:val="center"/>
              <w:rPr>
                <w:rFonts w:ascii="Tw Cen MT" w:eastAsia="Times New Roman" w:hAnsi="Tw Cen MT" w:cs="Segoe UI"/>
                <w:b/>
                <w:bCs/>
              </w:rPr>
            </w:pPr>
          </w:p>
        </w:tc>
        <w:tc>
          <w:tcPr>
            <w:tcW w:w="810" w:type="dxa"/>
            <w:tcBorders>
              <w:top w:val="single" w:sz="12" w:space="0" w:color="auto"/>
              <w:left w:val="single" w:sz="12" w:space="0" w:color="auto"/>
              <w:bottom w:val="single" w:sz="12" w:space="0" w:color="auto"/>
            </w:tcBorders>
            <w:shd w:val="clear" w:color="auto" w:fill="FFFFFF" w:themeFill="background1"/>
            <w:vAlign w:val="center"/>
          </w:tcPr>
          <w:p w14:paraId="1C115A7D" w14:textId="77777777" w:rsidR="006138C4" w:rsidRPr="00F038B8" w:rsidRDefault="006138C4" w:rsidP="5EF294CC">
            <w:pPr>
              <w:spacing w:line="254" w:lineRule="auto"/>
              <w:jc w:val="center"/>
              <w:rPr>
                <w:rFonts w:ascii="Tw Cen MT" w:eastAsia="Times New Roman" w:hAnsi="Tw Cen MT" w:cs="Segoe UI"/>
                <w:b/>
                <w:bCs/>
              </w:rPr>
            </w:pPr>
            <w:r w:rsidRPr="5EF294CC">
              <w:rPr>
                <w:rFonts w:ascii="Tw Cen MT" w:eastAsia="Times New Roman" w:hAnsi="Tw Cen MT" w:cs="Segoe UI"/>
                <w:b/>
                <w:bCs/>
              </w:rPr>
              <w:t>2</w:t>
            </w:r>
          </w:p>
        </w:tc>
      </w:tr>
      <w:tr w:rsidR="006138C4" w:rsidRPr="00F038B8" w14:paraId="1E4EFC63" w14:textId="77777777" w:rsidTr="59056DEA">
        <w:trPr>
          <w:trHeight w:val="432"/>
          <w:jc w:val="center"/>
        </w:trPr>
        <w:tc>
          <w:tcPr>
            <w:tcW w:w="3675" w:type="dxa"/>
            <w:tcBorders>
              <w:top w:val="single" w:sz="12" w:space="0" w:color="auto"/>
              <w:bottom w:val="single" w:sz="12" w:space="0" w:color="auto"/>
              <w:right w:val="single" w:sz="12" w:space="0" w:color="auto"/>
            </w:tcBorders>
            <w:shd w:val="clear" w:color="auto" w:fill="FFE483"/>
            <w:tcMar>
              <w:top w:w="43" w:type="dxa"/>
              <w:left w:w="216" w:type="dxa"/>
              <w:bottom w:w="43" w:type="dxa"/>
              <w:right w:w="216" w:type="dxa"/>
            </w:tcMar>
            <w:vAlign w:val="center"/>
          </w:tcPr>
          <w:p w14:paraId="22FEC819" w14:textId="77777777" w:rsidR="006138C4" w:rsidRPr="00F038B8" w:rsidRDefault="006138C4" w:rsidP="5EF294CC">
            <w:pPr>
              <w:spacing w:line="254" w:lineRule="auto"/>
              <w:jc w:val="center"/>
              <w:rPr>
                <w:rFonts w:ascii="Tw Cen MT" w:eastAsia="Times New Roman" w:hAnsi="Tw Cen MT" w:cs="Segoe UI"/>
                <w:b/>
                <w:bCs/>
              </w:rPr>
            </w:pPr>
            <w:r w:rsidRPr="5EF294CC">
              <w:rPr>
                <w:rFonts w:ascii="Segoe UI" w:eastAsia="Times New Roman" w:hAnsi="Segoe UI" w:cs="Segoe UI"/>
                <w:b/>
                <w:bCs/>
              </w:rPr>
              <w:t>Compliance Points Earned</w:t>
            </w:r>
          </w:p>
        </w:tc>
        <w:tc>
          <w:tcPr>
            <w:tcW w:w="3510" w:type="dxa"/>
            <w:gridSpan w:val="2"/>
            <w:tcBorders>
              <w:top w:val="single" w:sz="12" w:space="0" w:color="auto"/>
              <w:left w:val="single" w:sz="12" w:space="0" w:color="auto"/>
              <w:bottom w:val="single" w:sz="12" w:space="0" w:color="auto"/>
              <w:right w:val="single" w:sz="12" w:space="0" w:color="auto"/>
            </w:tcBorders>
            <w:shd w:val="clear" w:color="auto" w:fill="FFE483"/>
            <w:vAlign w:val="center"/>
          </w:tcPr>
          <w:p w14:paraId="234F372F" w14:textId="77777777" w:rsidR="006138C4" w:rsidRPr="00F038B8" w:rsidRDefault="006138C4" w:rsidP="5EF294CC">
            <w:pPr>
              <w:spacing w:line="254" w:lineRule="auto"/>
              <w:jc w:val="center"/>
              <w:rPr>
                <w:rFonts w:ascii="Tw Cen MT" w:eastAsia="Times New Roman" w:hAnsi="Tw Cen MT" w:cs="Segoe UI"/>
                <w:b/>
                <w:bCs/>
              </w:rPr>
            </w:pPr>
            <w:r w:rsidRPr="5EF294CC">
              <w:rPr>
                <w:rFonts w:ascii="Segoe UI" w:eastAsia="Times New Roman" w:hAnsi="Segoe UI" w:cs="Segoe UI"/>
                <w:b/>
                <w:bCs/>
              </w:rPr>
              <w:t>Total Points Possible</w:t>
            </w:r>
          </w:p>
        </w:tc>
        <w:tc>
          <w:tcPr>
            <w:tcW w:w="3780" w:type="dxa"/>
            <w:gridSpan w:val="3"/>
            <w:tcBorders>
              <w:top w:val="single" w:sz="12" w:space="0" w:color="auto"/>
              <w:left w:val="single" w:sz="12" w:space="0" w:color="auto"/>
              <w:bottom w:val="single" w:sz="12" w:space="0" w:color="auto"/>
            </w:tcBorders>
            <w:shd w:val="clear" w:color="auto" w:fill="FFE483"/>
            <w:vAlign w:val="center"/>
          </w:tcPr>
          <w:p w14:paraId="3104C038" w14:textId="77777777" w:rsidR="006138C4" w:rsidRPr="00F038B8" w:rsidRDefault="006138C4" w:rsidP="5EF294CC">
            <w:pPr>
              <w:spacing w:line="254" w:lineRule="auto"/>
              <w:jc w:val="center"/>
              <w:rPr>
                <w:rFonts w:ascii="Tw Cen MT" w:eastAsia="Times New Roman" w:hAnsi="Tw Cen MT" w:cs="Segoe UI"/>
                <w:b/>
                <w:bCs/>
              </w:rPr>
            </w:pPr>
            <w:r w:rsidRPr="5EF294CC">
              <w:rPr>
                <w:rFonts w:ascii="Segoe UI" w:eastAsia="Times New Roman" w:hAnsi="Segoe UI" w:cs="Segoe UI"/>
                <w:b/>
                <w:bCs/>
              </w:rPr>
              <w:t>Rating</w:t>
            </w:r>
          </w:p>
        </w:tc>
      </w:tr>
      <w:tr w:rsidR="006138C4" w:rsidRPr="00F038B8" w14:paraId="4D628B36" w14:textId="77777777" w:rsidTr="59056DEA">
        <w:trPr>
          <w:trHeight w:val="314"/>
          <w:jc w:val="center"/>
        </w:trPr>
        <w:tc>
          <w:tcPr>
            <w:tcW w:w="3675" w:type="dxa"/>
            <w:tcBorders>
              <w:top w:val="single" w:sz="12" w:space="0" w:color="auto"/>
              <w:bottom w:val="single" w:sz="12" w:space="0" w:color="auto"/>
              <w:right w:val="single" w:sz="12" w:space="0" w:color="auto"/>
            </w:tcBorders>
            <w:shd w:val="clear" w:color="auto" w:fill="FFFFFF" w:themeFill="background1"/>
            <w:tcMar>
              <w:top w:w="43" w:type="dxa"/>
              <w:left w:w="216" w:type="dxa"/>
              <w:bottom w:w="43" w:type="dxa"/>
              <w:right w:w="216" w:type="dxa"/>
            </w:tcMar>
            <w:vAlign w:val="center"/>
          </w:tcPr>
          <w:p w14:paraId="573525D9" w14:textId="3E019D39" w:rsidR="006138C4" w:rsidRPr="00D30A44" w:rsidRDefault="00033A07" w:rsidP="006F0F1B">
            <w:pPr>
              <w:spacing w:line="254" w:lineRule="auto"/>
              <w:jc w:val="center"/>
              <w:rPr>
                <w:rFonts w:ascii="Tw Cen MT" w:eastAsia="Times New Roman" w:hAnsi="Tw Cen MT" w:cs="Segoe UI"/>
                <w:b/>
                <w:bCs/>
              </w:rPr>
            </w:pPr>
            <w:r>
              <w:rPr>
                <w:rFonts w:ascii="Tw Cen MT" w:eastAsia="Times New Roman" w:hAnsi="Tw Cen MT" w:cs="Segoe UI"/>
                <w:b/>
                <w:bCs/>
              </w:rPr>
              <w:t>16</w:t>
            </w:r>
          </w:p>
        </w:tc>
        <w:tc>
          <w:tcPr>
            <w:tcW w:w="3510"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CF9E567" w14:textId="77777777" w:rsidR="006138C4" w:rsidRPr="009E1B44" w:rsidRDefault="006138C4" w:rsidP="006F0F1B">
            <w:pPr>
              <w:spacing w:line="254" w:lineRule="auto"/>
              <w:jc w:val="center"/>
              <w:rPr>
                <w:rFonts w:ascii="Tw Cen MT" w:eastAsia="Times New Roman" w:hAnsi="Tw Cen MT" w:cs="Segoe UI"/>
                <w:b/>
                <w:bCs/>
              </w:rPr>
            </w:pPr>
            <w:r w:rsidRPr="59056DEA">
              <w:rPr>
                <w:rFonts w:ascii="Tw Cen MT" w:eastAsia="Times New Roman" w:hAnsi="Tw Cen MT" w:cs="Segoe UI"/>
                <w:b/>
                <w:bCs/>
              </w:rPr>
              <w:t>16</w:t>
            </w:r>
          </w:p>
        </w:tc>
        <w:tc>
          <w:tcPr>
            <w:tcW w:w="3780" w:type="dxa"/>
            <w:gridSpan w:val="3"/>
            <w:tcBorders>
              <w:top w:val="single" w:sz="12" w:space="0" w:color="auto"/>
              <w:left w:val="single" w:sz="12" w:space="0" w:color="auto"/>
              <w:bottom w:val="single" w:sz="12" w:space="0" w:color="auto"/>
            </w:tcBorders>
            <w:shd w:val="clear" w:color="auto" w:fill="FFFFFF" w:themeFill="background1"/>
            <w:vAlign w:val="center"/>
          </w:tcPr>
          <w:p w14:paraId="09E265A8" w14:textId="1361C431" w:rsidR="006138C4" w:rsidRPr="00EB0CC9" w:rsidRDefault="00033A07" w:rsidP="006F0F1B">
            <w:pPr>
              <w:spacing w:line="254" w:lineRule="auto"/>
              <w:jc w:val="center"/>
              <w:rPr>
                <w:rFonts w:ascii="Tw Cen MT" w:eastAsia="Times New Roman" w:hAnsi="Tw Cen MT" w:cs="Segoe UI"/>
                <w:b/>
                <w:bCs/>
                <w:highlight w:val="green"/>
              </w:rPr>
            </w:pPr>
            <w:r>
              <w:rPr>
                <w:rFonts w:ascii="Tw Cen MT" w:eastAsia="Times New Roman" w:hAnsi="Tw Cen MT" w:cs="Segoe UI"/>
                <w:b/>
                <w:bCs/>
              </w:rPr>
              <w:t>100%</w:t>
            </w:r>
          </w:p>
        </w:tc>
      </w:tr>
      <w:tr w:rsidR="006138C4" w:rsidRPr="00F038B8" w14:paraId="6AD1BCD5" w14:textId="77777777" w:rsidTr="59056DEA">
        <w:trPr>
          <w:trHeight w:val="20"/>
          <w:jc w:val="center"/>
        </w:trPr>
        <w:tc>
          <w:tcPr>
            <w:tcW w:w="6285" w:type="dxa"/>
            <w:gridSpan w:val="2"/>
            <w:tcBorders>
              <w:top w:val="single" w:sz="12" w:space="0" w:color="auto"/>
              <w:left w:val="nil"/>
              <w:bottom w:val="nil"/>
              <w:right w:val="nil"/>
            </w:tcBorders>
            <w:shd w:val="clear" w:color="auto" w:fill="FFFFFF" w:themeFill="background1"/>
            <w:tcMar>
              <w:top w:w="43" w:type="dxa"/>
              <w:left w:w="216" w:type="dxa"/>
              <w:bottom w:w="43" w:type="dxa"/>
              <w:right w:w="216" w:type="dxa"/>
            </w:tcMar>
            <w:vAlign w:val="center"/>
          </w:tcPr>
          <w:p w14:paraId="588384C3" w14:textId="77777777" w:rsidR="006138C4" w:rsidRPr="00F038B8" w:rsidRDefault="006138C4" w:rsidP="006F0F1B">
            <w:pPr>
              <w:spacing w:line="254" w:lineRule="auto"/>
              <w:jc w:val="center"/>
              <w:rPr>
                <w:rFonts w:ascii="Tw Cen MT" w:eastAsia="Times New Roman" w:hAnsi="Tw Cen MT" w:cs="Segoe UI"/>
                <w:b/>
                <w:bCs/>
                <w:sz w:val="4"/>
                <w:szCs w:val="4"/>
              </w:rPr>
            </w:pPr>
          </w:p>
        </w:tc>
        <w:tc>
          <w:tcPr>
            <w:tcW w:w="2430" w:type="dxa"/>
            <w:gridSpan w:val="2"/>
            <w:tcBorders>
              <w:top w:val="single" w:sz="12" w:space="0" w:color="auto"/>
              <w:left w:val="nil"/>
              <w:bottom w:val="nil"/>
              <w:right w:val="nil"/>
            </w:tcBorders>
            <w:shd w:val="clear" w:color="auto" w:fill="FFFFFF" w:themeFill="background1"/>
            <w:vAlign w:val="center"/>
          </w:tcPr>
          <w:p w14:paraId="48890721" w14:textId="77777777" w:rsidR="006138C4" w:rsidRPr="00F038B8" w:rsidRDefault="006138C4" w:rsidP="006F0F1B">
            <w:pPr>
              <w:spacing w:line="254" w:lineRule="auto"/>
              <w:rPr>
                <w:rFonts w:ascii="Tw Cen MT" w:eastAsia="Times New Roman" w:hAnsi="Tw Cen MT" w:cs="Segoe UI"/>
                <w:b/>
                <w:bCs/>
                <w:sz w:val="4"/>
                <w:szCs w:val="4"/>
              </w:rPr>
            </w:pPr>
          </w:p>
        </w:tc>
        <w:tc>
          <w:tcPr>
            <w:tcW w:w="2250" w:type="dxa"/>
            <w:gridSpan w:val="2"/>
            <w:tcBorders>
              <w:top w:val="single" w:sz="12" w:space="0" w:color="auto"/>
              <w:left w:val="nil"/>
              <w:bottom w:val="nil"/>
              <w:right w:val="nil"/>
            </w:tcBorders>
            <w:shd w:val="clear" w:color="auto" w:fill="FFFFFF" w:themeFill="background1"/>
            <w:vAlign w:val="center"/>
          </w:tcPr>
          <w:p w14:paraId="4BE3521B" w14:textId="77777777" w:rsidR="006138C4" w:rsidRPr="00F038B8" w:rsidRDefault="006138C4" w:rsidP="006F0F1B">
            <w:pPr>
              <w:spacing w:line="254" w:lineRule="auto"/>
              <w:jc w:val="center"/>
              <w:rPr>
                <w:rFonts w:ascii="Tw Cen MT" w:eastAsia="Times New Roman" w:hAnsi="Tw Cen MT" w:cs="Segoe UI"/>
                <w:b/>
                <w:bCs/>
                <w:sz w:val="4"/>
                <w:szCs w:val="4"/>
              </w:rPr>
            </w:pPr>
          </w:p>
        </w:tc>
      </w:tr>
    </w:tbl>
    <w:tbl>
      <w:tblPr>
        <w:tblpPr w:leftFromText="180" w:rightFromText="180" w:vertAnchor="text" w:horzAnchor="margin" w:tblpY="-2034"/>
        <w:tblW w:w="1099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
        <w:gridCol w:w="3765"/>
        <w:gridCol w:w="3420"/>
        <w:gridCol w:w="1350"/>
        <w:gridCol w:w="1530"/>
        <w:gridCol w:w="908"/>
        <w:gridCol w:w="7"/>
      </w:tblGrid>
      <w:tr w:rsidR="004236F3" w:rsidRPr="00F038B8" w14:paraId="0EA98414" w14:textId="77777777" w:rsidTr="6952A7C3">
        <w:trPr>
          <w:gridAfter w:val="1"/>
          <w:wAfter w:w="7" w:type="dxa"/>
          <w:trHeight w:val="432"/>
        </w:trPr>
        <w:tc>
          <w:tcPr>
            <w:tcW w:w="10988" w:type="dxa"/>
            <w:gridSpan w:val="6"/>
            <w:tcBorders>
              <w:top w:val="nil"/>
              <w:left w:val="nil"/>
              <w:bottom w:val="nil"/>
              <w:right w:val="nil"/>
            </w:tcBorders>
            <w:vAlign w:val="center"/>
          </w:tcPr>
          <w:p w14:paraId="70D74CC8" w14:textId="77777777" w:rsidR="004236F3" w:rsidRPr="00F038B8" w:rsidRDefault="004236F3" w:rsidP="00B215C3">
            <w:pPr>
              <w:spacing w:line="254" w:lineRule="auto"/>
              <w:ind w:right="864"/>
              <w:rPr>
                <w:rFonts w:ascii="Tw Cen MT" w:eastAsia="Times New Roman" w:hAnsi="Tw Cen MT" w:cs="Segoe UI"/>
                <w:sz w:val="32"/>
                <w:szCs w:val="32"/>
              </w:rPr>
            </w:pPr>
          </w:p>
        </w:tc>
      </w:tr>
      <w:tr w:rsidR="004236F3" w:rsidRPr="00DF47F1" w14:paraId="6A6B11F8" w14:textId="77777777" w:rsidTr="6952A7C3">
        <w:trPr>
          <w:gridBefore w:val="1"/>
          <w:wBefore w:w="15" w:type="dxa"/>
          <w:trHeight w:val="432"/>
        </w:trPr>
        <w:tc>
          <w:tcPr>
            <w:tcW w:w="10980" w:type="dxa"/>
            <w:gridSpan w:val="6"/>
            <w:tcBorders>
              <w:top w:val="single" w:sz="12" w:space="0" w:color="auto"/>
              <w:bottom w:val="single" w:sz="12" w:space="0" w:color="auto"/>
            </w:tcBorders>
            <w:shd w:val="clear" w:color="auto" w:fill="569AD2"/>
            <w:vAlign w:val="center"/>
          </w:tcPr>
          <w:p w14:paraId="183CAAA4" w14:textId="77777777" w:rsidR="004236F3" w:rsidRPr="00DF47F1" w:rsidRDefault="004236F3" w:rsidP="00B215C3">
            <w:pPr>
              <w:ind w:left="864" w:right="864"/>
              <w:jc w:val="center"/>
              <w:rPr>
                <w:rFonts w:ascii="Segoe UI" w:eastAsia="Times New Roman" w:hAnsi="Segoe UI" w:cs="Segoe UI"/>
                <w:b/>
                <w:bCs/>
                <w:sz w:val="28"/>
                <w:szCs w:val="28"/>
              </w:rPr>
            </w:pPr>
            <w:r w:rsidRPr="5EF294CC">
              <w:rPr>
                <w:rFonts w:ascii="Segoe UI" w:eastAsia="Times New Roman" w:hAnsi="Segoe UI" w:cs="Segoe UI"/>
                <w:sz w:val="28"/>
                <w:szCs w:val="28"/>
              </w:rPr>
              <w:br w:type="page"/>
            </w:r>
            <w:r w:rsidRPr="5EF294CC">
              <w:rPr>
                <w:rFonts w:ascii="Segoe UI" w:eastAsia="Times New Roman" w:hAnsi="Segoe UI" w:cs="Segoe UI"/>
                <w:b/>
                <w:bCs/>
                <w:sz w:val="28"/>
                <w:szCs w:val="28"/>
              </w:rPr>
              <w:t>IDEA</w:t>
            </w:r>
            <w:r w:rsidRPr="5EF294CC">
              <w:rPr>
                <w:rFonts w:ascii="Segoe UI" w:eastAsia="Times New Roman" w:hAnsi="Segoe UI" w:cs="Segoe UI"/>
                <w:sz w:val="28"/>
                <w:szCs w:val="28"/>
              </w:rPr>
              <w:t xml:space="preserve"> </w:t>
            </w:r>
            <w:r w:rsidRPr="5EF294CC">
              <w:rPr>
                <w:rFonts w:ascii="Segoe UI" w:eastAsia="Times New Roman" w:hAnsi="Segoe UI" w:cs="Segoe UI"/>
                <w:b/>
                <w:bCs/>
                <w:sz w:val="28"/>
                <w:szCs w:val="28"/>
              </w:rPr>
              <w:t>Part B Results Driven Accountability Matrix</w:t>
            </w:r>
          </w:p>
        </w:tc>
      </w:tr>
      <w:tr w:rsidR="004236F3" w:rsidRPr="00DF47F1" w14:paraId="5A26B8D5" w14:textId="77777777" w:rsidTr="6952A7C3">
        <w:trPr>
          <w:gridBefore w:val="1"/>
          <w:wBefore w:w="15" w:type="dxa"/>
          <w:trHeight w:val="432"/>
        </w:trPr>
        <w:tc>
          <w:tcPr>
            <w:tcW w:w="7185" w:type="dxa"/>
            <w:gridSpan w:val="2"/>
            <w:tcBorders>
              <w:top w:val="single" w:sz="12" w:space="0" w:color="auto"/>
              <w:bottom w:val="single" w:sz="12" w:space="0" w:color="auto"/>
              <w:right w:val="single" w:sz="12" w:space="0" w:color="auto"/>
            </w:tcBorders>
            <w:shd w:val="clear" w:color="auto" w:fill="569AD2"/>
            <w:tcMar>
              <w:top w:w="43" w:type="dxa"/>
              <w:left w:w="216" w:type="dxa"/>
              <w:bottom w:w="43" w:type="dxa"/>
              <w:right w:w="216" w:type="dxa"/>
            </w:tcMar>
            <w:vAlign w:val="center"/>
          </w:tcPr>
          <w:p w14:paraId="289D405F" w14:textId="77777777" w:rsidR="004236F3" w:rsidRPr="00DF47F1" w:rsidRDefault="004236F3" w:rsidP="00B215C3">
            <w:pPr>
              <w:rPr>
                <w:rFonts w:ascii="Segoe UI" w:eastAsia="Times New Roman" w:hAnsi="Segoe UI" w:cs="Segoe UI"/>
                <w:b/>
                <w:bCs/>
              </w:rPr>
            </w:pPr>
            <w:r w:rsidRPr="5EF294CC">
              <w:rPr>
                <w:rFonts w:ascii="Segoe UI" w:eastAsia="Times New Roman" w:hAnsi="Segoe UI" w:cs="Segoe UI"/>
                <w:b/>
                <w:bCs/>
              </w:rPr>
              <w:t>Results Elements</w:t>
            </w:r>
          </w:p>
        </w:tc>
        <w:tc>
          <w:tcPr>
            <w:tcW w:w="1350" w:type="dxa"/>
            <w:tcBorders>
              <w:top w:val="single" w:sz="12" w:space="0" w:color="auto"/>
              <w:left w:val="single" w:sz="12" w:space="0" w:color="auto"/>
              <w:bottom w:val="single" w:sz="12" w:space="0" w:color="auto"/>
              <w:right w:val="single" w:sz="12" w:space="0" w:color="auto"/>
            </w:tcBorders>
            <w:shd w:val="clear" w:color="auto" w:fill="569AD2"/>
            <w:vAlign w:val="center"/>
          </w:tcPr>
          <w:p w14:paraId="33BB37DB" w14:textId="77777777" w:rsidR="004236F3" w:rsidRPr="00DF47F1" w:rsidRDefault="004236F3" w:rsidP="00B215C3">
            <w:pPr>
              <w:jc w:val="center"/>
              <w:rPr>
                <w:rFonts w:ascii="Segoe UI" w:eastAsia="Times New Roman" w:hAnsi="Segoe UI" w:cs="Segoe UI"/>
                <w:b/>
                <w:bCs/>
              </w:rPr>
            </w:pPr>
            <w:r w:rsidRPr="5EF294CC">
              <w:rPr>
                <w:rFonts w:ascii="Segoe UI" w:eastAsia="Times New Roman" w:hAnsi="Segoe UI" w:cs="Segoe UI"/>
                <w:b/>
                <w:bCs/>
              </w:rPr>
              <w:t>District</w:t>
            </w:r>
          </w:p>
        </w:tc>
        <w:tc>
          <w:tcPr>
            <w:tcW w:w="1530" w:type="dxa"/>
            <w:tcBorders>
              <w:top w:val="single" w:sz="12" w:space="0" w:color="auto"/>
              <w:left w:val="single" w:sz="12" w:space="0" w:color="auto"/>
              <w:bottom w:val="single" w:sz="12" w:space="0" w:color="auto"/>
              <w:right w:val="single" w:sz="12" w:space="0" w:color="auto"/>
            </w:tcBorders>
            <w:shd w:val="clear" w:color="auto" w:fill="569AD2"/>
            <w:vAlign w:val="center"/>
          </w:tcPr>
          <w:p w14:paraId="305AA101" w14:textId="77777777" w:rsidR="004236F3" w:rsidRPr="00FE4853" w:rsidRDefault="004236F3" w:rsidP="00B215C3">
            <w:pPr>
              <w:jc w:val="center"/>
              <w:rPr>
                <w:rFonts w:ascii="Segoe UI" w:eastAsia="Times New Roman" w:hAnsi="Segoe UI" w:cs="Segoe UI"/>
                <w:b/>
                <w:bCs/>
                <w:sz w:val="18"/>
                <w:szCs w:val="18"/>
              </w:rPr>
            </w:pPr>
            <w:r w:rsidRPr="5EF294CC">
              <w:rPr>
                <w:rFonts w:ascii="Segoe UI" w:eastAsia="Times New Roman" w:hAnsi="Segoe UI" w:cs="Segoe UI"/>
                <w:b/>
                <w:bCs/>
              </w:rPr>
              <w:t xml:space="preserve"> </w:t>
            </w:r>
            <w:r w:rsidRPr="5EF294CC">
              <w:rPr>
                <w:rFonts w:ascii="Segoe UI" w:eastAsia="Times New Roman" w:hAnsi="Segoe UI" w:cs="Segoe UI"/>
                <w:b/>
                <w:bCs/>
                <w:sz w:val="18"/>
                <w:szCs w:val="18"/>
              </w:rPr>
              <w:t>State Target Met</w:t>
            </w:r>
          </w:p>
        </w:tc>
        <w:tc>
          <w:tcPr>
            <w:tcW w:w="915" w:type="dxa"/>
            <w:gridSpan w:val="2"/>
            <w:tcBorders>
              <w:top w:val="single" w:sz="12" w:space="0" w:color="auto"/>
              <w:left w:val="single" w:sz="12" w:space="0" w:color="auto"/>
              <w:bottom w:val="single" w:sz="12" w:space="0" w:color="auto"/>
            </w:tcBorders>
            <w:shd w:val="clear" w:color="auto" w:fill="569AD2"/>
            <w:vAlign w:val="center"/>
          </w:tcPr>
          <w:p w14:paraId="1FDF720A" w14:textId="77777777" w:rsidR="004236F3" w:rsidRPr="00DF47F1" w:rsidRDefault="004236F3" w:rsidP="00B215C3">
            <w:pPr>
              <w:jc w:val="center"/>
              <w:rPr>
                <w:rFonts w:ascii="Segoe UI" w:eastAsia="Times New Roman" w:hAnsi="Segoe UI" w:cs="Segoe UI"/>
                <w:b/>
                <w:bCs/>
              </w:rPr>
            </w:pPr>
            <w:r w:rsidRPr="5EF294CC">
              <w:rPr>
                <w:rFonts w:ascii="Segoe UI" w:eastAsia="Times New Roman" w:hAnsi="Segoe UI" w:cs="Segoe UI"/>
                <w:b/>
                <w:bCs/>
              </w:rPr>
              <w:t>Score*</w:t>
            </w:r>
          </w:p>
        </w:tc>
      </w:tr>
      <w:tr w:rsidR="004236F3" w14:paraId="3750AB4F" w14:textId="77777777" w:rsidTr="6952A7C3">
        <w:trPr>
          <w:gridBefore w:val="1"/>
          <w:wBefore w:w="15" w:type="dxa"/>
          <w:trHeight w:val="615"/>
        </w:trPr>
        <w:tc>
          <w:tcPr>
            <w:tcW w:w="7185" w:type="dxa"/>
            <w:gridSpan w:val="2"/>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1A8D9CFF" w14:textId="7B83B7F4" w:rsidR="004236F3" w:rsidRDefault="587BFE7B" w:rsidP="6952A7C3">
            <w:pPr>
              <w:rPr>
                <w:rFonts w:ascii="Segoe UI" w:eastAsia="Times New Roman" w:hAnsi="Segoe UI" w:cs="Segoe UI"/>
                <w:sz w:val="18"/>
                <w:szCs w:val="18"/>
              </w:rPr>
            </w:pPr>
            <w:r w:rsidRPr="6952A7C3">
              <w:rPr>
                <w:rFonts w:ascii="Segoe UI" w:eastAsia="Times New Roman" w:hAnsi="Segoe UI" w:cs="Segoe UI"/>
                <w:b/>
                <w:bCs/>
                <w:sz w:val="20"/>
                <w:szCs w:val="20"/>
              </w:rPr>
              <w:t>Indicator 1</w:t>
            </w:r>
            <w:r w:rsidR="3D83ECF9" w:rsidRPr="6952A7C3">
              <w:rPr>
                <w:rFonts w:ascii="Segoe UI" w:eastAsia="Times New Roman" w:hAnsi="Segoe UI" w:cs="Segoe UI"/>
                <w:b/>
                <w:bCs/>
                <w:sz w:val="20"/>
                <w:szCs w:val="20"/>
              </w:rPr>
              <w:t>A</w:t>
            </w:r>
            <w:r w:rsidRPr="6952A7C3">
              <w:rPr>
                <w:rFonts w:ascii="Segoe UI" w:eastAsia="Times New Roman" w:hAnsi="Segoe UI" w:cs="Segoe UI"/>
                <w:b/>
                <w:bCs/>
                <w:sz w:val="20"/>
                <w:szCs w:val="20"/>
              </w:rPr>
              <w:t xml:space="preserve">: </w:t>
            </w:r>
            <w:r w:rsidRPr="6952A7C3">
              <w:rPr>
                <w:rFonts w:ascii="Segoe UI" w:eastAsia="Times New Roman" w:hAnsi="Segoe UI" w:cs="Segoe UI"/>
                <w:sz w:val="18"/>
                <w:szCs w:val="18"/>
              </w:rPr>
              <w:t xml:space="preserve">Percent of </w:t>
            </w:r>
            <w:r w:rsidRPr="6952A7C3">
              <w:rPr>
                <w:rFonts w:ascii="Segoe UI" w:eastAsia="Times New Roman" w:hAnsi="Segoe UI" w:cs="Segoe UI"/>
                <w:b/>
                <w:bCs/>
                <w:sz w:val="18"/>
                <w:szCs w:val="18"/>
              </w:rPr>
              <w:t xml:space="preserve">all </w:t>
            </w:r>
            <w:r w:rsidRPr="6952A7C3">
              <w:rPr>
                <w:rFonts w:ascii="Segoe UI" w:eastAsia="Times New Roman" w:hAnsi="Segoe UI" w:cs="Segoe UI"/>
                <w:sz w:val="18"/>
                <w:szCs w:val="18"/>
              </w:rPr>
              <w:t>youth with IEPs who exited in 2</w:t>
            </w:r>
            <w:r w:rsidR="2C41738E" w:rsidRPr="6952A7C3">
              <w:rPr>
                <w:rFonts w:ascii="Segoe UI" w:eastAsia="Times New Roman" w:hAnsi="Segoe UI" w:cs="Segoe UI"/>
                <w:sz w:val="18"/>
                <w:szCs w:val="18"/>
              </w:rPr>
              <w:t>4-</w:t>
            </w:r>
            <w:r w:rsidRPr="6952A7C3">
              <w:rPr>
                <w:rFonts w:ascii="Segoe UI" w:eastAsia="Times New Roman" w:hAnsi="Segoe UI" w:cs="Segoe UI"/>
                <w:sz w:val="18"/>
                <w:szCs w:val="18"/>
              </w:rPr>
              <w:t>2</w:t>
            </w:r>
            <w:r w:rsidR="3DE12C84" w:rsidRPr="6952A7C3">
              <w:rPr>
                <w:rFonts w:ascii="Segoe UI" w:eastAsia="Times New Roman" w:hAnsi="Segoe UI" w:cs="Segoe UI"/>
                <w:sz w:val="18"/>
                <w:szCs w:val="18"/>
              </w:rPr>
              <w:t>5</w:t>
            </w:r>
            <w:r w:rsidRPr="6952A7C3">
              <w:rPr>
                <w:rFonts w:ascii="Segoe UI" w:eastAsia="Times New Roman" w:hAnsi="Segoe UI" w:cs="Segoe UI"/>
                <w:sz w:val="18"/>
                <w:szCs w:val="18"/>
              </w:rPr>
              <w:t xml:space="preserve"> </w:t>
            </w:r>
            <w:r w:rsidR="73002E44" w:rsidRPr="6952A7C3">
              <w:rPr>
                <w:rFonts w:ascii="Segoe UI" w:eastAsia="Times New Roman" w:hAnsi="Segoe UI" w:cs="Segoe UI"/>
                <w:sz w:val="18"/>
                <w:szCs w:val="18"/>
              </w:rPr>
              <w:t xml:space="preserve">with a standard </w:t>
            </w:r>
            <w:r w:rsidRPr="6952A7C3">
              <w:rPr>
                <w:rFonts w:ascii="Segoe UI" w:eastAsia="Times New Roman" w:hAnsi="Segoe UI" w:cs="Segoe UI"/>
                <w:sz w:val="18"/>
                <w:szCs w:val="18"/>
              </w:rPr>
              <w:t>diploma</w:t>
            </w:r>
            <w:r w:rsidR="6162087F" w:rsidRPr="6952A7C3">
              <w:rPr>
                <w:rFonts w:ascii="Segoe UI" w:eastAsia="Times New Roman" w:hAnsi="Segoe UI" w:cs="Segoe UI"/>
                <w:sz w:val="18"/>
                <w:szCs w:val="18"/>
              </w:rPr>
              <w:t>.</w:t>
            </w:r>
            <w:r w:rsidRPr="6952A7C3">
              <w:rPr>
                <w:rFonts w:ascii="Segoe UI" w:eastAsia="Times New Roman" w:hAnsi="Segoe UI" w:cs="Segoe UI"/>
                <w:sz w:val="18"/>
                <w:szCs w:val="18"/>
              </w:rPr>
              <w:t xml:space="preserve"> (ages 14-21)</w:t>
            </w:r>
          </w:p>
        </w:tc>
        <w:tc>
          <w:tcPr>
            <w:tcW w:w="135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5CC9F67" w14:textId="77777777" w:rsidR="004236F3" w:rsidRDefault="004236F3" w:rsidP="00B215C3">
            <w:pPr>
              <w:jc w:val="center"/>
              <w:rPr>
                <w:rFonts w:ascii="Segoe UI" w:eastAsia="Times New Roman" w:hAnsi="Segoe UI" w:cs="Segoe UI"/>
                <w:b/>
                <w:bCs/>
                <w:noProof/>
              </w:rPr>
            </w:pPr>
            <w:r w:rsidRPr="5EF294CC">
              <w:rPr>
                <w:rFonts w:ascii="Segoe UI" w:eastAsia="Times New Roman" w:hAnsi="Segoe UI" w:cs="Segoe UI"/>
                <w:b/>
                <w:bCs/>
              </w:rPr>
              <w:t>100.00%</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60C182B" w14:textId="77777777" w:rsidR="004236F3" w:rsidRDefault="004236F3" w:rsidP="00B215C3">
            <w:pPr>
              <w:jc w:val="center"/>
              <w:rPr>
                <w:rFonts w:ascii="Segoe UI" w:eastAsia="Times New Roman" w:hAnsi="Segoe UI" w:cs="Segoe UI"/>
                <w:b/>
                <w:bCs/>
                <w:noProof/>
              </w:rPr>
            </w:pPr>
            <w:r w:rsidRPr="5EF294CC">
              <w:rPr>
                <w:rFonts w:ascii="Segoe UI" w:eastAsia="Times New Roman" w:hAnsi="Segoe UI" w:cs="Segoe UI"/>
                <w:b/>
                <w:bCs/>
              </w:rPr>
              <w:t>Yes</w:t>
            </w:r>
          </w:p>
        </w:tc>
        <w:tc>
          <w:tcPr>
            <w:tcW w:w="915" w:type="dxa"/>
            <w:gridSpan w:val="2"/>
            <w:tcBorders>
              <w:left w:val="single" w:sz="12" w:space="0" w:color="auto"/>
              <w:bottom w:val="single" w:sz="12" w:space="0" w:color="auto"/>
            </w:tcBorders>
            <w:shd w:val="clear" w:color="auto" w:fill="FFFFFF" w:themeFill="background1"/>
            <w:vAlign w:val="center"/>
          </w:tcPr>
          <w:p w14:paraId="29081D16" w14:textId="35EE3761" w:rsidR="004236F3" w:rsidRDefault="315C382D" w:rsidP="6952A7C3">
            <w:pPr>
              <w:jc w:val="center"/>
              <w:rPr>
                <w:rFonts w:ascii="Segoe UI" w:eastAsia="Times New Roman" w:hAnsi="Segoe UI" w:cs="Segoe UI"/>
                <w:b/>
                <w:bCs/>
                <w:noProof/>
                <w:highlight w:val="yellow"/>
              </w:rPr>
            </w:pPr>
            <w:r w:rsidRPr="00C9689C">
              <w:rPr>
                <w:rFonts w:ascii="Segoe UI" w:eastAsia="Times New Roman" w:hAnsi="Segoe UI" w:cs="Segoe UI"/>
                <w:b/>
                <w:bCs/>
              </w:rPr>
              <w:t>1.5</w:t>
            </w:r>
          </w:p>
        </w:tc>
      </w:tr>
      <w:tr w:rsidR="6952A7C3" w14:paraId="60350EA3" w14:textId="77777777" w:rsidTr="6952A7C3">
        <w:trPr>
          <w:gridBefore w:val="1"/>
          <w:trHeight w:val="495"/>
        </w:trPr>
        <w:tc>
          <w:tcPr>
            <w:tcW w:w="7185" w:type="dxa"/>
            <w:gridSpan w:val="2"/>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060D7F92" w14:textId="33420236" w:rsidR="5509D38F" w:rsidRDefault="5509D38F" w:rsidP="6952A7C3">
            <w:pPr>
              <w:rPr>
                <w:rFonts w:ascii="Segoe UI" w:eastAsia="Times New Roman" w:hAnsi="Segoe UI" w:cs="Segoe UI"/>
                <w:b/>
                <w:bCs/>
                <w:sz w:val="20"/>
                <w:szCs w:val="20"/>
              </w:rPr>
            </w:pPr>
            <w:r w:rsidRPr="6952A7C3">
              <w:rPr>
                <w:rFonts w:ascii="Segoe UI" w:eastAsia="Times New Roman" w:hAnsi="Segoe UI" w:cs="Segoe UI"/>
                <w:b/>
                <w:bCs/>
                <w:sz w:val="20"/>
                <w:szCs w:val="20"/>
              </w:rPr>
              <w:t xml:space="preserve">Indicator 1B: </w:t>
            </w:r>
            <w:r w:rsidR="24AB2792" w:rsidRPr="6952A7C3">
              <w:rPr>
                <w:rFonts w:ascii="Segoe UI" w:eastAsia="Times New Roman" w:hAnsi="Segoe UI" w:cs="Segoe UI"/>
                <w:sz w:val="18"/>
                <w:szCs w:val="18"/>
              </w:rPr>
              <w:t>Percent of youth with IEPs who exited in 24-25 with a standard and alternate diploma. (ages 14-21).</w:t>
            </w:r>
          </w:p>
        </w:tc>
        <w:tc>
          <w:tcPr>
            <w:tcW w:w="135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80EC27C" w14:textId="62CE145C" w:rsidR="0DF212B3" w:rsidRDefault="0DF212B3" w:rsidP="6952A7C3">
            <w:pPr>
              <w:jc w:val="center"/>
              <w:rPr>
                <w:rFonts w:ascii="Segoe UI" w:eastAsia="Times New Roman" w:hAnsi="Segoe UI" w:cs="Segoe UI"/>
                <w:b/>
                <w:bCs/>
              </w:rPr>
            </w:pPr>
            <w:r w:rsidRPr="6952A7C3">
              <w:rPr>
                <w:rFonts w:ascii="Segoe UI" w:eastAsia="Times New Roman" w:hAnsi="Segoe UI" w:cs="Segoe UI"/>
                <w:b/>
                <w:bCs/>
              </w:rPr>
              <w:t>100.00%</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554CD5C" w14:textId="448A1C40" w:rsidR="0DF212B3" w:rsidRDefault="0DF212B3" w:rsidP="6952A7C3">
            <w:pPr>
              <w:jc w:val="center"/>
              <w:rPr>
                <w:rFonts w:ascii="Segoe UI" w:eastAsia="Times New Roman" w:hAnsi="Segoe UI" w:cs="Segoe UI"/>
                <w:b/>
                <w:bCs/>
              </w:rPr>
            </w:pPr>
            <w:r w:rsidRPr="6952A7C3">
              <w:rPr>
                <w:rFonts w:ascii="Segoe UI" w:eastAsia="Times New Roman" w:hAnsi="Segoe UI" w:cs="Segoe UI"/>
                <w:b/>
                <w:bCs/>
              </w:rPr>
              <w:t>Yes</w:t>
            </w:r>
          </w:p>
        </w:tc>
        <w:tc>
          <w:tcPr>
            <w:tcW w:w="915" w:type="dxa"/>
            <w:gridSpan w:val="2"/>
            <w:tcBorders>
              <w:left w:val="single" w:sz="12" w:space="0" w:color="auto"/>
              <w:bottom w:val="single" w:sz="12" w:space="0" w:color="auto"/>
            </w:tcBorders>
            <w:shd w:val="clear" w:color="auto" w:fill="FFFFFF" w:themeFill="background1"/>
            <w:vAlign w:val="center"/>
          </w:tcPr>
          <w:p w14:paraId="70C5A80A" w14:textId="2BAD5EF5" w:rsidR="39B3EBB0" w:rsidRDefault="39B3EBB0" w:rsidP="6952A7C3">
            <w:pPr>
              <w:jc w:val="center"/>
              <w:rPr>
                <w:rFonts w:ascii="Segoe UI" w:eastAsia="Times New Roman" w:hAnsi="Segoe UI" w:cs="Segoe UI"/>
                <w:b/>
                <w:bCs/>
              </w:rPr>
            </w:pPr>
            <w:r w:rsidRPr="00C9689C">
              <w:rPr>
                <w:rFonts w:ascii="Segoe UI" w:eastAsia="Times New Roman" w:hAnsi="Segoe UI" w:cs="Segoe UI"/>
                <w:b/>
                <w:bCs/>
              </w:rPr>
              <w:t>1.5</w:t>
            </w:r>
          </w:p>
        </w:tc>
      </w:tr>
      <w:tr w:rsidR="004236F3" w14:paraId="7271F397" w14:textId="77777777" w:rsidTr="6952A7C3">
        <w:trPr>
          <w:gridBefore w:val="1"/>
          <w:wBefore w:w="15" w:type="dxa"/>
          <w:trHeight w:hRule="exact" w:val="432"/>
        </w:trPr>
        <w:tc>
          <w:tcPr>
            <w:tcW w:w="7185" w:type="dxa"/>
            <w:gridSpan w:val="2"/>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2CC8D921" w14:textId="77777777" w:rsidR="004236F3" w:rsidRDefault="004236F3" w:rsidP="00B215C3">
            <w:pPr>
              <w:rPr>
                <w:rFonts w:ascii="Segoe UI" w:eastAsia="Times New Roman" w:hAnsi="Segoe UI" w:cs="Segoe UI"/>
                <w:sz w:val="20"/>
                <w:szCs w:val="20"/>
              </w:rPr>
            </w:pPr>
            <w:r w:rsidRPr="5EF294CC">
              <w:rPr>
                <w:rFonts w:ascii="Segoe UI" w:eastAsia="Times New Roman" w:hAnsi="Segoe UI" w:cs="Segoe UI"/>
                <w:b/>
                <w:bCs/>
                <w:sz w:val="20"/>
                <w:szCs w:val="20"/>
              </w:rPr>
              <w:t xml:space="preserve">Indicator 2: </w:t>
            </w:r>
            <w:r w:rsidRPr="5EF294CC">
              <w:rPr>
                <w:rFonts w:ascii="Segoe UI" w:eastAsia="Times New Roman" w:hAnsi="Segoe UI" w:cs="Segoe UI"/>
                <w:sz w:val="20"/>
                <w:szCs w:val="20"/>
              </w:rPr>
              <w:t>Percent of youth with IEPs dropping out (ages 14-21).</w:t>
            </w:r>
            <w:r w:rsidRPr="5EF294CC">
              <w:rPr>
                <w:rFonts w:ascii="Segoe UI" w:eastAsia="Times New Roman" w:hAnsi="Segoe UI" w:cs="Segoe UI"/>
                <w:b/>
                <w:bCs/>
                <w:sz w:val="20"/>
                <w:szCs w:val="20"/>
              </w:rPr>
              <w:t xml:space="preserve"> </w:t>
            </w:r>
          </w:p>
        </w:tc>
        <w:tc>
          <w:tcPr>
            <w:tcW w:w="135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03EA241" w14:textId="77777777" w:rsidR="004236F3" w:rsidRDefault="004236F3" w:rsidP="00B215C3">
            <w:pPr>
              <w:jc w:val="center"/>
              <w:rPr>
                <w:rFonts w:ascii="Segoe UI" w:eastAsia="Times New Roman" w:hAnsi="Segoe UI" w:cs="Segoe UI"/>
                <w:b/>
                <w:bCs/>
                <w:noProof/>
              </w:rPr>
            </w:pPr>
            <w:r w:rsidRPr="5EF294CC">
              <w:rPr>
                <w:rFonts w:ascii="Segoe UI" w:eastAsia="Times New Roman" w:hAnsi="Segoe UI" w:cs="Segoe UI"/>
                <w:b/>
                <w:bCs/>
              </w:rPr>
              <w:t>0.00%</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DE3543A" w14:textId="77777777" w:rsidR="004236F3" w:rsidRDefault="004236F3" w:rsidP="00B215C3">
            <w:pPr>
              <w:jc w:val="center"/>
              <w:rPr>
                <w:rFonts w:ascii="Segoe UI" w:eastAsia="Times New Roman" w:hAnsi="Segoe UI" w:cs="Segoe UI"/>
                <w:b/>
                <w:bCs/>
                <w:noProof/>
              </w:rPr>
            </w:pPr>
            <w:r w:rsidRPr="5EF294CC">
              <w:rPr>
                <w:rFonts w:ascii="Segoe UI" w:eastAsia="Times New Roman" w:hAnsi="Segoe UI" w:cs="Segoe UI"/>
                <w:b/>
                <w:bCs/>
              </w:rPr>
              <w:t>Yes</w:t>
            </w:r>
          </w:p>
        </w:tc>
        <w:tc>
          <w:tcPr>
            <w:tcW w:w="915" w:type="dxa"/>
            <w:gridSpan w:val="2"/>
            <w:tcBorders>
              <w:top w:val="single" w:sz="12" w:space="0" w:color="auto"/>
              <w:left w:val="single" w:sz="12" w:space="0" w:color="auto"/>
              <w:bottom w:val="single" w:sz="12" w:space="0" w:color="auto"/>
            </w:tcBorders>
            <w:shd w:val="clear" w:color="auto" w:fill="FFFFFF" w:themeFill="background1"/>
            <w:vAlign w:val="center"/>
          </w:tcPr>
          <w:p w14:paraId="45233340" w14:textId="77777777" w:rsidR="004236F3" w:rsidRDefault="004236F3" w:rsidP="00B215C3">
            <w:pPr>
              <w:jc w:val="center"/>
              <w:rPr>
                <w:rFonts w:ascii="Segoe UI" w:eastAsia="Times New Roman" w:hAnsi="Segoe UI" w:cs="Segoe UI"/>
                <w:b/>
                <w:bCs/>
                <w:noProof/>
              </w:rPr>
            </w:pPr>
            <w:r w:rsidRPr="5EF294CC">
              <w:rPr>
                <w:rFonts w:ascii="Segoe UI" w:eastAsia="Times New Roman" w:hAnsi="Segoe UI" w:cs="Segoe UI"/>
                <w:b/>
                <w:bCs/>
              </w:rPr>
              <w:t>2</w:t>
            </w:r>
          </w:p>
        </w:tc>
      </w:tr>
      <w:tr w:rsidR="004236F3" w:rsidRPr="00CE2C48" w14:paraId="092180A5" w14:textId="77777777" w:rsidTr="6952A7C3">
        <w:trPr>
          <w:gridBefore w:val="1"/>
          <w:wBefore w:w="15" w:type="dxa"/>
          <w:trHeight w:val="377"/>
        </w:trPr>
        <w:tc>
          <w:tcPr>
            <w:tcW w:w="10980" w:type="dxa"/>
            <w:gridSpan w:val="6"/>
            <w:tcBorders>
              <w:top w:val="single" w:sz="12" w:space="0" w:color="auto"/>
              <w:bottom w:val="single" w:sz="12" w:space="0" w:color="auto"/>
            </w:tcBorders>
            <w:shd w:val="clear" w:color="auto" w:fill="FFFFFF" w:themeFill="background1"/>
            <w:tcMar>
              <w:top w:w="43" w:type="dxa"/>
              <w:left w:w="86" w:type="dxa"/>
              <w:bottom w:w="43" w:type="dxa"/>
              <w:right w:w="86" w:type="dxa"/>
            </w:tcMar>
            <w:vAlign w:val="center"/>
          </w:tcPr>
          <w:p w14:paraId="189AE3CA" w14:textId="77777777" w:rsidR="004236F3" w:rsidRPr="00CE2C48" w:rsidRDefault="004236F3" w:rsidP="00B215C3">
            <w:pPr>
              <w:rPr>
                <w:rFonts w:ascii="Segoe UI" w:eastAsia="Times New Roman" w:hAnsi="Segoe UI" w:cs="Segoe UI"/>
                <w:b/>
                <w:bCs/>
                <w:sz w:val="20"/>
                <w:szCs w:val="20"/>
              </w:rPr>
            </w:pPr>
            <w:r w:rsidRPr="5EF294CC">
              <w:rPr>
                <w:rFonts w:ascii="Segoe UI" w:eastAsia="Times New Roman" w:hAnsi="Segoe UI" w:cs="Segoe UI"/>
                <w:b/>
                <w:bCs/>
                <w:sz w:val="20"/>
                <w:szCs w:val="20"/>
              </w:rPr>
              <w:t xml:space="preserve">Indicator 3A: </w:t>
            </w:r>
            <w:r w:rsidRPr="5EF294CC">
              <w:rPr>
                <w:rFonts w:ascii="Segoe UI" w:eastAsia="Times New Roman" w:hAnsi="Segoe UI" w:cs="Segoe UI"/>
                <w:sz w:val="20"/>
                <w:szCs w:val="20"/>
              </w:rPr>
              <w:t xml:space="preserve">Percent of all students with IEPs participating in a state assessment, </w:t>
            </w:r>
            <w:r w:rsidRPr="5EF294CC">
              <w:rPr>
                <w:rFonts w:ascii="Segoe UI" w:eastAsia="Times New Roman" w:hAnsi="Segoe UI" w:cs="Segoe UI"/>
                <w:sz w:val="20"/>
                <w:szCs w:val="20"/>
                <w:u w:val="single"/>
              </w:rPr>
              <w:t>for grades 4, 8, 11</w:t>
            </w:r>
          </w:p>
        </w:tc>
      </w:tr>
      <w:tr w:rsidR="004236F3" w:rsidRPr="00CE2C48" w14:paraId="1C789EB9" w14:textId="77777777" w:rsidTr="6952A7C3">
        <w:trPr>
          <w:gridBefore w:val="1"/>
          <w:wBefore w:w="15" w:type="dxa"/>
          <w:trHeight w:val="332"/>
        </w:trPr>
        <w:tc>
          <w:tcPr>
            <w:tcW w:w="7185" w:type="dxa"/>
            <w:gridSpan w:val="2"/>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6550FF9F" w14:textId="77777777" w:rsidR="004236F3" w:rsidRPr="00CE2C48" w:rsidRDefault="004236F3" w:rsidP="00B215C3">
            <w:pPr>
              <w:jc w:val="right"/>
              <w:rPr>
                <w:rFonts w:ascii="Segoe UI" w:eastAsia="Times New Roman" w:hAnsi="Segoe UI" w:cs="Segoe UI"/>
              </w:rPr>
            </w:pPr>
            <w:r w:rsidRPr="5EF294CC">
              <w:rPr>
                <w:rFonts w:ascii="Segoe UI" w:eastAsia="Times New Roman" w:hAnsi="Segoe UI" w:cs="Segoe UI"/>
              </w:rPr>
              <w:t>Reading Assessment Participation Rate</w:t>
            </w:r>
          </w:p>
        </w:tc>
        <w:tc>
          <w:tcPr>
            <w:tcW w:w="135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F6B741D" w14:textId="77777777"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100.00%</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08527852" w14:textId="77777777"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Yes</w:t>
            </w:r>
          </w:p>
        </w:tc>
        <w:tc>
          <w:tcPr>
            <w:tcW w:w="915" w:type="dxa"/>
            <w:gridSpan w:val="2"/>
            <w:tcBorders>
              <w:top w:val="single" w:sz="12" w:space="0" w:color="auto"/>
              <w:left w:val="single" w:sz="12" w:space="0" w:color="auto"/>
              <w:bottom w:val="single" w:sz="12" w:space="0" w:color="auto"/>
            </w:tcBorders>
            <w:shd w:val="clear" w:color="auto" w:fill="FFFFFF" w:themeFill="background1"/>
            <w:vAlign w:val="center"/>
          </w:tcPr>
          <w:p w14:paraId="5EDE97F6" w14:textId="77777777"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1</w:t>
            </w:r>
          </w:p>
        </w:tc>
      </w:tr>
      <w:tr w:rsidR="004236F3" w:rsidRPr="00CE2C48" w14:paraId="5415E172" w14:textId="77777777" w:rsidTr="6952A7C3">
        <w:trPr>
          <w:gridBefore w:val="1"/>
          <w:wBefore w:w="15" w:type="dxa"/>
          <w:trHeight w:val="332"/>
        </w:trPr>
        <w:tc>
          <w:tcPr>
            <w:tcW w:w="7185" w:type="dxa"/>
            <w:gridSpan w:val="2"/>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5A6DD754" w14:textId="77777777" w:rsidR="004236F3" w:rsidRPr="00CE2C48" w:rsidRDefault="004236F3" w:rsidP="00B215C3">
            <w:pPr>
              <w:jc w:val="right"/>
              <w:rPr>
                <w:rFonts w:ascii="Segoe UI" w:eastAsia="Times New Roman" w:hAnsi="Segoe UI" w:cs="Segoe UI"/>
                <w:b/>
                <w:bCs/>
              </w:rPr>
            </w:pPr>
            <w:r w:rsidRPr="5EF294CC">
              <w:rPr>
                <w:rFonts w:ascii="Segoe UI" w:eastAsia="Times New Roman" w:hAnsi="Segoe UI" w:cs="Segoe UI"/>
              </w:rPr>
              <w:t>Math Assessment Participation Rate</w:t>
            </w:r>
          </w:p>
        </w:tc>
        <w:tc>
          <w:tcPr>
            <w:tcW w:w="135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2EA8D3A" w14:textId="3A60183E" w:rsidR="004236F3" w:rsidRPr="00CE2C48" w:rsidRDefault="00C2197A" w:rsidP="00B215C3">
            <w:pPr>
              <w:jc w:val="center"/>
              <w:rPr>
                <w:rFonts w:ascii="Segoe UI" w:eastAsia="Times New Roman" w:hAnsi="Segoe UI" w:cs="Segoe UI"/>
                <w:b/>
                <w:bCs/>
              </w:rPr>
            </w:pPr>
            <w:r>
              <w:rPr>
                <w:rFonts w:ascii="Segoe UI" w:eastAsia="Times New Roman" w:hAnsi="Segoe UI" w:cs="Segoe UI"/>
                <w:b/>
                <w:bCs/>
              </w:rPr>
              <w:t>85.00</w:t>
            </w:r>
            <w:r w:rsidR="004236F3" w:rsidRPr="5EF294CC">
              <w:rPr>
                <w:rFonts w:ascii="Segoe UI" w:eastAsia="Times New Roman" w:hAnsi="Segoe UI" w:cs="Segoe UI"/>
                <w:b/>
                <w:bCs/>
              </w:rPr>
              <w:t>%</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B38D07F" w14:textId="4297D76E" w:rsidR="004236F3" w:rsidRPr="00CE2C48" w:rsidRDefault="00C2197A" w:rsidP="00B215C3">
            <w:pPr>
              <w:jc w:val="center"/>
              <w:rPr>
                <w:rFonts w:ascii="Segoe UI" w:eastAsia="Times New Roman" w:hAnsi="Segoe UI" w:cs="Segoe UI"/>
                <w:b/>
                <w:bCs/>
              </w:rPr>
            </w:pPr>
            <w:r>
              <w:rPr>
                <w:rFonts w:ascii="Segoe UI" w:eastAsia="Times New Roman" w:hAnsi="Segoe UI" w:cs="Segoe UI"/>
                <w:b/>
                <w:bCs/>
              </w:rPr>
              <w:t>No</w:t>
            </w:r>
          </w:p>
        </w:tc>
        <w:tc>
          <w:tcPr>
            <w:tcW w:w="915" w:type="dxa"/>
            <w:gridSpan w:val="2"/>
            <w:tcBorders>
              <w:top w:val="single" w:sz="12" w:space="0" w:color="auto"/>
              <w:left w:val="single" w:sz="12" w:space="0" w:color="auto"/>
              <w:bottom w:val="single" w:sz="12" w:space="0" w:color="auto"/>
            </w:tcBorders>
            <w:shd w:val="clear" w:color="auto" w:fill="FFFFFF" w:themeFill="background1"/>
            <w:vAlign w:val="center"/>
          </w:tcPr>
          <w:p w14:paraId="0DA37D98" w14:textId="1BEE33F0" w:rsidR="004236F3" w:rsidRPr="00CE2C48" w:rsidRDefault="00C2197A" w:rsidP="00B215C3">
            <w:pPr>
              <w:jc w:val="center"/>
              <w:rPr>
                <w:rFonts w:ascii="Segoe UI" w:eastAsia="Times New Roman" w:hAnsi="Segoe UI" w:cs="Segoe UI"/>
                <w:b/>
                <w:bCs/>
              </w:rPr>
            </w:pPr>
            <w:r>
              <w:rPr>
                <w:rFonts w:ascii="Segoe UI" w:eastAsia="Times New Roman" w:hAnsi="Segoe UI" w:cs="Segoe UI"/>
                <w:b/>
                <w:bCs/>
              </w:rPr>
              <w:t>0</w:t>
            </w:r>
          </w:p>
        </w:tc>
      </w:tr>
      <w:tr w:rsidR="004236F3" w:rsidRPr="00CE2C48" w14:paraId="73AC54E9" w14:textId="77777777" w:rsidTr="6952A7C3">
        <w:trPr>
          <w:gridBefore w:val="1"/>
          <w:wBefore w:w="15" w:type="dxa"/>
          <w:trHeight w:val="341"/>
        </w:trPr>
        <w:tc>
          <w:tcPr>
            <w:tcW w:w="10980" w:type="dxa"/>
            <w:gridSpan w:val="6"/>
            <w:tcBorders>
              <w:top w:val="single" w:sz="12" w:space="0" w:color="auto"/>
              <w:bottom w:val="single" w:sz="12" w:space="0" w:color="auto"/>
            </w:tcBorders>
            <w:shd w:val="clear" w:color="auto" w:fill="FFFFFF" w:themeFill="background1"/>
            <w:tcMar>
              <w:top w:w="43" w:type="dxa"/>
              <w:left w:w="86" w:type="dxa"/>
              <w:bottom w:w="43" w:type="dxa"/>
              <w:right w:w="86" w:type="dxa"/>
            </w:tcMar>
            <w:vAlign w:val="center"/>
          </w:tcPr>
          <w:p w14:paraId="6676B937" w14:textId="77777777" w:rsidR="004236F3" w:rsidRPr="00CE2C48" w:rsidRDefault="004236F3" w:rsidP="00B215C3">
            <w:pPr>
              <w:rPr>
                <w:rFonts w:ascii="Segoe UI" w:eastAsia="Times New Roman" w:hAnsi="Segoe UI" w:cs="Segoe UI"/>
                <w:sz w:val="20"/>
                <w:szCs w:val="20"/>
              </w:rPr>
            </w:pPr>
            <w:r w:rsidRPr="5EF294CC">
              <w:rPr>
                <w:rFonts w:ascii="Segoe UI" w:eastAsia="Times New Roman" w:hAnsi="Segoe UI" w:cs="Segoe UI"/>
                <w:b/>
                <w:bCs/>
                <w:sz w:val="20"/>
                <w:szCs w:val="20"/>
              </w:rPr>
              <w:t>Indicator 3B:</w:t>
            </w:r>
            <w:r w:rsidRPr="5EF294CC">
              <w:rPr>
                <w:rFonts w:ascii="Segoe UI" w:eastAsia="Times New Roman" w:hAnsi="Segoe UI" w:cs="Segoe UI"/>
                <w:sz w:val="20"/>
                <w:szCs w:val="20"/>
              </w:rPr>
              <w:t xml:space="preserve"> Percent of students with IEPs who achieve Proficient+ in a state assessment.</w:t>
            </w:r>
          </w:p>
        </w:tc>
      </w:tr>
      <w:tr w:rsidR="004236F3" w:rsidRPr="00CE2C48" w14:paraId="16C225B9" w14:textId="77777777" w:rsidTr="6952A7C3">
        <w:trPr>
          <w:gridBefore w:val="1"/>
          <w:wBefore w:w="15" w:type="dxa"/>
          <w:trHeight w:val="314"/>
        </w:trPr>
        <w:tc>
          <w:tcPr>
            <w:tcW w:w="7185" w:type="dxa"/>
            <w:gridSpan w:val="2"/>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354257FF" w14:textId="77777777" w:rsidR="004236F3" w:rsidRPr="00CE2C48" w:rsidRDefault="004236F3" w:rsidP="00B215C3">
            <w:pPr>
              <w:jc w:val="right"/>
              <w:rPr>
                <w:rFonts w:ascii="Segoe UI" w:eastAsia="Times New Roman" w:hAnsi="Segoe UI" w:cs="Segoe UI"/>
              </w:rPr>
            </w:pPr>
            <w:r w:rsidRPr="5EF294CC">
              <w:rPr>
                <w:rFonts w:ascii="Segoe UI" w:eastAsia="Times New Roman" w:hAnsi="Segoe UI" w:cs="Segoe UI"/>
              </w:rPr>
              <w:t>4</w:t>
            </w:r>
            <w:r w:rsidRPr="5EF294CC">
              <w:rPr>
                <w:rFonts w:ascii="Segoe UI" w:eastAsia="Times New Roman" w:hAnsi="Segoe UI" w:cs="Segoe UI"/>
                <w:vertAlign w:val="superscript"/>
              </w:rPr>
              <w:t>th</w:t>
            </w:r>
            <w:r w:rsidRPr="5EF294CC">
              <w:rPr>
                <w:rFonts w:ascii="Segoe UI" w:eastAsia="Times New Roman" w:hAnsi="Segoe UI" w:cs="Segoe UI"/>
              </w:rPr>
              <w:t xml:space="preserve"> General Assessment Reading Proficiency Rate</w:t>
            </w:r>
          </w:p>
        </w:tc>
        <w:tc>
          <w:tcPr>
            <w:tcW w:w="135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D369419" w14:textId="77777777"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50.00%</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1DC6158" w14:textId="77777777"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Yes</w:t>
            </w:r>
          </w:p>
        </w:tc>
        <w:tc>
          <w:tcPr>
            <w:tcW w:w="915" w:type="dxa"/>
            <w:gridSpan w:val="2"/>
            <w:tcBorders>
              <w:top w:val="single" w:sz="12" w:space="0" w:color="auto"/>
              <w:left w:val="single" w:sz="12" w:space="0" w:color="auto"/>
              <w:bottom w:val="single" w:sz="12" w:space="0" w:color="auto"/>
            </w:tcBorders>
            <w:shd w:val="clear" w:color="auto" w:fill="FFFFFF" w:themeFill="background1"/>
            <w:vAlign w:val="center"/>
          </w:tcPr>
          <w:p w14:paraId="3E8F33C7" w14:textId="77777777"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1</w:t>
            </w:r>
          </w:p>
        </w:tc>
      </w:tr>
      <w:tr w:rsidR="004236F3" w:rsidRPr="00CE2C48" w14:paraId="504D7B3A" w14:textId="77777777" w:rsidTr="6952A7C3">
        <w:trPr>
          <w:gridBefore w:val="1"/>
          <w:wBefore w:w="15" w:type="dxa"/>
          <w:trHeight w:val="332"/>
        </w:trPr>
        <w:tc>
          <w:tcPr>
            <w:tcW w:w="7185" w:type="dxa"/>
            <w:gridSpan w:val="2"/>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312DE82D" w14:textId="77777777" w:rsidR="004236F3" w:rsidRPr="00CE2C48" w:rsidRDefault="004236F3" w:rsidP="00B215C3">
            <w:pPr>
              <w:jc w:val="right"/>
              <w:rPr>
                <w:rFonts w:ascii="Segoe UI" w:eastAsia="Times New Roman" w:hAnsi="Segoe UI" w:cs="Segoe UI"/>
              </w:rPr>
            </w:pPr>
            <w:r w:rsidRPr="5EF294CC">
              <w:rPr>
                <w:rFonts w:ascii="Segoe UI" w:eastAsia="Times New Roman" w:hAnsi="Segoe UI" w:cs="Segoe UI"/>
              </w:rPr>
              <w:t>8</w:t>
            </w:r>
            <w:r w:rsidRPr="5EF294CC">
              <w:rPr>
                <w:rFonts w:ascii="Segoe UI" w:eastAsia="Times New Roman" w:hAnsi="Segoe UI" w:cs="Segoe UI"/>
                <w:vertAlign w:val="superscript"/>
              </w:rPr>
              <w:t>th</w:t>
            </w:r>
            <w:r w:rsidRPr="5EF294CC">
              <w:rPr>
                <w:rFonts w:ascii="Segoe UI" w:eastAsia="Times New Roman" w:hAnsi="Segoe UI" w:cs="Segoe UI"/>
              </w:rPr>
              <w:t xml:space="preserve"> General Assessment Reading Proficiency Rate</w:t>
            </w:r>
          </w:p>
        </w:tc>
        <w:tc>
          <w:tcPr>
            <w:tcW w:w="135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930C224" w14:textId="0574B031"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0.00%</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E94B6F7" w14:textId="04D520D5" w:rsidR="004236F3" w:rsidRPr="00CE2C48" w:rsidRDefault="006330C1" w:rsidP="00B215C3">
            <w:pPr>
              <w:jc w:val="center"/>
              <w:rPr>
                <w:rFonts w:ascii="Segoe UI" w:eastAsia="Times New Roman" w:hAnsi="Segoe UI" w:cs="Segoe UI"/>
                <w:b/>
                <w:bCs/>
              </w:rPr>
            </w:pPr>
            <w:r>
              <w:rPr>
                <w:rFonts w:ascii="Segoe UI" w:eastAsia="Times New Roman" w:hAnsi="Segoe UI" w:cs="Segoe UI"/>
                <w:b/>
                <w:bCs/>
              </w:rPr>
              <w:t>No</w:t>
            </w:r>
          </w:p>
        </w:tc>
        <w:tc>
          <w:tcPr>
            <w:tcW w:w="915" w:type="dxa"/>
            <w:gridSpan w:val="2"/>
            <w:tcBorders>
              <w:top w:val="single" w:sz="12" w:space="0" w:color="auto"/>
              <w:left w:val="single" w:sz="12" w:space="0" w:color="auto"/>
              <w:bottom w:val="single" w:sz="12" w:space="0" w:color="auto"/>
            </w:tcBorders>
            <w:shd w:val="clear" w:color="auto" w:fill="FFFFFF" w:themeFill="background1"/>
            <w:vAlign w:val="center"/>
          </w:tcPr>
          <w:p w14:paraId="5A3C2467" w14:textId="55EF32D9" w:rsidR="004236F3" w:rsidRPr="00CE2C48" w:rsidRDefault="006330C1" w:rsidP="00B215C3">
            <w:pPr>
              <w:jc w:val="center"/>
              <w:rPr>
                <w:rFonts w:ascii="Segoe UI" w:eastAsia="Times New Roman" w:hAnsi="Segoe UI" w:cs="Segoe UI"/>
                <w:b/>
                <w:bCs/>
              </w:rPr>
            </w:pPr>
            <w:r>
              <w:rPr>
                <w:rFonts w:ascii="Segoe UI" w:eastAsia="Times New Roman" w:hAnsi="Segoe UI" w:cs="Segoe UI"/>
                <w:b/>
                <w:bCs/>
              </w:rPr>
              <w:t>0</w:t>
            </w:r>
          </w:p>
        </w:tc>
      </w:tr>
      <w:tr w:rsidR="004236F3" w:rsidRPr="00CE2C48" w14:paraId="4A1C4DC2" w14:textId="77777777" w:rsidTr="6952A7C3">
        <w:trPr>
          <w:gridBefore w:val="1"/>
          <w:wBefore w:w="15" w:type="dxa"/>
          <w:trHeight w:val="332"/>
        </w:trPr>
        <w:tc>
          <w:tcPr>
            <w:tcW w:w="7185" w:type="dxa"/>
            <w:gridSpan w:val="2"/>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477D4AEB" w14:textId="77777777" w:rsidR="004236F3" w:rsidRPr="00CE2C48" w:rsidRDefault="004236F3" w:rsidP="00B215C3">
            <w:pPr>
              <w:jc w:val="right"/>
              <w:rPr>
                <w:rFonts w:ascii="Segoe UI" w:eastAsia="Times New Roman" w:hAnsi="Segoe UI" w:cs="Segoe UI"/>
              </w:rPr>
            </w:pPr>
            <w:r w:rsidRPr="5EF294CC">
              <w:rPr>
                <w:rFonts w:ascii="Segoe UI" w:eastAsia="Times New Roman" w:hAnsi="Segoe UI" w:cs="Segoe UI"/>
              </w:rPr>
              <w:t>11</w:t>
            </w:r>
            <w:r w:rsidRPr="5EF294CC">
              <w:rPr>
                <w:rFonts w:ascii="Segoe UI" w:eastAsia="Times New Roman" w:hAnsi="Segoe UI" w:cs="Segoe UI"/>
                <w:vertAlign w:val="superscript"/>
              </w:rPr>
              <w:t>th</w:t>
            </w:r>
            <w:r w:rsidRPr="5EF294CC">
              <w:rPr>
                <w:rFonts w:ascii="Segoe UI" w:eastAsia="Times New Roman" w:hAnsi="Segoe UI" w:cs="Segoe UI"/>
              </w:rPr>
              <w:t xml:space="preserve"> General Assessment Reading Proficiency Rate</w:t>
            </w:r>
          </w:p>
        </w:tc>
        <w:tc>
          <w:tcPr>
            <w:tcW w:w="135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CAFF3F6" w14:textId="0D5B451D"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0.00%</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752EEEFE" w14:textId="39004F03" w:rsidR="004236F3" w:rsidRPr="00CE2C48" w:rsidRDefault="006330C1" w:rsidP="00B215C3">
            <w:pPr>
              <w:jc w:val="center"/>
              <w:rPr>
                <w:rFonts w:ascii="Segoe UI" w:eastAsia="Times New Roman" w:hAnsi="Segoe UI" w:cs="Segoe UI"/>
                <w:b/>
                <w:bCs/>
              </w:rPr>
            </w:pPr>
            <w:r>
              <w:rPr>
                <w:rFonts w:ascii="Segoe UI" w:eastAsia="Times New Roman" w:hAnsi="Segoe UI" w:cs="Segoe UI"/>
                <w:b/>
                <w:bCs/>
              </w:rPr>
              <w:t>No</w:t>
            </w:r>
          </w:p>
        </w:tc>
        <w:tc>
          <w:tcPr>
            <w:tcW w:w="915" w:type="dxa"/>
            <w:gridSpan w:val="2"/>
            <w:tcBorders>
              <w:top w:val="single" w:sz="12" w:space="0" w:color="auto"/>
              <w:left w:val="single" w:sz="12" w:space="0" w:color="auto"/>
              <w:bottom w:val="single" w:sz="12" w:space="0" w:color="auto"/>
            </w:tcBorders>
            <w:shd w:val="clear" w:color="auto" w:fill="FFFFFF" w:themeFill="background1"/>
            <w:vAlign w:val="center"/>
          </w:tcPr>
          <w:p w14:paraId="2493832E" w14:textId="140EEE84" w:rsidR="004236F3" w:rsidRPr="00CE2C48" w:rsidRDefault="006330C1" w:rsidP="00B215C3">
            <w:pPr>
              <w:jc w:val="center"/>
              <w:rPr>
                <w:rFonts w:ascii="Segoe UI" w:eastAsia="Times New Roman" w:hAnsi="Segoe UI" w:cs="Segoe UI"/>
                <w:b/>
                <w:bCs/>
              </w:rPr>
            </w:pPr>
            <w:r>
              <w:rPr>
                <w:rFonts w:ascii="Segoe UI" w:eastAsia="Times New Roman" w:hAnsi="Segoe UI" w:cs="Segoe UI"/>
                <w:b/>
                <w:bCs/>
              </w:rPr>
              <w:t>0</w:t>
            </w:r>
          </w:p>
        </w:tc>
      </w:tr>
      <w:tr w:rsidR="004236F3" w:rsidRPr="00CE2C48" w14:paraId="33C77A44" w14:textId="77777777" w:rsidTr="6952A7C3">
        <w:trPr>
          <w:gridBefore w:val="1"/>
          <w:wBefore w:w="15" w:type="dxa"/>
          <w:trHeight w:hRule="exact" w:val="720"/>
        </w:trPr>
        <w:tc>
          <w:tcPr>
            <w:tcW w:w="10065" w:type="dxa"/>
            <w:gridSpan w:val="4"/>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3ADFE158" w14:textId="411324AC" w:rsidR="004236F3" w:rsidRPr="00CD7DBE" w:rsidRDefault="587BFE7B" w:rsidP="00B215C3">
            <w:pPr>
              <w:rPr>
                <w:rFonts w:ascii="Segoe UI" w:eastAsia="Times New Roman" w:hAnsi="Segoe UI" w:cs="Segoe UI"/>
                <w:b/>
                <w:bCs/>
                <w:noProof/>
              </w:rPr>
            </w:pPr>
            <w:r w:rsidRPr="6952A7C3">
              <w:rPr>
                <w:rFonts w:ascii="Segoe UI" w:eastAsia="Times New Roman" w:hAnsi="Segoe UI" w:cs="Segoe UI"/>
                <w:b/>
                <w:bCs/>
                <w:sz w:val="20"/>
                <w:szCs w:val="20"/>
              </w:rPr>
              <w:t xml:space="preserve">Year-to-Year Proficiency Growth Bonus for Reading </w:t>
            </w:r>
            <w:r w:rsidRPr="6952A7C3">
              <w:rPr>
                <w:rFonts w:ascii="Segoe UI" w:eastAsia="Times New Roman" w:hAnsi="Segoe UI" w:cs="Segoe UI"/>
                <w:sz w:val="20"/>
                <w:szCs w:val="20"/>
              </w:rPr>
              <w:t>(.50 point for any growth</w:t>
            </w:r>
            <w:r w:rsidR="2D1ED6D2" w:rsidRPr="6952A7C3">
              <w:rPr>
                <w:rFonts w:ascii="Segoe UI" w:eastAsia="Times New Roman" w:hAnsi="Segoe UI" w:cs="Segoe UI"/>
                <w:sz w:val="20"/>
                <w:szCs w:val="20"/>
              </w:rPr>
              <w:t xml:space="preserve"> in grade 4</w:t>
            </w:r>
            <w:r w:rsidR="2D1ED6D2" w:rsidRPr="6952A7C3">
              <w:rPr>
                <w:rFonts w:ascii="Segoe UI" w:eastAsia="Times New Roman" w:hAnsi="Segoe UI" w:cs="Segoe UI"/>
                <w:sz w:val="20"/>
                <w:szCs w:val="20"/>
                <w:vertAlign w:val="superscript"/>
              </w:rPr>
              <w:t>th</w:t>
            </w:r>
            <w:r w:rsidR="2D1ED6D2" w:rsidRPr="6952A7C3">
              <w:rPr>
                <w:rFonts w:ascii="Segoe UI" w:eastAsia="Times New Roman" w:hAnsi="Segoe UI" w:cs="Segoe UI"/>
                <w:sz w:val="20"/>
                <w:szCs w:val="20"/>
              </w:rPr>
              <w:t>, .50 point for any growth in grade 8</w:t>
            </w:r>
            <w:r w:rsidR="2D1ED6D2" w:rsidRPr="6952A7C3">
              <w:rPr>
                <w:rFonts w:ascii="Segoe UI" w:eastAsia="Times New Roman" w:hAnsi="Segoe UI" w:cs="Segoe UI"/>
                <w:sz w:val="20"/>
                <w:szCs w:val="20"/>
                <w:vertAlign w:val="superscript"/>
              </w:rPr>
              <w:t>th</w:t>
            </w:r>
            <w:r w:rsidR="2D1ED6D2" w:rsidRPr="6952A7C3">
              <w:rPr>
                <w:rFonts w:ascii="Segoe UI" w:eastAsia="Times New Roman" w:hAnsi="Segoe UI" w:cs="Segoe UI"/>
                <w:sz w:val="20"/>
                <w:szCs w:val="20"/>
              </w:rPr>
              <w:t>, and .50 point for any growth in grade 11</w:t>
            </w:r>
            <w:r w:rsidR="2D1ED6D2" w:rsidRPr="6952A7C3">
              <w:rPr>
                <w:rFonts w:ascii="Segoe UI" w:eastAsia="Times New Roman" w:hAnsi="Segoe UI" w:cs="Segoe UI"/>
                <w:sz w:val="20"/>
                <w:szCs w:val="20"/>
                <w:vertAlign w:val="superscript"/>
              </w:rPr>
              <w:t>th</w:t>
            </w:r>
            <w:r w:rsidRPr="6952A7C3">
              <w:rPr>
                <w:rFonts w:ascii="Segoe UI" w:eastAsia="Times New Roman" w:hAnsi="Segoe UI" w:cs="Segoe UI"/>
                <w:sz w:val="20"/>
                <w:szCs w:val="20"/>
              </w:rPr>
              <w:t>)</w:t>
            </w:r>
          </w:p>
        </w:tc>
        <w:tc>
          <w:tcPr>
            <w:tcW w:w="915" w:type="dxa"/>
            <w:gridSpan w:val="2"/>
            <w:tcBorders>
              <w:top w:val="single" w:sz="12" w:space="0" w:color="auto"/>
              <w:left w:val="single" w:sz="12" w:space="0" w:color="auto"/>
              <w:bottom w:val="single" w:sz="12" w:space="0" w:color="auto"/>
            </w:tcBorders>
            <w:shd w:val="clear" w:color="auto" w:fill="FFFFFF" w:themeFill="background1"/>
            <w:vAlign w:val="center"/>
          </w:tcPr>
          <w:p w14:paraId="39D4CCF4" w14:textId="2F6FC9A0" w:rsidR="004236F3" w:rsidRPr="00CD7DBE" w:rsidRDefault="006330C1" w:rsidP="00B215C3">
            <w:pPr>
              <w:jc w:val="center"/>
              <w:rPr>
                <w:rFonts w:ascii="Segoe UI" w:eastAsia="Times New Roman" w:hAnsi="Segoe UI" w:cs="Segoe UI"/>
                <w:b/>
                <w:bCs/>
                <w:noProof/>
              </w:rPr>
            </w:pPr>
            <w:r>
              <w:rPr>
                <w:rFonts w:ascii="Segoe UI" w:eastAsia="Times New Roman" w:hAnsi="Segoe UI" w:cs="Segoe UI"/>
                <w:b/>
                <w:bCs/>
              </w:rPr>
              <w:t>.50</w:t>
            </w:r>
          </w:p>
        </w:tc>
      </w:tr>
      <w:tr w:rsidR="004236F3" w:rsidRPr="00CE2C48" w14:paraId="5D532F20" w14:textId="77777777" w:rsidTr="6952A7C3">
        <w:trPr>
          <w:gridBefore w:val="1"/>
          <w:wBefore w:w="15" w:type="dxa"/>
          <w:trHeight w:val="323"/>
        </w:trPr>
        <w:tc>
          <w:tcPr>
            <w:tcW w:w="7185" w:type="dxa"/>
            <w:gridSpan w:val="2"/>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06AA6370" w14:textId="77777777" w:rsidR="004236F3" w:rsidRPr="00CE2C48" w:rsidRDefault="004236F3" w:rsidP="00B215C3">
            <w:pPr>
              <w:jc w:val="right"/>
              <w:rPr>
                <w:rFonts w:ascii="Segoe UI" w:eastAsia="Times New Roman" w:hAnsi="Segoe UI" w:cs="Segoe UI"/>
                <w:b/>
                <w:bCs/>
              </w:rPr>
            </w:pPr>
            <w:r w:rsidRPr="5EF294CC">
              <w:rPr>
                <w:rFonts w:ascii="Segoe UI" w:eastAsia="Times New Roman" w:hAnsi="Segoe UI" w:cs="Segoe UI"/>
              </w:rPr>
              <w:t>4</w:t>
            </w:r>
            <w:r w:rsidRPr="5EF294CC">
              <w:rPr>
                <w:rFonts w:ascii="Segoe UI" w:eastAsia="Times New Roman" w:hAnsi="Segoe UI" w:cs="Segoe UI"/>
                <w:vertAlign w:val="superscript"/>
              </w:rPr>
              <w:t>th</w:t>
            </w:r>
            <w:r w:rsidRPr="5EF294CC">
              <w:rPr>
                <w:rFonts w:ascii="Segoe UI" w:eastAsia="Times New Roman" w:hAnsi="Segoe UI" w:cs="Segoe UI"/>
              </w:rPr>
              <w:t xml:space="preserve"> General Assessment Math Proficiency Rate</w:t>
            </w:r>
          </w:p>
        </w:tc>
        <w:tc>
          <w:tcPr>
            <w:tcW w:w="135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1B58645" w14:textId="77777777"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14.29%</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BECE2F4" w14:textId="77777777"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Yes</w:t>
            </w:r>
          </w:p>
        </w:tc>
        <w:tc>
          <w:tcPr>
            <w:tcW w:w="915" w:type="dxa"/>
            <w:gridSpan w:val="2"/>
            <w:tcBorders>
              <w:top w:val="single" w:sz="12" w:space="0" w:color="auto"/>
              <w:left w:val="single" w:sz="12" w:space="0" w:color="auto"/>
              <w:bottom w:val="single" w:sz="12" w:space="0" w:color="auto"/>
            </w:tcBorders>
            <w:shd w:val="clear" w:color="auto" w:fill="FFFFFF" w:themeFill="background1"/>
            <w:vAlign w:val="center"/>
          </w:tcPr>
          <w:p w14:paraId="09CB74F9" w14:textId="77777777"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1</w:t>
            </w:r>
          </w:p>
        </w:tc>
      </w:tr>
      <w:tr w:rsidR="004236F3" w:rsidRPr="00CE2C48" w14:paraId="4E76885C" w14:textId="77777777" w:rsidTr="6952A7C3">
        <w:trPr>
          <w:gridBefore w:val="1"/>
          <w:wBefore w:w="15" w:type="dxa"/>
          <w:trHeight w:val="251"/>
        </w:trPr>
        <w:tc>
          <w:tcPr>
            <w:tcW w:w="7185" w:type="dxa"/>
            <w:gridSpan w:val="2"/>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5B43C114" w14:textId="77777777" w:rsidR="004236F3" w:rsidRPr="00CE2C48" w:rsidRDefault="004236F3" w:rsidP="00B215C3">
            <w:pPr>
              <w:jc w:val="right"/>
              <w:rPr>
                <w:rFonts w:ascii="Segoe UI" w:eastAsia="Times New Roman" w:hAnsi="Segoe UI" w:cs="Segoe UI"/>
                <w:b/>
                <w:bCs/>
              </w:rPr>
            </w:pPr>
            <w:r w:rsidRPr="5EF294CC">
              <w:rPr>
                <w:rFonts w:ascii="Segoe UI" w:eastAsia="Times New Roman" w:hAnsi="Segoe UI" w:cs="Segoe UI"/>
              </w:rPr>
              <w:t>8</w:t>
            </w:r>
            <w:r w:rsidRPr="5EF294CC">
              <w:rPr>
                <w:rFonts w:ascii="Segoe UI" w:eastAsia="Times New Roman" w:hAnsi="Segoe UI" w:cs="Segoe UI"/>
                <w:vertAlign w:val="superscript"/>
              </w:rPr>
              <w:t>th</w:t>
            </w:r>
            <w:r w:rsidRPr="5EF294CC">
              <w:rPr>
                <w:rFonts w:ascii="Segoe UI" w:eastAsia="Times New Roman" w:hAnsi="Segoe UI" w:cs="Segoe UI"/>
              </w:rPr>
              <w:t xml:space="preserve"> General Assessment Math Proficiency Rate</w:t>
            </w:r>
          </w:p>
        </w:tc>
        <w:tc>
          <w:tcPr>
            <w:tcW w:w="135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1531007" w14:textId="77777777"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0.00%</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7A9ACEBB" w14:textId="77777777"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No</w:t>
            </w:r>
          </w:p>
        </w:tc>
        <w:tc>
          <w:tcPr>
            <w:tcW w:w="915" w:type="dxa"/>
            <w:gridSpan w:val="2"/>
            <w:tcBorders>
              <w:top w:val="single" w:sz="12" w:space="0" w:color="auto"/>
              <w:left w:val="single" w:sz="12" w:space="0" w:color="auto"/>
              <w:bottom w:val="single" w:sz="12" w:space="0" w:color="auto"/>
            </w:tcBorders>
            <w:shd w:val="clear" w:color="auto" w:fill="FFFFFF" w:themeFill="background1"/>
            <w:vAlign w:val="center"/>
          </w:tcPr>
          <w:p w14:paraId="1FF9D53F" w14:textId="2BA5FA59" w:rsidR="004236F3" w:rsidRPr="00CE2C48" w:rsidRDefault="00C2197A" w:rsidP="00B215C3">
            <w:pPr>
              <w:jc w:val="center"/>
              <w:rPr>
                <w:rFonts w:ascii="Segoe UI" w:eastAsia="Times New Roman" w:hAnsi="Segoe UI" w:cs="Segoe UI"/>
                <w:b/>
                <w:bCs/>
              </w:rPr>
            </w:pPr>
            <w:r>
              <w:rPr>
                <w:rFonts w:ascii="Segoe UI" w:eastAsia="Times New Roman" w:hAnsi="Segoe UI" w:cs="Segoe UI"/>
                <w:b/>
                <w:bCs/>
              </w:rPr>
              <w:t>0</w:t>
            </w:r>
          </w:p>
        </w:tc>
      </w:tr>
      <w:tr w:rsidR="004236F3" w:rsidRPr="00CE2C48" w14:paraId="1D362C5D" w14:textId="77777777" w:rsidTr="6952A7C3">
        <w:trPr>
          <w:gridBefore w:val="1"/>
          <w:wBefore w:w="15" w:type="dxa"/>
          <w:trHeight w:val="260"/>
        </w:trPr>
        <w:tc>
          <w:tcPr>
            <w:tcW w:w="7185" w:type="dxa"/>
            <w:gridSpan w:val="2"/>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345A0D49" w14:textId="77777777" w:rsidR="004236F3" w:rsidRPr="00CE2C48" w:rsidRDefault="004236F3" w:rsidP="00B215C3">
            <w:pPr>
              <w:jc w:val="right"/>
              <w:rPr>
                <w:rFonts w:ascii="Segoe UI" w:eastAsia="Times New Roman" w:hAnsi="Segoe UI" w:cs="Segoe UI"/>
                <w:b/>
                <w:bCs/>
              </w:rPr>
            </w:pPr>
            <w:r w:rsidRPr="5EF294CC">
              <w:rPr>
                <w:rFonts w:ascii="Segoe UI" w:eastAsia="Times New Roman" w:hAnsi="Segoe UI" w:cs="Segoe UI"/>
              </w:rPr>
              <w:t>11</w:t>
            </w:r>
            <w:r w:rsidRPr="5EF294CC">
              <w:rPr>
                <w:rFonts w:ascii="Segoe UI" w:eastAsia="Times New Roman" w:hAnsi="Segoe UI" w:cs="Segoe UI"/>
                <w:vertAlign w:val="superscript"/>
              </w:rPr>
              <w:t>th</w:t>
            </w:r>
            <w:r w:rsidRPr="5EF294CC">
              <w:rPr>
                <w:rFonts w:ascii="Segoe UI" w:eastAsia="Times New Roman" w:hAnsi="Segoe UI" w:cs="Segoe UI"/>
              </w:rPr>
              <w:t xml:space="preserve"> General Assessment Math Proficiency Rate</w:t>
            </w:r>
          </w:p>
        </w:tc>
        <w:tc>
          <w:tcPr>
            <w:tcW w:w="135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7DBC7784" w14:textId="009B3DCD"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0.00%</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2420687" w14:textId="02F0A62C" w:rsidR="004236F3" w:rsidRPr="00CE2C48" w:rsidRDefault="006330C1" w:rsidP="00B215C3">
            <w:pPr>
              <w:jc w:val="center"/>
              <w:rPr>
                <w:rFonts w:ascii="Segoe UI" w:eastAsia="Times New Roman" w:hAnsi="Segoe UI" w:cs="Segoe UI"/>
                <w:b/>
                <w:bCs/>
              </w:rPr>
            </w:pPr>
            <w:r>
              <w:rPr>
                <w:rFonts w:ascii="Segoe UI" w:eastAsia="Times New Roman" w:hAnsi="Segoe UI" w:cs="Segoe UI"/>
                <w:b/>
                <w:bCs/>
              </w:rPr>
              <w:t>No</w:t>
            </w:r>
          </w:p>
        </w:tc>
        <w:tc>
          <w:tcPr>
            <w:tcW w:w="915" w:type="dxa"/>
            <w:gridSpan w:val="2"/>
            <w:tcBorders>
              <w:top w:val="single" w:sz="12" w:space="0" w:color="auto"/>
              <w:left w:val="single" w:sz="12" w:space="0" w:color="auto"/>
              <w:bottom w:val="single" w:sz="12" w:space="0" w:color="auto"/>
            </w:tcBorders>
            <w:shd w:val="clear" w:color="auto" w:fill="FFFFFF" w:themeFill="background1"/>
            <w:vAlign w:val="center"/>
          </w:tcPr>
          <w:p w14:paraId="7A014161" w14:textId="2324A5A3" w:rsidR="004236F3" w:rsidRPr="00CE2C48" w:rsidRDefault="006330C1" w:rsidP="00B215C3">
            <w:pPr>
              <w:jc w:val="center"/>
              <w:rPr>
                <w:rFonts w:ascii="Segoe UI" w:eastAsia="Times New Roman" w:hAnsi="Segoe UI" w:cs="Segoe UI"/>
                <w:b/>
                <w:bCs/>
              </w:rPr>
            </w:pPr>
            <w:r>
              <w:rPr>
                <w:rFonts w:ascii="Segoe UI" w:eastAsia="Times New Roman" w:hAnsi="Segoe UI" w:cs="Segoe UI"/>
                <w:b/>
                <w:bCs/>
              </w:rPr>
              <w:t>0</w:t>
            </w:r>
          </w:p>
        </w:tc>
      </w:tr>
      <w:tr w:rsidR="004236F3" w:rsidRPr="00CE2C48" w14:paraId="1280D79C" w14:textId="77777777" w:rsidTr="6952A7C3">
        <w:trPr>
          <w:gridBefore w:val="1"/>
          <w:wBefore w:w="15" w:type="dxa"/>
          <w:trHeight w:hRule="exact" w:val="720"/>
        </w:trPr>
        <w:tc>
          <w:tcPr>
            <w:tcW w:w="10065" w:type="dxa"/>
            <w:gridSpan w:val="4"/>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4250A4A8" w14:textId="3AC9FE74" w:rsidR="004236F3" w:rsidRPr="00B26468" w:rsidRDefault="587BFE7B" w:rsidP="00B215C3">
            <w:pPr>
              <w:rPr>
                <w:rFonts w:ascii="Segoe UI" w:eastAsia="Times New Roman" w:hAnsi="Segoe UI" w:cs="Segoe UI"/>
                <w:b/>
                <w:bCs/>
                <w:noProof/>
                <w:sz w:val="20"/>
                <w:szCs w:val="20"/>
              </w:rPr>
            </w:pPr>
            <w:r w:rsidRPr="6952A7C3">
              <w:rPr>
                <w:rFonts w:ascii="Segoe UI" w:eastAsia="Times New Roman" w:hAnsi="Segoe UI" w:cs="Segoe UI"/>
                <w:b/>
                <w:bCs/>
                <w:sz w:val="20"/>
                <w:szCs w:val="20"/>
              </w:rPr>
              <w:t>Year-to-Year Proficiency Growth Bonus for Math</w:t>
            </w:r>
            <w:r w:rsidRPr="6952A7C3">
              <w:rPr>
                <w:rFonts w:ascii="Segoe UI" w:eastAsia="Times New Roman" w:hAnsi="Segoe UI" w:cs="Segoe UI"/>
                <w:sz w:val="20"/>
                <w:szCs w:val="20"/>
              </w:rPr>
              <w:t xml:space="preserve"> </w:t>
            </w:r>
            <w:r w:rsidR="2D1ED6D2" w:rsidRPr="6952A7C3">
              <w:rPr>
                <w:rFonts w:ascii="Segoe UI" w:eastAsia="Times New Roman" w:hAnsi="Segoe UI" w:cs="Segoe UI"/>
                <w:sz w:val="20"/>
                <w:szCs w:val="20"/>
              </w:rPr>
              <w:t>(.50 point for any growth in grade 4</w:t>
            </w:r>
            <w:r w:rsidR="2D1ED6D2" w:rsidRPr="6952A7C3">
              <w:rPr>
                <w:rFonts w:ascii="Segoe UI" w:eastAsia="Times New Roman" w:hAnsi="Segoe UI" w:cs="Segoe UI"/>
                <w:sz w:val="20"/>
                <w:szCs w:val="20"/>
                <w:vertAlign w:val="superscript"/>
              </w:rPr>
              <w:t>th</w:t>
            </w:r>
            <w:r w:rsidR="2D1ED6D2" w:rsidRPr="6952A7C3">
              <w:rPr>
                <w:rFonts w:ascii="Segoe UI" w:eastAsia="Times New Roman" w:hAnsi="Segoe UI" w:cs="Segoe UI"/>
                <w:sz w:val="20"/>
                <w:szCs w:val="20"/>
              </w:rPr>
              <w:t>, .50 point for any growth in grade 8</w:t>
            </w:r>
            <w:r w:rsidR="2D1ED6D2" w:rsidRPr="6952A7C3">
              <w:rPr>
                <w:rFonts w:ascii="Segoe UI" w:eastAsia="Times New Roman" w:hAnsi="Segoe UI" w:cs="Segoe UI"/>
                <w:sz w:val="20"/>
                <w:szCs w:val="20"/>
                <w:vertAlign w:val="superscript"/>
              </w:rPr>
              <w:t>th</w:t>
            </w:r>
            <w:r w:rsidR="2D1ED6D2" w:rsidRPr="6952A7C3">
              <w:rPr>
                <w:rFonts w:ascii="Segoe UI" w:eastAsia="Times New Roman" w:hAnsi="Segoe UI" w:cs="Segoe UI"/>
                <w:sz w:val="20"/>
                <w:szCs w:val="20"/>
              </w:rPr>
              <w:t>, and .50 point for any growth in grade 11</w:t>
            </w:r>
            <w:r w:rsidR="2D1ED6D2" w:rsidRPr="6952A7C3">
              <w:rPr>
                <w:rFonts w:ascii="Segoe UI" w:eastAsia="Times New Roman" w:hAnsi="Segoe UI" w:cs="Segoe UI"/>
                <w:sz w:val="20"/>
                <w:szCs w:val="20"/>
                <w:vertAlign w:val="superscript"/>
              </w:rPr>
              <w:t>th</w:t>
            </w:r>
            <w:r w:rsidR="2D1ED6D2" w:rsidRPr="6952A7C3">
              <w:rPr>
                <w:rFonts w:ascii="Segoe UI" w:eastAsia="Times New Roman" w:hAnsi="Segoe UI" w:cs="Segoe UI"/>
                <w:sz w:val="20"/>
                <w:szCs w:val="20"/>
              </w:rPr>
              <w:t>)</w:t>
            </w:r>
          </w:p>
        </w:tc>
        <w:tc>
          <w:tcPr>
            <w:tcW w:w="915" w:type="dxa"/>
            <w:gridSpan w:val="2"/>
            <w:tcBorders>
              <w:top w:val="single" w:sz="12" w:space="0" w:color="auto"/>
              <w:left w:val="single" w:sz="12" w:space="0" w:color="auto"/>
              <w:bottom w:val="single" w:sz="12" w:space="0" w:color="auto"/>
            </w:tcBorders>
            <w:shd w:val="clear" w:color="auto" w:fill="FFFFFF" w:themeFill="background1"/>
            <w:vAlign w:val="center"/>
          </w:tcPr>
          <w:p w14:paraId="2AC995B4" w14:textId="25DE02FE" w:rsidR="004236F3" w:rsidRPr="00CE2C48" w:rsidRDefault="006330C1" w:rsidP="00B215C3">
            <w:pPr>
              <w:jc w:val="center"/>
              <w:rPr>
                <w:rFonts w:ascii="Segoe UI" w:eastAsia="Times New Roman" w:hAnsi="Segoe UI" w:cs="Segoe UI"/>
                <w:b/>
                <w:bCs/>
                <w:noProof/>
              </w:rPr>
            </w:pPr>
            <w:r>
              <w:rPr>
                <w:rFonts w:ascii="Segoe UI" w:eastAsia="Times New Roman" w:hAnsi="Segoe UI" w:cs="Segoe UI"/>
                <w:b/>
                <w:bCs/>
              </w:rPr>
              <w:t>.50</w:t>
            </w:r>
          </w:p>
        </w:tc>
      </w:tr>
      <w:tr w:rsidR="004236F3" w:rsidRPr="00CE2C48" w14:paraId="6356DBF7" w14:textId="77777777" w:rsidTr="6952A7C3">
        <w:trPr>
          <w:gridBefore w:val="1"/>
          <w:wBefore w:w="15" w:type="dxa"/>
          <w:trHeight w:val="449"/>
        </w:trPr>
        <w:tc>
          <w:tcPr>
            <w:tcW w:w="10980" w:type="dxa"/>
            <w:gridSpan w:val="6"/>
            <w:tcBorders>
              <w:top w:val="single" w:sz="12" w:space="0" w:color="auto"/>
              <w:bottom w:val="single" w:sz="12" w:space="0" w:color="auto"/>
            </w:tcBorders>
            <w:shd w:val="clear" w:color="auto" w:fill="FFFFFF" w:themeFill="background1"/>
            <w:tcMar>
              <w:top w:w="43" w:type="dxa"/>
              <w:left w:w="86" w:type="dxa"/>
              <w:bottom w:w="43" w:type="dxa"/>
              <w:right w:w="86" w:type="dxa"/>
            </w:tcMar>
            <w:vAlign w:val="center"/>
          </w:tcPr>
          <w:p w14:paraId="73DC3E81" w14:textId="77777777" w:rsidR="004236F3" w:rsidRPr="00CE2C48" w:rsidRDefault="004236F3" w:rsidP="00B215C3">
            <w:pPr>
              <w:rPr>
                <w:rFonts w:ascii="Segoe UI" w:eastAsia="Times New Roman" w:hAnsi="Segoe UI" w:cs="Segoe UI"/>
                <w:b/>
                <w:bCs/>
                <w:sz w:val="20"/>
                <w:szCs w:val="20"/>
              </w:rPr>
            </w:pPr>
            <w:r w:rsidRPr="5EF294CC">
              <w:rPr>
                <w:rFonts w:ascii="Segoe UI" w:eastAsia="Times New Roman" w:hAnsi="Segoe UI" w:cs="Segoe UI"/>
                <w:b/>
                <w:bCs/>
                <w:sz w:val="20"/>
                <w:szCs w:val="20"/>
              </w:rPr>
              <w:t xml:space="preserve">Indicator 7: </w:t>
            </w:r>
            <w:r w:rsidRPr="5EF294CC">
              <w:rPr>
                <w:rFonts w:ascii="Segoe UI" w:eastAsia="Times New Roman" w:hAnsi="Segoe UI" w:cs="Segoe UI"/>
                <w:sz w:val="18"/>
                <w:szCs w:val="18"/>
              </w:rPr>
              <w:t>For each Outcome, the percentage of children who improved functioning to a level nearer to or comparable to same-aged peers when exiting the preschool special education program.</w:t>
            </w:r>
            <w:r w:rsidRPr="5EF294CC">
              <w:rPr>
                <w:rFonts w:ascii="Segoe UI" w:eastAsia="Times New Roman" w:hAnsi="Segoe UI" w:cs="Segoe UI"/>
                <w:sz w:val="20"/>
                <w:szCs w:val="20"/>
              </w:rPr>
              <w:t xml:space="preserve"> </w:t>
            </w:r>
          </w:p>
        </w:tc>
      </w:tr>
      <w:tr w:rsidR="004236F3" w:rsidRPr="00CE2C48" w14:paraId="3F9F39FD" w14:textId="77777777" w:rsidTr="6952A7C3">
        <w:trPr>
          <w:gridBefore w:val="1"/>
          <w:wBefore w:w="15" w:type="dxa"/>
          <w:trHeight w:val="359"/>
        </w:trPr>
        <w:tc>
          <w:tcPr>
            <w:tcW w:w="7185" w:type="dxa"/>
            <w:gridSpan w:val="2"/>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16416B60" w14:textId="77777777" w:rsidR="004236F3" w:rsidRPr="00CE2C48" w:rsidRDefault="004236F3" w:rsidP="00B215C3">
            <w:pPr>
              <w:jc w:val="right"/>
              <w:rPr>
                <w:rFonts w:ascii="Segoe UI" w:eastAsia="Times New Roman" w:hAnsi="Segoe UI" w:cs="Segoe UI"/>
                <w:sz w:val="20"/>
                <w:szCs w:val="20"/>
              </w:rPr>
            </w:pPr>
            <w:r w:rsidRPr="5EF294CC">
              <w:rPr>
                <w:rFonts w:ascii="Segoe UI" w:eastAsia="Times New Roman" w:hAnsi="Segoe UI" w:cs="Segoe UI"/>
                <w:b/>
                <w:bCs/>
                <w:sz w:val="20"/>
                <w:szCs w:val="20"/>
              </w:rPr>
              <w:t xml:space="preserve">Outcome A1: </w:t>
            </w:r>
            <w:r w:rsidRPr="5EF294CC">
              <w:rPr>
                <w:rFonts w:ascii="Segoe UI" w:eastAsia="Times New Roman" w:hAnsi="Segoe UI" w:cs="Segoe UI"/>
                <w:sz w:val="20"/>
                <w:szCs w:val="20"/>
              </w:rPr>
              <w:t>Positive social-emotional skills</w:t>
            </w:r>
          </w:p>
        </w:tc>
        <w:tc>
          <w:tcPr>
            <w:tcW w:w="135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6C0F0C7" w14:textId="77777777"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100.00%</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12E1F742" w14:textId="77777777"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Yes</w:t>
            </w:r>
          </w:p>
        </w:tc>
        <w:tc>
          <w:tcPr>
            <w:tcW w:w="915" w:type="dxa"/>
            <w:gridSpan w:val="2"/>
            <w:tcBorders>
              <w:top w:val="single" w:sz="12" w:space="0" w:color="auto"/>
              <w:left w:val="single" w:sz="12" w:space="0" w:color="auto"/>
              <w:bottom w:val="single" w:sz="12" w:space="0" w:color="auto"/>
            </w:tcBorders>
            <w:shd w:val="clear" w:color="auto" w:fill="FFFFFF" w:themeFill="background1"/>
            <w:vAlign w:val="center"/>
          </w:tcPr>
          <w:p w14:paraId="01D76736" w14:textId="77777777"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1</w:t>
            </w:r>
          </w:p>
        </w:tc>
      </w:tr>
      <w:tr w:rsidR="004236F3" w:rsidRPr="00CE2C48" w14:paraId="35146E9C" w14:textId="77777777" w:rsidTr="6952A7C3">
        <w:trPr>
          <w:gridBefore w:val="1"/>
          <w:wBefore w:w="15" w:type="dxa"/>
          <w:trHeight w:val="260"/>
        </w:trPr>
        <w:tc>
          <w:tcPr>
            <w:tcW w:w="7185" w:type="dxa"/>
            <w:gridSpan w:val="2"/>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5A8081AB" w14:textId="77777777" w:rsidR="004236F3" w:rsidRPr="00CE2C48" w:rsidRDefault="004236F3" w:rsidP="00B215C3">
            <w:pPr>
              <w:jc w:val="right"/>
              <w:rPr>
                <w:rFonts w:ascii="Segoe UI" w:eastAsia="Times New Roman" w:hAnsi="Segoe UI" w:cs="Segoe UI"/>
                <w:sz w:val="20"/>
                <w:szCs w:val="20"/>
              </w:rPr>
            </w:pPr>
            <w:r w:rsidRPr="5EF294CC">
              <w:rPr>
                <w:rFonts w:ascii="Segoe UI" w:eastAsia="Times New Roman" w:hAnsi="Segoe UI" w:cs="Segoe UI"/>
                <w:b/>
                <w:bCs/>
                <w:sz w:val="20"/>
                <w:szCs w:val="20"/>
              </w:rPr>
              <w:t xml:space="preserve">Outcome B1: </w:t>
            </w:r>
            <w:r w:rsidRPr="5EF294CC">
              <w:rPr>
                <w:rFonts w:ascii="Segoe UI" w:eastAsia="Times New Roman" w:hAnsi="Segoe UI" w:cs="Segoe UI"/>
                <w:sz w:val="20"/>
                <w:szCs w:val="20"/>
              </w:rPr>
              <w:t>Acquisition and use of knowledge and skills</w:t>
            </w:r>
          </w:p>
        </w:tc>
        <w:tc>
          <w:tcPr>
            <w:tcW w:w="135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0EFB570A" w14:textId="77777777"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100.00%</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B46CCE9" w14:textId="77777777"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Yes</w:t>
            </w:r>
          </w:p>
        </w:tc>
        <w:tc>
          <w:tcPr>
            <w:tcW w:w="915" w:type="dxa"/>
            <w:gridSpan w:val="2"/>
            <w:tcBorders>
              <w:top w:val="single" w:sz="12" w:space="0" w:color="auto"/>
              <w:left w:val="single" w:sz="12" w:space="0" w:color="auto"/>
              <w:bottom w:val="single" w:sz="12" w:space="0" w:color="auto"/>
            </w:tcBorders>
            <w:shd w:val="clear" w:color="auto" w:fill="FFFFFF" w:themeFill="background1"/>
            <w:vAlign w:val="center"/>
          </w:tcPr>
          <w:p w14:paraId="462FDBEA" w14:textId="77777777"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1</w:t>
            </w:r>
          </w:p>
        </w:tc>
      </w:tr>
      <w:tr w:rsidR="004236F3" w:rsidRPr="00CE2C48" w14:paraId="77A554D2" w14:textId="77777777" w:rsidTr="6952A7C3">
        <w:trPr>
          <w:gridBefore w:val="1"/>
          <w:wBefore w:w="15" w:type="dxa"/>
          <w:trHeight w:val="287"/>
        </w:trPr>
        <w:tc>
          <w:tcPr>
            <w:tcW w:w="7185" w:type="dxa"/>
            <w:gridSpan w:val="2"/>
            <w:tcBorders>
              <w:top w:val="single" w:sz="12" w:space="0" w:color="auto"/>
              <w:bottom w:val="single" w:sz="12" w:space="0" w:color="auto"/>
              <w:right w:val="single" w:sz="12" w:space="0" w:color="auto"/>
            </w:tcBorders>
            <w:shd w:val="clear" w:color="auto" w:fill="FFFFFF" w:themeFill="background1"/>
            <w:tcMar>
              <w:top w:w="43" w:type="dxa"/>
              <w:left w:w="86" w:type="dxa"/>
              <w:bottom w:w="43" w:type="dxa"/>
              <w:right w:w="86" w:type="dxa"/>
            </w:tcMar>
            <w:vAlign w:val="center"/>
          </w:tcPr>
          <w:p w14:paraId="6BE41EE7" w14:textId="77777777" w:rsidR="004236F3" w:rsidRPr="00CE2C48" w:rsidRDefault="004236F3" w:rsidP="00B215C3">
            <w:pPr>
              <w:jc w:val="right"/>
              <w:rPr>
                <w:rFonts w:ascii="Segoe UI" w:eastAsia="Times New Roman" w:hAnsi="Segoe UI" w:cs="Segoe UI"/>
                <w:sz w:val="20"/>
                <w:szCs w:val="20"/>
              </w:rPr>
            </w:pPr>
            <w:r w:rsidRPr="5EF294CC">
              <w:rPr>
                <w:rFonts w:ascii="Segoe UI" w:eastAsia="Times New Roman" w:hAnsi="Segoe UI" w:cs="Segoe UI"/>
                <w:b/>
                <w:bCs/>
                <w:sz w:val="20"/>
                <w:szCs w:val="20"/>
              </w:rPr>
              <w:t xml:space="preserve">Outcome C1: </w:t>
            </w:r>
            <w:r w:rsidRPr="5EF294CC">
              <w:rPr>
                <w:rFonts w:ascii="Segoe UI" w:eastAsia="Times New Roman" w:hAnsi="Segoe UI" w:cs="Segoe UI"/>
                <w:sz w:val="20"/>
                <w:szCs w:val="20"/>
              </w:rPr>
              <w:t>Use of appropriate behaviors to meet their needs</w:t>
            </w:r>
          </w:p>
        </w:tc>
        <w:tc>
          <w:tcPr>
            <w:tcW w:w="135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98261A8" w14:textId="77777777"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100.00%</w:t>
            </w:r>
          </w:p>
        </w:tc>
        <w:tc>
          <w:tcPr>
            <w:tcW w:w="153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09E92681" w14:textId="77777777" w:rsidR="004236F3" w:rsidRPr="00CE2C48" w:rsidRDefault="004236F3" w:rsidP="00B215C3">
            <w:pPr>
              <w:jc w:val="center"/>
              <w:rPr>
                <w:rFonts w:ascii="Segoe UI" w:eastAsia="Times New Roman" w:hAnsi="Segoe UI" w:cs="Segoe UI"/>
                <w:b/>
                <w:bCs/>
              </w:rPr>
            </w:pPr>
            <w:r w:rsidRPr="5EF294CC">
              <w:rPr>
                <w:rFonts w:ascii="Segoe UI" w:eastAsia="Times New Roman" w:hAnsi="Segoe UI" w:cs="Segoe UI"/>
                <w:b/>
                <w:bCs/>
              </w:rPr>
              <w:t>Yes</w:t>
            </w:r>
          </w:p>
        </w:tc>
        <w:tc>
          <w:tcPr>
            <w:tcW w:w="915" w:type="dxa"/>
            <w:gridSpan w:val="2"/>
            <w:tcBorders>
              <w:top w:val="single" w:sz="12" w:space="0" w:color="auto"/>
              <w:left w:val="single" w:sz="12" w:space="0" w:color="auto"/>
              <w:bottom w:val="single" w:sz="12" w:space="0" w:color="auto"/>
            </w:tcBorders>
            <w:shd w:val="clear" w:color="auto" w:fill="FFFFFF" w:themeFill="background1"/>
            <w:vAlign w:val="center"/>
          </w:tcPr>
          <w:p w14:paraId="5076C661" w14:textId="77777777" w:rsidR="004236F3" w:rsidRPr="00A20C3F" w:rsidRDefault="004236F3" w:rsidP="00B215C3">
            <w:pPr>
              <w:jc w:val="center"/>
              <w:rPr>
                <w:rFonts w:ascii="Segoe UI" w:eastAsia="Times New Roman" w:hAnsi="Segoe UI" w:cs="Segoe UI"/>
                <w:b/>
                <w:bCs/>
              </w:rPr>
            </w:pPr>
            <w:r w:rsidRPr="5EF294CC">
              <w:rPr>
                <w:rFonts w:ascii="Segoe UI" w:eastAsia="Times New Roman" w:hAnsi="Segoe UI" w:cs="Segoe UI"/>
                <w:b/>
                <w:bCs/>
              </w:rPr>
              <w:t>1</w:t>
            </w:r>
          </w:p>
        </w:tc>
      </w:tr>
      <w:tr w:rsidR="004236F3" w:rsidRPr="00CE2C48" w14:paraId="29D49C7A" w14:textId="77777777" w:rsidTr="6952A7C3">
        <w:trPr>
          <w:gridBefore w:val="1"/>
          <w:wBefore w:w="15" w:type="dxa"/>
          <w:trHeight w:val="485"/>
        </w:trPr>
        <w:tc>
          <w:tcPr>
            <w:tcW w:w="3765" w:type="dxa"/>
            <w:tcBorders>
              <w:top w:val="single" w:sz="12" w:space="0" w:color="auto"/>
              <w:bottom w:val="single" w:sz="12" w:space="0" w:color="auto"/>
              <w:right w:val="single" w:sz="12" w:space="0" w:color="auto"/>
            </w:tcBorders>
            <w:shd w:val="clear" w:color="auto" w:fill="418AB3" w:themeFill="accent1"/>
            <w:tcMar>
              <w:top w:w="43" w:type="dxa"/>
              <w:left w:w="86" w:type="dxa"/>
              <w:bottom w:w="43" w:type="dxa"/>
              <w:right w:w="86" w:type="dxa"/>
            </w:tcMar>
            <w:vAlign w:val="center"/>
          </w:tcPr>
          <w:p w14:paraId="1CB3F779" w14:textId="77777777" w:rsidR="004236F3" w:rsidRPr="0033131A" w:rsidRDefault="004236F3" w:rsidP="00B215C3">
            <w:pPr>
              <w:jc w:val="center"/>
              <w:rPr>
                <w:rFonts w:ascii="Segoe UI" w:eastAsia="Times New Roman" w:hAnsi="Segoe UI" w:cs="Segoe UI"/>
                <w:b/>
                <w:bCs/>
              </w:rPr>
            </w:pPr>
            <w:r w:rsidRPr="0033131A">
              <w:rPr>
                <w:rFonts w:ascii="Segoe UI" w:eastAsia="Times New Roman" w:hAnsi="Segoe UI" w:cs="Segoe UI"/>
                <w:b/>
                <w:bCs/>
              </w:rPr>
              <w:t>Results Points Earned</w:t>
            </w:r>
          </w:p>
        </w:tc>
        <w:tc>
          <w:tcPr>
            <w:tcW w:w="3420" w:type="dxa"/>
            <w:tcBorders>
              <w:top w:val="single" w:sz="12" w:space="0" w:color="auto"/>
              <w:bottom w:val="single" w:sz="12" w:space="0" w:color="auto"/>
              <w:right w:val="single" w:sz="12" w:space="0" w:color="auto"/>
            </w:tcBorders>
            <w:shd w:val="clear" w:color="auto" w:fill="418AB3" w:themeFill="accent1"/>
            <w:vAlign w:val="center"/>
          </w:tcPr>
          <w:p w14:paraId="3F29A81C" w14:textId="77777777" w:rsidR="004236F3" w:rsidRDefault="004236F3" w:rsidP="00B215C3">
            <w:pPr>
              <w:jc w:val="center"/>
              <w:rPr>
                <w:rFonts w:ascii="Segoe UI" w:eastAsia="Times New Roman" w:hAnsi="Segoe UI" w:cs="Segoe UI"/>
                <w:b/>
                <w:bCs/>
              </w:rPr>
            </w:pPr>
            <w:r w:rsidRPr="5EF294CC">
              <w:rPr>
                <w:rFonts w:ascii="Segoe UI" w:eastAsia="Times New Roman" w:hAnsi="Segoe UI" w:cs="Segoe UI"/>
                <w:b/>
                <w:bCs/>
              </w:rPr>
              <w:t>Total Points Possible</w:t>
            </w:r>
          </w:p>
        </w:tc>
        <w:tc>
          <w:tcPr>
            <w:tcW w:w="3795" w:type="dxa"/>
            <w:gridSpan w:val="4"/>
            <w:tcBorders>
              <w:top w:val="single" w:sz="12" w:space="0" w:color="auto"/>
              <w:left w:val="single" w:sz="12" w:space="0" w:color="auto"/>
              <w:bottom w:val="single" w:sz="12" w:space="0" w:color="auto"/>
              <w:right w:val="single" w:sz="12" w:space="0" w:color="auto"/>
            </w:tcBorders>
            <w:shd w:val="clear" w:color="auto" w:fill="418AB3" w:themeFill="accent1"/>
            <w:vAlign w:val="center"/>
          </w:tcPr>
          <w:p w14:paraId="3C231B21" w14:textId="77777777" w:rsidR="004236F3" w:rsidRDefault="004236F3" w:rsidP="00B215C3">
            <w:pPr>
              <w:jc w:val="center"/>
              <w:rPr>
                <w:rFonts w:ascii="Segoe UI" w:eastAsia="Times New Roman" w:hAnsi="Segoe UI" w:cs="Segoe UI"/>
                <w:b/>
                <w:bCs/>
              </w:rPr>
            </w:pPr>
            <w:r w:rsidRPr="5EF294CC">
              <w:rPr>
                <w:rFonts w:ascii="Segoe UI" w:eastAsia="Times New Roman" w:hAnsi="Segoe UI" w:cs="Segoe UI"/>
                <w:b/>
                <w:bCs/>
              </w:rPr>
              <w:t>Rating</w:t>
            </w:r>
          </w:p>
        </w:tc>
      </w:tr>
      <w:tr w:rsidR="004236F3" w:rsidRPr="00CE2C48" w14:paraId="078483E6" w14:textId="77777777" w:rsidTr="6952A7C3">
        <w:trPr>
          <w:gridBefore w:val="1"/>
          <w:wBefore w:w="15" w:type="dxa"/>
          <w:trHeight w:hRule="exact" w:val="432"/>
        </w:trPr>
        <w:tc>
          <w:tcPr>
            <w:tcW w:w="3765" w:type="dxa"/>
            <w:tcBorders>
              <w:top w:val="single" w:sz="12" w:space="0" w:color="auto"/>
              <w:bottom w:val="single" w:sz="12" w:space="0" w:color="auto"/>
              <w:right w:val="single" w:sz="12" w:space="0" w:color="auto"/>
            </w:tcBorders>
            <w:tcMar>
              <w:top w:w="43" w:type="dxa"/>
              <w:left w:w="86" w:type="dxa"/>
              <w:bottom w:w="43" w:type="dxa"/>
              <w:right w:w="86" w:type="dxa"/>
            </w:tcMar>
            <w:vAlign w:val="center"/>
          </w:tcPr>
          <w:p w14:paraId="5C83C5D7" w14:textId="2AB27D0D" w:rsidR="004236F3" w:rsidRDefault="006330C1" w:rsidP="00B215C3">
            <w:pPr>
              <w:jc w:val="center"/>
              <w:rPr>
                <w:rFonts w:ascii="Segoe UI" w:eastAsia="Times New Roman" w:hAnsi="Segoe UI" w:cs="Segoe UI"/>
                <w:b/>
                <w:bCs/>
                <w:sz w:val="20"/>
                <w:szCs w:val="20"/>
              </w:rPr>
            </w:pPr>
            <w:r w:rsidRPr="00C50097">
              <w:rPr>
                <w:rFonts w:ascii="Segoe UI" w:eastAsia="Times New Roman" w:hAnsi="Segoe UI" w:cs="Segoe UI"/>
                <w:b/>
                <w:bCs/>
              </w:rPr>
              <w:t>12</w:t>
            </w:r>
          </w:p>
        </w:tc>
        <w:tc>
          <w:tcPr>
            <w:tcW w:w="3420" w:type="dxa"/>
            <w:tcBorders>
              <w:top w:val="single" w:sz="12" w:space="0" w:color="auto"/>
              <w:bottom w:val="single" w:sz="12" w:space="0" w:color="auto"/>
              <w:right w:val="single" w:sz="12" w:space="0" w:color="auto"/>
            </w:tcBorders>
            <w:vAlign w:val="center"/>
          </w:tcPr>
          <w:p w14:paraId="4649BAEC" w14:textId="77777777" w:rsidR="004236F3" w:rsidRDefault="004236F3" w:rsidP="00B215C3">
            <w:pPr>
              <w:jc w:val="center"/>
              <w:rPr>
                <w:rFonts w:ascii="Segoe UI" w:eastAsia="Times New Roman" w:hAnsi="Segoe UI" w:cs="Segoe UI"/>
                <w:b/>
                <w:bCs/>
              </w:rPr>
            </w:pPr>
            <w:r w:rsidRPr="5EF294CC">
              <w:rPr>
                <w:rFonts w:ascii="Segoe UI" w:eastAsia="Times New Roman" w:hAnsi="Segoe UI" w:cs="Segoe UI"/>
                <w:b/>
                <w:bCs/>
              </w:rPr>
              <w:t>16</w:t>
            </w:r>
          </w:p>
        </w:tc>
        <w:tc>
          <w:tcPr>
            <w:tcW w:w="3795" w:type="dxa"/>
            <w:gridSpan w:val="4"/>
            <w:tcBorders>
              <w:top w:val="single" w:sz="12" w:space="0" w:color="auto"/>
              <w:left w:val="single" w:sz="12" w:space="0" w:color="auto"/>
              <w:bottom w:val="single" w:sz="12" w:space="0" w:color="auto"/>
              <w:right w:val="single" w:sz="12" w:space="0" w:color="auto"/>
            </w:tcBorders>
            <w:vAlign w:val="center"/>
          </w:tcPr>
          <w:p w14:paraId="1594C634" w14:textId="07727405" w:rsidR="004236F3" w:rsidRDefault="00F077A7" w:rsidP="00B215C3">
            <w:pPr>
              <w:jc w:val="center"/>
              <w:rPr>
                <w:rFonts w:ascii="Segoe UI" w:eastAsia="Times New Roman" w:hAnsi="Segoe UI" w:cs="Segoe UI"/>
                <w:b/>
                <w:bCs/>
              </w:rPr>
            </w:pPr>
            <w:r>
              <w:rPr>
                <w:rFonts w:ascii="Segoe UI" w:eastAsia="Times New Roman" w:hAnsi="Segoe UI" w:cs="Segoe UI"/>
                <w:b/>
                <w:bCs/>
              </w:rPr>
              <w:t>75%</w:t>
            </w:r>
          </w:p>
        </w:tc>
      </w:tr>
    </w:tbl>
    <w:p w14:paraId="159042DA" w14:textId="4F1C2EB7" w:rsidR="006138C4" w:rsidRDefault="006138C4" w:rsidP="6952A7C3">
      <w:pPr>
        <w:autoSpaceDE w:val="0"/>
        <w:autoSpaceDN w:val="0"/>
        <w:adjustRightInd w:val="0"/>
        <w:spacing w:line="254" w:lineRule="auto"/>
        <w:ind w:left="180" w:right="180"/>
        <w:jc w:val="center"/>
        <w:rPr>
          <w:rFonts w:ascii="Tw Cen MT" w:eastAsia="Times New Roman" w:hAnsi="Tw Cen MT" w:cs="Segoe UI"/>
          <w:b/>
          <w:bCs/>
          <w:i/>
          <w:iCs/>
        </w:rPr>
      </w:pPr>
    </w:p>
    <w:p w14:paraId="6080D5A5" w14:textId="2FC3983B" w:rsidR="006138C4" w:rsidRDefault="006138C4" w:rsidP="6952A7C3">
      <w:pPr>
        <w:autoSpaceDE w:val="0"/>
        <w:autoSpaceDN w:val="0"/>
        <w:adjustRightInd w:val="0"/>
        <w:spacing w:line="254" w:lineRule="auto"/>
        <w:ind w:left="180" w:right="180"/>
        <w:jc w:val="center"/>
        <w:rPr>
          <w:rFonts w:ascii="Tw Cen MT" w:eastAsia="Times New Roman" w:hAnsi="Tw Cen MT" w:cs="Segoe UI"/>
          <w:sz w:val="8"/>
          <w:szCs w:val="8"/>
        </w:rPr>
      </w:pPr>
      <w:r w:rsidRPr="6952A7C3">
        <w:rPr>
          <w:rFonts w:ascii="Tw Cen MT" w:eastAsia="Times New Roman" w:hAnsi="Tw Cen MT" w:cs="Segoe UI"/>
          <w:b/>
          <w:bCs/>
          <w:i/>
          <w:iCs/>
        </w:rPr>
        <w:t>Note:</w:t>
      </w:r>
      <w:r w:rsidRPr="6952A7C3">
        <w:rPr>
          <w:rFonts w:ascii="Tw Cen MT" w:eastAsia="Times New Roman" w:hAnsi="Tw Cen MT" w:cs="Segoe UI"/>
        </w:rPr>
        <w:t xml:space="preserve"> Total points possible for Compliance and Results vary by district depending on whether an indicator is relevant to a district. A district will not be judged on indicators that do not apply to it (such as grade 11 assessment results to a dependent district). “NA” in the Score column indicates it does not apply.</w:t>
      </w:r>
    </w:p>
    <w:tbl>
      <w:tblPr>
        <w:tblW w:w="10155" w:type="dxa"/>
        <w:jc w:val="center"/>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ayout w:type="fixed"/>
        <w:tblCellMar>
          <w:left w:w="0" w:type="dxa"/>
          <w:right w:w="0" w:type="dxa"/>
        </w:tblCellMar>
        <w:tblLook w:val="04A0" w:firstRow="1" w:lastRow="0" w:firstColumn="1" w:lastColumn="0" w:noHBand="0" w:noVBand="1"/>
      </w:tblPr>
      <w:tblGrid>
        <w:gridCol w:w="3495"/>
        <w:gridCol w:w="3150"/>
        <w:gridCol w:w="3510"/>
      </w:tblGrid>
      <w:tr w:rsidR="006138C4" w:rsidRPr="008E5466" w14:paraId="5E3E5273" w14:textId="77777777" w:rsidTr="59056DEA">
        <w:trPr>
          <w:trHeight w:val="432"/>
          <w:jc w:val="center"/>
        </w:trPr>
        <w:tc>
          <w:tcPr>
            <w:tcW w:w="10155" w:type="dxa"/>
            <w:gridSpan w:val="3"/>
            <w:tcBorders>
              <w:bottom w:val="single" w:sz="12" w:space="0" w:color="auto"/>
            </w:tcBorders>
            <w:shd w:val="clear" w:color="auto" w:fill="BFBFBF" w:themeFill="background1" w:themeFillShade="BF"/>
            <w:tcMar>
              <w:top w:w="43" w:type="dxa"/>
              <w:left w:w="216" w:type="dxa"/>
              <w:bottom w:w="43" w:type="dxa"/>
              <w:right w:w="216" w:type="dxa"/>
            </w:tcMar>
            <w:vAlign w:val="center"/>
          </w:tcPr>
          <w:p w14:paraId="49911779" w14:textId="77777777" w:rsidR="006138C4" w:rsidRPr="008E5466" w:rsidRDefault="006138C4" w:rsidP="006F0F1B">
            <w:pPr>
              <w:jc w:val="center"/>
              <w:rPr>
                <w:rFonts w:ascii="Segoe UI" w:eastAsia="Times New Roman" w:hAnsi="Segoe UI" w:cs="Segoe UI"/>
                <w:b/>
                <w:bCs/>
                <w:sz w:val="26"/>
                <w:szCs w:val="26"/>
              </w:rPr>
            </w:pPr>
            <w:r w:rsidRPr="5EF294CC">
              <w:rPr>
                <w:rFonts w:ascii="Segoe UI" w:eastAsia="Times New Roman" w:hAnsi="Segoe UI" w:cs="Segoe UI"/>
                <w:b/>
                <w:bCs/>
                <w:sz w:val="26"/>
                <w:szCs w:val="26"/>
              </w:rPr>
              <w:t>DETERMINATION SUMMARY for Example District</w:t>
            </w:r>
          </w:p>
        </w:tc>
      </w:tr>
      <w:tr w:rsidR="006138C4" w:rsidRPr="0093351C" w14:paraId="053473D9" w14:textId="77777777" w:rsidTr="59056DEA">
        <w:trPr>
          <w:trHeight w:val="432"/>
          <w:jc w:val="center"/>
        </w:trPr>
        <w:tc>
          <w:tcPr>
            <w:tcW w:w="3495" w:type="dxa"/>
            <w:tcBorders>
              <w:right w:val="single" w:sz="12" w:space="0" w:color="auto"/>
            </w:tcBorders>
            <w:shd w:val="clear" w:color="auto" w:fill="BFBFBF" w:themeFill="background1" w:themeFillShade="BF"/>
            <w:tcMar>
              <w:top w:w="43" w:type="dxa"/>
              <w:left w:w="216" w:type="dxa"/>
              <w:bottom w:w="43" w:type="dxa"/>
              <w:right w:w="216" w:type="dxa"/>
            </w:tcMar>
            <w:vAlign w:val="center"/>
          </w:tcPr>
          <w:p w14:paraId="17EDE949" w14:textId="62AB58D8" w:rsidR="006138C4" w:rsidRPr="00524BF2" w:rsidRDefault="006138C4" w:rsidP="5EF294CC">
            <w:pPr>
              <w:jc w:val="center"/>
              <w:rPr>
                <w:rFonts w:ascii="Segoe UI" w:eastAsia="Times New Roman" w:hAnsi="Segoe UI" w:cs="Segoe UI"/>
              </w:rPr>
            </w:pPr>
            <w:r w:rsidRPr="59056DEA">
              <w:rPr>
                <w:rFonts w:ascii="Segoe UI" w:eastAsia="Times New Roman" w:hAnsi="Segoe UI" w:cs="Segoe UI"/>
              </w:rPr>
              <w:t xml:space="preserve">Compliance Points </w:t>
            </w:r>
            <w:r w:rsidR="0074527D">
              <w:rPr>
                <w:rFonts w:ascii="Segoe UI" w:eastAsia="Times New Roman" w:hAnsi="Segoe UI" w:cs="Segoe UI"/>
              </w:rPr>
              <w:t>Earned</w:t>
            </w:r>
          </w:p>
        </w:tc>
        <w:tc>
          <w:tcPr>
            <w:tcW w:w="3150" w:type="dxa"/>
            <w:tcBorders>
              <w:left w:val="single" w:sz="12" w:space="0" w:color="auto"/>
              <w:right w:val="single" w:sz="12" w:space="0" w:color="auto"/>
            </w:tcBorders>
            <w:shd w:val="clear" w:color="auto" w:fill="BFBFBF" w:themeFill="background1" w:themeFillShade="BF"/>
            <w:vAlign w:val="center"/>
          </w:tcPr>
          <w:p w14:paraId="1D1B5164" w14:textId="32993CF8" w:rsidR="006138C4" w:rsidRPr="00524BF2" w:rsidRDefault="006138C4" w:rsidP="5EF294CC">
            <w:pPr>
              <w:jc w:val="center"/>
              <w:rPr>
                <w:rFonts w:ascii="Segoe UI" w:eastAsia="Times New Roman" w:hAnsi="Segoe UI" w:cs="Segoe UI"/>
              </w:rPr>
            </w:pPr>
            <w:r w:rsidRPr="59056DEA">
              <w:rPr>
                <w:rFonts w:ascii="Segoe UI" w:eastAsia="Times New Roman" w:hAnsi="Segoe UI" w:cs="Segoe UI"/>
              </w:rPr>
              <w:t xml:space="preserve">Compliance Points </w:t>
            </w:r>
            <w:r w:rsidR="0074527D" w:rsidRPr="59056DEA">
              <w:rPr>
                <w:rFonts w:ascii="Segoe UI" w:eastAsia="Times New Roman" w:hAnsi="Segoe UI" w:cs="Segoe UI"/>
              </w:rPr>
              <w:t>Available</w:t>
            </w:r>
          </w:p>
        </w:tc>
        <w:tc>
          <w:tcPr>
            <w:tcW w:w="3510" w:type="dxa"/>
            <w:tcBorders>
              <w:left w:val="single" w:sz="12" w:space="0" w:color="auto"/>
            </w:tcBorders>
            <w:shd w:val="clear" w:color="auto" w:fill="BFBFBF" w:themeFill="background1" w:themeFillShade="BF"/>
            <w:vAlign w:val="center"/>
          </w:tcPr>
          <w:p w14:paraId="3C0E21D3" w14:textId="77777777" w:rsidR="006138C4" w:rsidRPr="00524BF2" w:rsidRDefault="006138C4" w:rsidP="5EF294CC">
            <w:pPr>
              <w:jc w:val="center"/>
              <w:rPr>
                <w:rFonts w:ascii="Segoe UI" w:eastAsia="Times New Roman" w:hAnsi="Segoe UI" w:cs="Segoe UI"/>
              </w:rPr>
            </w:pPr>
            <w:r w:rsidRPr="5EF294CC">
              <w:rPr>
                <w:rFonts w:ascii="Segoe UI" w:eastAsia="Times New Roman" w:hAnsi="Segoe UI" w:cs="Segoe UI"/>
              </w:rPr>
              <w:t>Compliance Performance</w:t>
            </w:r>
          </w:p>
        </w:tc>
      </w:tr>
      <w:tr w:rsidR="006138C4" w:rsidRPr="0093351C" w14:paraId="285B6A73" w14:textId="77777777" w:rsidTr="59056DEA">
        <w:trPr>
          <w:trHeight w:val="360"/>
          <w:jc w:val="center"/>
        </w:trPr>
        <w:tc>
          <w:tcPr>
            <w:tcW w:w="3495" w:type="dxa"/>
            <w:tcBorders>
              <w:right w:val="single" w:sz="12" w:space="0" w:color="auto"/>
            </w:tcBorders>
            <w:shd w:val="clear" w:color="auto" w:fill="FFFFFF" w:themeFill="background1"/>
            <w:tcMar>
              <w:top w:w="43" w:type="dxa"/>
              <w:left w:w="216" w:type="dxa"/>
              <w:bottom w:w="43" w:type="dxa"/>
              <w:right w:w="216" w:type="dxa"/>
            </w:tcMar>
            <w:vAlign w:val="center"/>
          </w:tcPr>
          <w:p w14:paraId="484CF74A" w14:textId="3C254E33" w:rsidR="006138C4" w:rsidRPr="00634C58" w:rsidRDefault="006138C4" w:rsidP="5EF294CC">
            <w:pPr>
              <w:jc w:val="center"/>
              <w:rPr>
                <w:rFonts w:ascii="Segoe UI" w:eastAsia="Times New Roman" w:hAnsi="Segoe UI" w:cs="Segoe UI"/>
              </w:rPr>
            </w:pPr>
            <w:r w:rsidRPr="5EF294CC">
              <w:rPr>
                <w:rFonts w:ascii="Segoe UI" w:eastAsia="Times New Roman" w:hAnsi="Segoe UI" w:cs="Segoe UI"/>
              </w:rPr>
              <w:t>1</w:t>
            </w:r>
            <w:r w:rsidR="0074527D">
              <w:rPr>
                <w:rFonts w:ascii="Segoe UI" w:eastAsia="Times New Roman" w:hAnsi="Segoe UI" w:cs="Segoe UI"/>
              </w:rPr>
              <w:t>5</w:t>
            </w:r>
          </w:p>
        </w:tc>
        <w:tc>
          <w:tcPr>
            <w:tcW w:w="3150" w:type="dxa"/>
            <w:tcBorders>
              <w:left w:val="single" w:sz="12" w:space="0" w:color="auto"/>
              <w:right w:val="single" w:sz="12" w:space="0" w:color="auto"/>
            </w:tcBorders>
            <w:shd w:val="clear" w:color="auto" w:fill="FFFFFF" w:themeFill="background1"/>
            <w:vAlign w:val="center"/>
          </w:tcPr>
          <w:p w14:paraId="4BB7B935" w14:textId="527C1847" w:rsidR="006138C4" w:rsidRPr="00634C58" w:rsidRDefault="00C2197A" w:rsidP="5EF294CC">
            <w:pPr>
              <w:jc w:val="center"/>
              <w:rPr>
                <w:rFonts w:ascii="Segoe UI" w:eastAsia="Times New Roman" w:hAnsi="Segoe UI" w:cs="Segoe UI"/>
              </w:rPr>
            </w:pPr>
            <w:r>
              <w:rPr>
                <w:rFonts w:ascii="Segoe UI" w:eastAsia="Times New Roman" w:hAnsi="Segoe UI" w:cs="Segoe UI"/>
              </w:rPr>
              <w:t>1</w:t>
            </w:r>
            <w:r w:rsidR="0074527D">
              <w:rPr>
                <w:rFonts w:ascii="Segoe UI" w:eastAsia="Times New Roman" w:hAnsi="Segoe UI" w:cs="Segoe UI"/>
              </w:rPr>
              <w:t>6</w:t>
            </w:r>
          </w:p>
        </w:tc>
        <w:tc>
          <w:tcPr>
            <w:tcW w:w="3510" w:type="dxa"/>
            <w:tcBorders>
              <w:left w:val="single" w:sz="12" w:space="0" w:color="auto"/>
            </w:tcBorders>
            <w:shd w:val="clear" w:color="auto" w:fill="FFFFFF" w:themeFill="background1"/>
            <w:vAlign w:val="center"/>
          </w:tcPr>
          <w:p w14:paraId="62491299" w14:textId="618ECE07" w:rsidR="006138C4" w:rsidRPr="00634C58" w:rsidRDefault="00A1517D" w:rsidP="5EF294CC">
            <w:pPr>
              <w:jc w:val="center"/>
              <w:rPr>
                <w:rFonts w:ascii="Segoe UI" w:eastAsia="Times New Roman" w:hAnsi="Segoe UI" w:cs="Segoe UI"/>
              </w:rPr>
            </w:pPr>
            <w:r>
              <w:rPr>
                <w:rFonts w:ascii="Segoe UI" w:eastAsia="Times New Roman" w:hAnsi="Segoe UI" w:cs="Segoe UI"/>
              </w:rPr>
              <w:t>93.75</w:t>
            </w:r>
            <w:r w:rsidR="006138C4" w:rsidRPr="59056DEA">
              <w:rPr>
                <w:rFonts w:ascii="Segoe UI" w:eastAsia="Times New Roman" w:hAnsi="Segoe UI" w:cs="Segoe UI"/>
              </w:rPr>
              <w:t>%</w:t>
            </w:r>
          </w:p>
        </w:tc>
      </w:tr>
      <w:tr w:rsidR="006138C4" w:rsidRPr="0093351C" w14:paraId="79FD391C" w14:textId="77777777" w:rsidTr="59056DEA">
        <w:trPr>
          <w:trHeight w:val="432"/>
          <w:jc w:val="center"/>
        </w:trPr>
        <w:tc>
          <w:tcPr>
            <w:tcW w:w="3495" w:type="dxa"/>
            <w:tcBorders>
              <w:right w:val="single" w:sz="12" w:space="0" w:color="auto"/>
            </w:tcBorders>
            <w:shd w:val="clear" w:color="auto" w:fill="BFBFBF" w:themeFill="background1" w:themeFillShade="BF"/>
            <w:tcMar>
              <w:top w:w="43" w:type="dxa"/>
              <w:left w:w="216" w:type="dxa"/>
              <w:bottom w:w="43" w:type="dxa"/>
              <w:right w:w="216" w:type="dxa"/>
            </w:tcMar>
            <w:vAlign w:val="center"/>
          </w:tcPr>
          <w:p w14:paraId="560F82B6" w14:textId="13F91A82" w:rsidR="006138C4" w:rsidRPr="00634C58" w:rsidRDefault="006138C4" w:rsidP="5EF294CC">
            <w:pPr>
              <w:jc w:val="center"/>
              <w:rPr>
                <w:rFonts w:ascii="Segoe UI" w:eastAsia="Times New Roman" w:hAnsi="Segoe UI" w:cs="Segoe UI"/>
              </w:rPr>
            </w:pPr>
            <w:r w:rsidRPr="5EF294CC">
              <w:rPr>
                <w:rFonts w:ascii="Segoe UI" w:eastAsia="Times New Roman" w:hAnsi="Segoe UI" w:cs="Segoe UI"/>
              </w:rPr>
              <w:t xml:space="preserve">Results Points </w:t>
            </w:r>
            <w:r w:rsidR="0074527D">
              <w:rPr>
                <w:rFonts w:ascii="Segoe UI" w:eastAsia="Times New Roman" w:hAnsi="Segoe UI" w:cs="Segoe UI"/>
              </w:rPr>
              <w:t>Earned</w:t>
            </w:r>
          </w:p>
        </w:tc>
        <w:tc>
          <w:tcPr>
            <w:tcW w:w="3150" w:type="dxa"/>
            <w:tcBorders>
              <w:left w:val="single" w:sz="12" w:space="0" w:color="auto"/>
              <w:right w:val="single" w:sz="12" w:space="0" w:color="auto"/>
            </w:tcBorders>
            <w:shd w:val="clear" w:color="auto" w:fill="BFBFBF" w:themeFill="background1" w:themeFillShade="BF"/>
            <w:vAlign w:val="center"/>
          </w:tcPr>
          <w:p w14:paraId="2C165E27" w14:textId="1CD67BE8" w:rsidR="006138C4" w:rsidRPr="00634C58" w:rsidRDefault="006138C4" w:rsidP="5EF294CC">
            <w:pPr>
              <w:jc w:val="center"/>
              <w:rPr>
                <w:rFonts w:ascii="Segoe UI" w:eastAsia="Times New Roman" w:hAnsi="Segoe UI" w:cs="Segoe UI"/>
              </w:rPr>
            </w:pPr>
            <w:r w:rsidRPr="5EF294CC">
              <w:rPr>
                <w:rFonts w:ascii="Segoe UI" w:eastAsia="Times New Roman" w:hAnsi="Segoe UI" w:cs="Segoe UI"/>
              </w:rPr>
              <w:t xml:space="preserve">Results Points </w:t>
            </w:r>
            <w:r w:rsidR="0074527D">
              <w:rPr>
                <w:rFonts w:ascii="Segoe UI" w:eastAsia="Times New Roman" w:hAnsi="Segoe UI" w:cs="Segoe UI"/>
              </w:rPr>
              <w:t>Available</w:t>
            </w:r>
          </w:p>
        </w:tc>
        <w:tc>
          <w:tcPr>
            <w:tcW w:w="3510" w:type="dxa"/>
            <w:tcBorders>
              <w:left w:val="single" w:sz="12" w:space="0" w:color="auto"/>
            </w:tcBorders>
            <w:shd w:val="clear" w:color="auto" w:fill="BFBFBF" w:themeFill="background1" w:themeFillShade="BF"/>
            <w:vAlign w:val="center"/>
          </w:tcPr>
          <w:p w14:paraId="7126D66E" w14:textId="77777777" w:rsidR="006138C4" w:rsidRPr="00634C58" w:rsidRDefault="006138C4" w:rsidP="5EF294CC">
            <w:pPr>
              <w:jc w:val="center"/>
              <w:rPr>
                <w:rFonts w:ascii="Segoe UI" w:eastAsia="Times New Roman" w:hAnsi="Segoe UI" w:cs="Segoe UI"/>
              </w:rPr>
            </w:pPr>
            <w:r w:rsidRPr="5EF294CC">
              <w:rPr>
                <w:rFonts w:ascii="Segoe UI" w:eastAsia="Times New Roman" w:hAnsi="Segoe UI" w:cs="Segoe UI"/>
              </w:rPr>
              <w:t>Results Performance</w:t>
            </w:r>
          </w:p>
        </w:tc>
      </w:tr>
      <w:tr w:rsidR="006138C4" w:rsidRPr="0093351C" w14:paraId="797EBAEA" w14:textId="77777777" w:rsidTr="59056DEA">
        <w:trPr>
          <w:trHeight w:val="360"/>
          <w:jc w:val="center"/>
        </w:trPr>
        <w:tc>
          <w:tcPr>
            <w:tcW w:w="3495" w:type="dxa"/>
            <w:tcBorders>
              <w:right w:val="single" w:sz="12" w:space="0" w:color="auto"/>
            </w:tcBorders>
            <w:shd w:val="clear" w:color="auto" w:fill="FFFFFF" w:themeFill="background1"/>
            <w:tcMar>
              <w:top w:w="43" w:type="dxa"/>
              <w:left w:w="216" w:type="dxa"/>
              <w:bottom w:w="43" w:type="dxa"/>
              <w:right w:w="216" w:type="dxa"/>
            </w:tcMar>
            <w:vAlign w:val="center"/>
          </w:tcPr>
          <w:p w14:paraId="0284F0D2" w14:textId="7226AB8F" w:rsidR="006138C4" w:rsidRPr="00634C58" w:rsidRDefault="006138C4" w:rsidP="5EF294CC">
            <w:pPr>
              <w:jc w:val="center"/>
              <w:rPr>
                <w:rFonts w:ascii="Segoe UI" w:eastAsia="Times New Roman" w:hAnsi="Segoe UI" w:cs="Segoe UI"/>
              </w:rPr>
            </w:pPr>
            <w:r w:rsidRPr="5EF294CC">
              <w:rPr>
                <w:rFonts w:ascii="Segoe UI" w:eastAsia="Times New Roman" w:hAnsi="Segoe UI" w:cs="Segoe UI"/>
              </w:rPr>
              <w:t>1</w:t>
            </w:r>
            <w:r w:rsidR="0074527D">
              <w:rPr>
                <w:rFonts w:ascii="Segoe UI" w:eastAsia="Times New Roman" w:hAnsi="Segoe UI" w:cs="Segoe UI"/>
              </w:rPr>
              <w:t>2</w:t>
            </w:r>
          </w:p>
        </w:tc>
        <w:tc>
          <w:tcPr>
            <w:tcW w:w="3150" w:type="dxa"/>
            <w:tcBorders>
              <w:left w:val="single" w:sz="12" w:space="0" w:color="auto"/>
              <w:right w:val="single" w:sz="12" w:space="0" w:color="auto"/>
            </w:tcBorders>
            <w:shd w:val="clear" w:color="auto" w:fill="FFFFFF" w:themeFill="background1"/>
            <w:vAlign w:val="center"/>
          </w:tcPr>
          <w:p w14:paraId="41174F54" w14:textId="533671EA" w:rsidR="006138C4" w:rsidRPr="00634C58" w:rsidRDefault="006330C1" w:rsidP="5EF294CC">
            <w:pPr>
              <w:jc w:val="center"/>
              <w:rPr>
                <w:rFonts w:ascii="Segoe UI" w:eastAsia="Times New Roman" w:hAnsi="Segoe UI" w:cs="Segoe UI"/>
              </w:rPr>
            </w:pPr>
            <w:r>
              <w:rPr>
                <w:rFonts w:ascii="Segoe UI" w:eastAsia="Times New Roman" w:hAnsi="Segoe UI" w:cs="Segoe UI"/>
              </w:rPr>
              <w:t>1</w:t>
            </w:r>
            <w:r w:rsidR="0074527D">
              <w:rPr>
                <w:rFonts w:ascii="Segoe UI" w:eastAsia="Times New Roman" w:hAnsi="Segoe UI" w:cs="Segoe UI"/>
              </w:rPr>
              <w:t>6</w:t>
            </w:r>
          </w:p>
        </w:tc>
        <w:tc>
          <w:tcPr>
            <w:tcW w:w="3510" w:type="dxa"/>
            <w:tcBorders>
              <w:left w:val="single" w:sz="12" w:space="0" w:color="auto"/>
            </w:tcBorders>
            <w:shd w:val="clear" w:color="auto" w:fill="FFFFFF" w:themeFill="background1"/>
            <w:vAlign w:val="center"/>
          </w:tcPr>
          <w:p w14:paraId="364B1559" w14:textId="7667EBB4" w:rsidR="006138C4" w:rsidRPr="00634C58" w:rsidRDefault="00A1517D" w:rsidP="5EF294CC">
            <w:pPr>
              <w:jc w:val="center"/>
              <w:rPr>
                <w:rFonts w:ascii="Segoe UI" w:eastAsia="Times New Roman" w:hAnsi="Segoe UI" w:cs="Segoe UI"/>
              </w:rPr>
            </w:pPr>
            <w:r>
              <w:rPr>
                <w:rFonts w:ascii="Segoe UI" w:eastAsia="Times New Roman" w:hAnsi="Segoe UI" w:cs="Segoe UI"/>
              </w:rPr>
              <w:t>75</w:t>
            </w:r>
            <w:r w:rsidR="006138C4" w:rsidRPr="59056DEA">
              <w:rPr>
                <w:rFonts w:ascii="Segoe UI" w:eastAsia="Times New Roman" w:hAnsi="Segoe UI" w:cs="Segoe UI"/>
              </w:rPr>
              <w:t>%</w:t>
            </w:r>
          </w:p>
        </w:tc>
      </w:tr>
      <w:tr w:rsidR="006138C4" w:rsidRPr="0093351C" w14:paraId="703254EB" w14:textId="77777777" w:rsidTr="59056DEA">
        <w:trPr>
          <w:trHeight w:val="432"/>
          <w:jc w:val="center"/>
        </w:trPr>
        <w:tc>
          <w:tcPr>
            <w:tcW w:w="3495" w:type="dxa"/>
            <w:tcBorders>
              <w:right w:val="single" w:sz="12" w:space="0" w:color="auto"/>
            </w:tcBorders>
            <w:shd w:val="clear" w:color="auto" w:fill="C7C7C7" w:themeFill="background2" w:themeFillShade="E6"/>
            <w:tcMar>
              <w:top w:w="43" w:type="dxa"/>
              <w:left w:w="216" w:type="dxa"/>
              <w:bottom w:w="43" w:type="dxa"/>
              <w:right w:w="216" w:type="dxa"/>
            </w:tcMar>
            <w:vAlign w:val="center"/>
          </w:tcPr>
          <w:p w14:paraId="0DD59D12" w14:textId="77777777" w:rsidR="006138C4" w:rsidRPr="00902B0F" w:rsidRDefault="006138C4" w:rsidP="006F0F1B">
            <w:pPr>
              <w:jc w:val="center"/>
              <w:rPr>
                <w:rFonts w:ascii="Segoe UI" w:eastAsia="Times New Roman" w:hAnsi="Segoe UI" w:cs="Segoe UI"/>
                <w:b/>
                <w:bCs/>
              </w:rPr>
            </w:pPr>
            <w:r w:rsidRPr="5EF294CC">
              <w:rPr>
                <w:rFonts w:ascii="Segoe UI" w:eastAsia="Times New Roman" w:hAnsi="Segoe UI" w:cs="Segoe UI"/>
                <w:b/>
                <w:bCs/>
              </w:rPr>
              <w:t>TOTAL POINTS AVAILABLE</w:t>
            </w:r>
          </w:p>
        </w:tc>
        <w:tc>
          <w:tcPr>
            <w:tcW w:w="3150" w:type="dxa"/>
            <w:tcBorders>
              <w:left w:val="single" w:sz="12" w:space="0" w:color="auto"/>
              <w:right w:val="single" w:sz="12" w:space="0" w:color="auto"/>
            </w:tcBorders>
            <w:shd w:val="clear" w:color="auto" w:fill="C7C7C7" w:themeFill="background2" w:themeFillShade="E6"/>
            <w:vAlign w:val="center"/>
          </w:tcPr>
          <w:p w14:paraId="56F76AF8" w14:textId="77777777" w:rsidR="006138C4" w:rsidRPr="008E5466" w:rsidRDefault="006138C4" w:rsidP="006F0F1B">
            <w:pPr>
              <w:jc w:val="center"/>
              <w:rPr>
                <w:rFonts w:ascii="Segoe UI" w:eastAsia="Times New Roman" w:hAnsi="Segoe UI" w:cs="Segoe UI"/>
                <w:b/>
                <w:bCs/>
              </w:rPr>
            </w:pPr>
            <w:r w:rsidRPr="5EF294CC">
              <w:rPr>
                <w:rFonts w:ascii="Segoe UI" w:eastAsia="Times New Roman" w:hAnsi="Segoe UI" w:cs="Segoe UI"/>
                <w:b/>
                <w:bCs/>
              </w:rPr>
              <w:t>TOTAL POINTS EARNED</w:t>
            </w:r>
          </w:p>
        </w:tc>
        <w:tc>
          <w:tcPr>
            <w:tcW w:w="3510" w:type="dxa"/>
            <w:tcBorders>
              <w:left w:val="single" w:sz="12" w:space="0" w:color="auto"/>
            </w:tcBorders>
            <w:shd w:val="clear" w:color="auto" w:fill="C7C7C7" w:themeFill="background2" w:themeFillShade="E6"/>
            <w:vAlign w:val="center"/>
          </w:tcPr>
          <w:p w14:paraId="6CCF851B" w14:textId="77777777" w:rsidR="006138C4" w:rsidRPr="00400629" w:rsidRDefault="006138C4" w:rsidP="006F0F1B">
            <w:pPr>
              <w:jc w:val="center"/>
              <w:rPr>
                <w:rFonts w:ascii="Segoe UI" w:eastAsia="Times New Roman" w:hAnsi="Segoe UI" w:cs="Segoe UI"/>
                <w:b/>
                <w:bCs/>
              </w:rPr>
            </w:pPr>
            <w:r w:rsidRPr="5EF294CC">
              <w:rPr>
                <w:rFonts w:ascii="Segoe UI" w:eastAsia="Times New Roman" w:hAnsi="Segoe UI" w:cs="Segoe UI"/>
                <w:b/>
                <w:bCs/>
              </w:rPr>
              <w:t>PERCENT TARGETS MET</w:t>
            </w:r>
          </w:p>
        </w:tc>
      </w:tr>
      <w:tr w:rsidR="006138C4" w:rsidRPr="0093351C" w14:paraId="0C765164" w14:textId="77777777" w:rsidTr="59056DEA">
        <w:trPr>
          <w:trHeight w:val="360"/>
          <w:jc w:val="center"/>
        </w:trPr>
        <w:tc>
          <w:tcPr>
            <w:tcW w:w="3495" w:type="dxa"/>
            <w:tcBorders>
              <w:right w:val="single" w:sz="12" w:space="0" w:color="auto"/>
            </w:tcBorders>
            <w:tcMar>
              <w:top w:w="43" w:type="dxa"/>
              <w:left w:w="216" w:type="dxa"/>
              <w:bottom w:w="43" w:type="dxa"/>
              <w:right w:w="216" w:type="dxa"/>
            </w:tcMar>
            <w:vAlign w:val="center"/>
          </w:tcPr>
          <w:p w14:paraId="55F09BCE" w14:textId="7BFC1BA6" w:rsidR="006138C4" w:rsidRPr="00902B0F" w:rsidRDefault="00A1517D" w:rsidP="006F0F1B">
            <w:pPr>
              <w:jc w:val="center"/>
              <w:rPr>
                <w:rFonts w:ascii="Segoe UI" w:eastAsia="Times New Roman" w:hAnsi="Segoe UI" w:cs="Segoe UI"/>
                <w:b/>
                <w:bCs/>
              </w:rPr>
            </w:pPr>
            <w:r>
              <w:rPr>
                <w:rFonts w:ascii="Segoe UI" w:eastAsia="Times New Roman" w:hAnsi="Segoe UI" w:cs="Segoe UI"/>
                <w:b/>
                <w:bCs/>
              </w:rPr>
              <w:t>27</w:t>
            </w:r>
          </w:p>
        </w:tc>
        <w:tc>
          <w:tcPr>
            <w:tcW w:w="3150" w:type="dxa"/>
            <w:tcBorders>
              <w:left w:val="single" w:sz="12" w:space="0" w:color="auto"/>
              <w:right w:val="single" w:sz="12" w:space="0" w:color="auto"/>
            </w:tcBorders>
            <w:vAlign w:val="center"/>
          </w:tcPr>
          <w:p w14:paraId="0A95FEFD" w14:textId="52D9169B" w:rsidR="006138C4" w:rsidRPr="008E5466" w:rsidRDefault="00A1517D" w:rsidP="006F0F1B">
            <w:pPr>
              <w:jc w:val="center"/>
              <w:rPr>
                <w:rFonts w:ascii="Segoe UI" w:eastAsia="Times New Roman" w:hAnsi="Segoe UI" w:cs="Segoe UI"/>
                <w:b/>
                <w:bCs/>
              </w:rPr>
            </w:pPr>
            <w:r>
              <w:rPr>
                <w:rFonts w:ascii="Segoe UI" w:eastAsia="Times New Roman" w:hAnsi="Segoe UI" w:cs="Segoe UI"/>
                <w:b/>
                <w:bCs/>
              </w:rPr>
              <w:t>32</w:t>
            </w:r>
          </w:p>
        </w:tc>
        <w:tc>
          <w:tcPr>
            <w:tcW w:w="3510" w:type="dxa"/>
            <w:tcBorders>
              <w:left w:val="single" w:sz="12" w:space="0" w:color="auto"/>
            </w:tcBorders>
            <w:vAlign w:val="center"/>
          </w:tcPr>
          <w:p w14:paraId="3763D886" w14:textId="6B1A65E6" w:rsidR="006138C4" w:rsidRPr="00400629" w:rsidRDefault="00A1517D" w:rsidP="006F0F1B">
            <w:pPr>
              <w:jc w:val="center"/>
              <w:rPr>
                <w:rFonts w:ascii="Segoe UI" w:eastAsia="Times New Roman" w:hAnsi="Segoe UI" w:cs="Segoe UI"/>
                <w:b/>
                <w:bCs/>
              </w:rPr>
            </w:pPr>
            <w:r>
              <w:rPr>
                <w:rFonts w:ascii="Segoe UI" w:eastAsia="Times New Roman" w:hAnsi="Segoe UI" w:cs="Segoe UI"/>
                <w:b/>
                <w:bCs/>
              </w:rPr>
              <w:t>84.37</w:t>
            </w:r>
            <w:r w:rsidR="006138C4" w:rsidRPr="59056DEA">
              <w:rPr>
                <w:rFonts w:ascii="Segoe UI" w:eastAsia="Times New Roman" w:hAnsi="Segoe UI" w:cs="Segoe UI"/>
                <w:b/>
                <w:bCs/>
              </w:rPr>
              <w:t>%</w:t>
            </w:r>
          </w:p>
        </w:tc>
      </w:tr>
      <w:tr w:rsidR="006138C4" w:rsidRPr="001F124C" w14:paraId="25259722" w14:textId="77777777" w:rsidTr="59056DEA">
        <w:trPr>
          <w:trHeight w:val="288"/>
          <w:jc w:val="center"/>
        </w:trPr>
        <w:tc>
          <w:tcPr>
            <w:tcW w:w="10155" w:type="dxa"/>
            <w:gridSpan w:val="3"/>
            <w:shd w:val="clear" w:color="auto" w:fill="C7C7C7" w:themeFill="background2" w:themeFillShade="E6"/>
            <w:tcMar>
              <w:top w:w="43" w:type="dxa"/>
              <w:left w:w="216" w:type="dxa"/>
              <w:bottom w:w="43" w:type="dxa"/>
              <w:right w:w="216" w:type="dxa"/>
            </w:tcMar>
            <w:vAlign w:val="center"/>
          </w:tcPr>
          <w:p w14:paraId="321D3276" w14:textId="77777777" w:rsidR="006138C4" w:rsidRPr="001F124C" w:rsidRDefault="006138C4" w:rsidP="5EF294CC">
            <w:pPr>
              <w:jc w:val="center"/>
              <w:rPr>
                <w:rFonts w:ascii="Segoe UI" w:eastAsia="Times New Roman" w:hAnsi="Segoe UI" w:cs="Segoe UI"/>
                <w:b/>
                <w:bCs/>
                <w:sz w:val="28"/>
                <w:szCs w:val="28"/>
              </w:rPr>
            </w:pPr>
            <w:r w:rsidRPr="5EF294CC">
              <w:rPr>
                <w:rFonts w:ascii="Segoe UI" w:eastAsia="Times New Roman" w:hAnsi="Segoe UI" w:cs="Segoe UI"/>
                <w:b/>
                <w:bCs/>
                <w:sz w:val="28"/>
                <w:szCs w:val="28"/>
              </w:rPr>
              <w:t>1: Meets Requirements</w:t>
            </w:r>
          </w:p>
        </w:tc>
      </w:tr>
    </w:tbl>
    <w:p w14:paraId="2E23CB05" w14:textId="77777777" w:rsidR="006138C4" w:rsidRPr="00F038B8" w:rsidRDefault="006138C4" w:rsidP="5EF294CC">
      <w:pPr>
        <w:spacing w:line="254" w:lineRule="auto"/>
        <w:rPr>
          <w:rFonts w:ascii="Tw Cen MT" w:eastAsia="Times New Roman" w:hAnsi="Tw Cen MT" w:cs="Segoe UI"/>
          <w:sz w:val="14"/>
          <w:szCs w:val="14"/>
        </w:rPr>
      </w:pPr>
    </w:p>
    <w:p w14:paraId="2E304639" w14:textId="77777777" w:rsidR="006138C4" w:rsidRPr="0041578E" w:rsidRDefault="006138C4" w:rsidP="006138C4">
      <w:pPr>
        <w:rPr>
          <w:rFonts w:eastAsia="Times New Roman" w:cs="Segoe UI"/>
          <w:sz w:val="16"/>
          <w:szCs w:val="16"/>
        </w:rPr>
      </w:pPr>
    </w:p>
    <w:p w14:paraId="0D02D685" w14:textId="77777777" w:rsidR="006138C4" w:rsidRPr="0041578E" w:rsidRDefault="006138C4" w:rsidP="006138C4">
      <w:pPr>
        <w:rPr>
          <w:rFonts w:eastAsia="Times New Roman" w:cs="Segoe UI"/>
          <w:sz w:val="12"/>
          <w:szCs w:val="12"/>
        </w:rPr>
      </w:pPr>
    </w:p>
    <w:tbl>
      <w:tblPr>
        <w:tblW w:w="0" w:type="auto"/>
        <w:jc w:val="center"/>
        <w:tblBorders>
          <w:top w:val="single" w:sz="8" w:space="0" w:color="808080"/>
          <w:bottom w:val="single" w:sz="8" w:space="0" w:color="808080"/>
          <w:insideH w:val="single" w:sz="8" w:space="0" w:color="808080"/>
        </w:tblBorders>
        <w:shd w:val="clear" w:color="auto" w:fill="FFFFFF"/>
        <w:tblCellMar>
          <w:left w:w="0" w:type="dxa"/>
          <w:right w:w="0" w:type="dxa"/>
        </w:tblCellMar>
        <w:tblLook w:val="04A0" w:firstRow="1" w:lastRow="0" w:firstColumn="1" w:lastColumn="0" w:noHBand="0" w:noVBand="1"/>
      </w:tblPr>
      <w:tblGrid>
        <w:gridCol w:w="3709"/>
        <w:gridCol w:w="4270"/>
      </w:tblGrid>
      <w:tr w:rsidR="006138C4" w:rsidRPr="0007092E" w14:paraId="13E95316" w14:textId="77777777" w:rsidTr="5EF294CC">
        <w:trPr>
          <w:trHeight w:val="382"/>
          <w:jc w:val="center"/>
        </w:trPr>
        <w:tc>
          <w:tcPr>
            <w:tcW w:w="3709" w:type="dxa"/>
            <w:tcBorders>
              <w:top w:val="single" w:sz="12" w:space="0" w:color="auto"/>
              <w:left w:val="single" w:sz="12" w:space="0" w:color="auto"/>
              <w:bottom w:val="single" w:sz="12" w:space="0" w:color="auto"/>
            </w:tcBorders>
            <w:shd w:val="clear" w:color="auto" w:fill="D9D9D9" w:themeFill="background1" w:themeFillShade="D9"/>
            <w:tcMar>
              <w:top w:w="43" w:type="dxa"/>
              <w:left w:w="72" w:type="dxa"/>
              <w:bottom w:w="43" w:type="dxa"/>
              <w:right w:w="72" w:type="dxa"/>
            </w:tcMar>
            <w:vAlign w:val="center"/>
            <w:hideMark/>
          </w:tcPr>
          <w:p w14:paraId="40EC6FAD" w14:textId="77777777" w:rsidR="006138C4" w:rsidRPr="0007092E" w:rsidRDefault="006138C4" w:rsidP="5EF294CC">
            <w:pPr>
              <w:jc w:val="center"/>
              <w:rPr>
                <w:rFonts w:ascii="Segoe UI" w:eastAsia="Times New Roman" w:hAnsi="Segoe UI" w:cs="Segoe UI"/>
              </w:rPr>
            </w:pPr>
            <w:r w:rsidRPr="5EF294CC">
              <w:rPr>
                <w:rFonts w:ascii="Segoe UI" w:eastAsia="Times New Roman" w:hAnsi="Segoe UI" w:cs="Segoe UI"/>
                <w:b/>
                <w:bCs/>
              </w:rPr>
              <w:t>Percentage of Points Earned</w:t>
            </w:r>
          </w:p>
        </w:tc>
        <w:tc>
          <w:tcPr>
            <w:tcW w:w="4270" w:type="dxa"/>
            <w:tcBorders>
              <w:top w:val="single" w:sz="12" w:space="0" w:color="auto"/>
              <w:bottom w:val="single" w:sz="12" w:space="0" w:color="auto"/>
              <w:right w:val="single" w:sz="12" w:space="0" w:color="auto"/>
            </w:tcBorders>
            <w:shd w:val="clear" w:color="auto" w:fill="D9D9D9" w:themeFill="background1" w:themeFillShade="D9"/>
            <w:vAlign w:val="center"/>
            <w:hideMark/>
          </w:tcPr>
          <w:p w14:paraId="49852500" w14:textId="77777777" w:rsidR="006138C4" w:rsidRPr="0007092E" w:rsidRDefault="006138C4" w:rsidP="5EF294CC">
            <w:pPr>
              <w:jc w:val="center"/>
              <w:rPr>
                <w:rFonts w:ascii="Segoe UI" w:eastAsia="Times New Roman" w:hAnsi="Segoe UI" w:cs="Segoe UI"/>
              </w:rPr>
            </w:pPr>
            <w:r w:rsidRPr="5EF294CC">
              <w:rPr>
                <w:rFonts w:ascii="Segoe UI" w:eastAsia="Times New Roman" w:hAnsi="Segoe UI" w:cs="Segoe UI"/>
                <w:b/>
                <w:bCs/>
              </w:rPr>
              <w:t>Level of Determination</w:t>
            </w:r>
          </w:p>
        </w:tc>
      </w:tr>
      <w:tr w:rsidR="006138C4" w:rsidRPr="0007092E" w14:paraId="2A33202E" w14:textId="77777777" w:rsidTr="5EF294CC">
        <w:trPr>
          <w:trHeight w:val="382"/>
          <w:jc w:val="center"/>
        </w:trPr>
        <w:tc>
          <w:tcPr>
            <w:tcW w:w="3709" w:type="dxa"/>
            <w:tcBorders>
              <w:top w:val="single" w:sz="12" w:space="0" w:color="auto"/>
              <w:left w:val="single" w:sz="12" w:space="0" w:color="auto"/>
            </w:tcBorders>
            <w:shd w:val="clear" w:color="auto" w:fill="FFFFFF" w:themeFill="background1"/>
            <w:tcMar>
              <w:top w:w="43" w:type="dxa"/>
              <w:left w:w="216" w:type="dxa"/>
              <w:bottom w:w="43" w:type="dxa"/>
              <w:right w:w="216" w:type="dxa"/>
            </w:tcMar>
            <w:vAlign w:val="center"/>
          </w:tcPr>
          <w:p w14:paraId="79251D8C" w14:textId="51C1B9E1" w:rsidR="006138C4" w:rsidRPr="0007092E" w:rsidRDefault="006138C4" w:rsidP="5EF294CC">
            <w:pPr>
              <w:jc w:val="center"/>
              <w:rPr>
                <w:rFonts w:ascii="Segoe UI" w:eastAsia="Times New Roman" w:hAnsi="Segoe UI" w:cs="Segoe UI"/>
              </w:rPr>
            </w:pPr>
            <w:r w:rsidRPr="5EF294CC">
              <w:rPr>
                <w:rFonts w:ascii="Segoe UI" w:eastAsia="Times New Roman" w:hAnsi="Segoe UI" w:cs="Segoe UI"/>
              </w:rPr>
              <w:t>8</w:t>
            </w:r>
            <w:r w:rsidR="006330C1">
              <w:rPr>
                <w:rFonts w:ascii="Segoe UI" w:eastAsia="Times New Roman" w:hAnsi="Segoe UI" w:cs="Segoe UI"/>
              </w:rPr>
              <w:t>0</w:t>
            </w:r>
            <w:r w:rsidRPr="5EF294CC">
              <w:rPr>
                <w:rFonts w:ascii="Segoe UI" w:eastAsia="Times New Roman" w:hAnsi="Segoe UI" w:cs="Segoe UI"/>
              </w:rPr>
              <w:t>% to 100%</w:t>
            </w:r>
          </w:p>
        </w:tc>
        <w:tc>
          <w:tcPr>
            <w:tcW w:w="4270" w:type="dxa"/>
            <w:tcBorders>
              <w:top w:val="single" w:sz="12" w:space="0" w:color="auto"/>
              <w:right w:val="single" w:sz="12" w:space="0" w:color="auto"/>
            </w:tcBorders>
            <w:shd w:val="clear" w:color="auto" w:fill="FFFFFF" w:themeFill="background1"/>
            <w:vAlign w:val="center"/>
          </w:tcPr>
          <w:p w14:paraId="1FEB8AA8" w14:textId="77777777" w:rsidR="006138C4" w:rsidRPr="0007092E" w:rsidRDefault="006138C4" w:rsidP="5EF294CC">
            <w:pPr>
              <w:jc w:val="center"/>
              <w:rPr>
                <w:rFonts w:ascii="Segoe UI" w:eastAsia="Times New Roman" w:hAnsi="Segoe UI" w:cs="Segoe UI"/>
              </w:rPr>
            </w:pPr>
            <w:r w:rsidRPr="5EF294CC">
              <w:rPr>
                <w:rFonts w:ascii="Segoe UI" w:eastAsia="Times New Roman" w:hAnsi="Segoe UI" w:cs="Segoe UI"/>
              </w:rPr>
              <w:t>Meets Requirements</w:t>
            </w:r>
          </w:p>
        </w:tc>
      </w:tr>
      <w:tr w:rsidR="006138C4" w:rsidRPr="0007092E" w14:paraId="4653E86F" w14:textId="77777777" w:rsidTr="5EF294CC">
        <w:trPr>
          <w:trHeight w:val="382"/>
          <w:jc w:val="center"/>
        </w:trPr>
        <w:tc>
          <w:tcPr>
            <w:tcW w:w="3709" w:type="dxa"/>
            <w:tcBorders>
              <w:left w:val="single" w:sz="12" w:space="0" w:color="auto"/>
            </w:tcBorders>
            <w:shd w:val="clear" w:color="auto" w:fill="FFFFFF" w:themeFill="background1"/>
            <w:tcMar>
              <w:top w:w="43" w:type="dxa"/>
              <w:left w:w="216" w:type="dxa"/>
              <w:bottom w:w="43" w:type="dxa"/>
              <w:right w:w="216" w:type="dxa"/>
            </w:tcMar>
            <w:vAlign w:val="center"/>
          </w:tcPr>
          <w:p w14:paraId="066653B0" w14:textId="46D9D8F7" w:rsidR="006138C4" w:rsidRPr="0007092E" w:rsidRDefault="006330C1" w:rsidP="5EF294CC">
            <w:pPr>
              <w:jc w:val="center"/>
              <w:rPr>
                <w:rFonts w:ascii="Segoe UI" w:eastAsia="Times New Roman" w:hAnsi="Segoe UI" w:cs="Segoe UI"/>
              </w:rPr>
            </w:pPr>
            <w:r>
              <w:rPr>
                <w:rFonts w:ascii="Segoe UI" w:eastAsia="Times New Roman" w:hAnsi="Segoe UI" w:cs="Segoe UI"/>
              </w:rPr>
              <w:t>65</w:t>
            </w:r>
            <w:r w:rsidR="006138C4" w:rsidRPr="5EF294CC">
              <w:rPr>
                <w:rFonts w:ascii="Segoe UI" w:eastAsia="Times New Roman" w:hAnsi="Segoe UI" w:cs="Segoe UI"/>
              </w:rPr>
              <w:t xml:space="preserve">% to </w:t>
            </w:r>
            <w:r>
              <w:rPr>
                <w:rFonts w:ascii="Segoe UI" w:eastAsia="Times New Roman" w:hAnsi="Segoe UI" w:cs="Segoe UI"/>
              </w:rPr>
              <w:t>79</w:t>
            </w:r>
            <w:r w:rsidR="006138C4" w:rsidRPr="5EF294CC">
              <w:rPr>
                <w:rFonts w:ascii="Segoe UI" w:eastAsia="Times New Roman" w:hAnsi="Segoe UI" w:cs="Segoe UI"/>
              </w:rPr>
              <w:t>.9%</w:t>
            </w:r>
          </w:p>
        </w:tc>
        <w:tc>
          <w:tcPr>
            <w:tcW w:w="4270" w:type="dxa"/>
            <w:tcBorders>
              <w:right w:val="single" w:sz="12" w:space="0" w:color="auto"/>
            </w:tcBorders>
            <w:shd w:val="clear" w:color="auto" w:fill="FFFFFF" w:themeFill="background1"/>
            <w:vAlign w:val="center"/>
          </w:tcPr>
          <w:p w14:paraId="1EA54BA6" w14:textId="77777777" w:rsidR="006138C4" w:rsidRPr="0007092E" w:rsidRDefault="006138C4" w:rsidP="5EF294CC">
            <w:pPr>
              <w:jc w:val="center"/>
              <w:rPr>
                <w:rFonts w:ascii="Segoe UI" w:eastAsia="Times New Roman" w:hAnsi="Segoe UI" w:cs="Segoe UI"/>
              </w:rPr>
            </w:pPr>
            <w:r w:rsidRPr="5EF294CC">
              <w:rPr>
                <w:rFonts w:ascii="Segoe UI" w:eastAsia="Times New Roman" w:hAnsi="Segoe UI" w:cs="Segoe UI"/>
              </w:rPr>
              <w:t>Needs Assistance</w:t>
            </w:r>
          </w:p>
        </w:tc>
      </w:tr>
      <w:tr w:rsidR="006138C4" w:rsidRPr="0007092E" w14:paraId="067B241C" w14:textId="77777777" w:rsidTr="5EF294CC">
        <w:trPr>
          <w:trHeight w:val="382"/>
          <w:jc w:val="center"/>
        </w:trPr>
        <w:tc>
          <w:tcPr>
            <w:tcW w:w="3709" w:type="dxa"/>
            <w:tcBorders>
              <w:left w:val="single" w:sz="12" w:space="0" w:color="auto"/>
              <w:bottom w:val="single" w:sz="8" w:space="0" w:color="808080" w:themeColor="background1" w:themeShade="80"/>
            </w:tcBorders>
            <w:shd w:val="clear" w:color="auto" w:fill="FFFFFF" w:themeFill="background1"/>
            <w:tcMar>
              <w:top w:w="43" w:type="dxa"/>
              <w:left w:w="216" w:type="dxa"/>
              <w:bottom w:w="43" w:type="dxa"/>
              <w:right w:w="216" w:type="dxa"/>
            </w:tcMar>
            <w:vAlign w:val="center"/>
          </w:tcPr>
          <w:p w14:paraId="1C08CEF5" w14:textId="42CEC605" w:rsidR="006138C4" w:rsidRPr="0007092E" w:rsidRDefault="006138C4" w:rsidP="5EF294CC">
            <w:pPr>
              <w:jc w:val="center"/>
              <w:rPr>
                <w:rFonts w:ascii="Segoe UI" w:eastAsia="Times New Roman" w:hAnsi="Segoe UI" w:cs="Segoe UI"/>
              </w:rPr>
            </w:pPr>
            <w:r w:rsidRPr="5EF294CC">
              <w:rPr>
                <w:rFonts w:ascii="Segoe UI" w:eastAsia="Times New Roman" w:hAnsi="Segoe UI" w:cs="Segoe UI"/>
              </w:rPr>
              <w:t>5</w:t>
            </w:r>
            <w:r w:rsidR="006330C1">
              <w:rPr>
                <w:rFonts w:ascii="Segoe UI" w:eastAsia="Times New Roman" w:hAnsi="Segoe UI" w:cs="Segoe UI"/>
              </w:rPr>
              <w:t>0</w:t>
            </w:r>
            <w:r w:rsidRPr="5EF294CC">
              <w:rPr>
                <w:rFonts w:ascii="Segoe UI" w:eastAsia="Times New Roman" w:hAnsi="Segoe UI" w:cs="Segoe UI"/>
              </w:rPr>
              <w:t>% to 6</w:t>
            </w:r>
            <w:r w:rsidR="006330C1">
              <w:rPr>
                <w:rFonts w:ascii="Segoe UI" w:eastAsia="Times New Roman" w:hAnsi="Segoe UI" w:cs="Segoe UI"/>
              </w:rPr>
              <w:t>4</w:t>
            </w:r>
            <w:r w:rsidRPr="5EF294CC">
              <w:rPr>
                <w:rFonts w:ascii="Segoe UI" w:eastAsia="Times New Roman" w:hAnsi="Segoe UI" w:cs="Segoe UI"/>
              </w:rPr>
              <w:t>.9%</w:t>
            </w:r>
          </w:p>
        </w:tc>
        <w:tc>
          <w:tcPr>
            <w:tcW w:w="4270" w:type="dxa"/>
            <w:tcBorders>
              <w:bottom w:val="single" w:sz="8" w:space="0" w:color="808080" w:themeColor="background1" w:themeShade="80"/>
              <w:right w:val="single" w:sz="12" w:space="0" w:color="auto"/>
            </w:tcBorders>
            <w:shd w:val="clear" w:color="auto" w:fill="FFFFFF" w:themeFill="background1"/>
            <w:vAlign w:val="center"/>
          </w:tcPr>
          <w:p w14:paraId="18F83E4F" w14:textId="77777777" w:rsidR="006138C4" w:rsidRPr="0007092E" w:rsidRDefault="006138C4" w:rsidP="5EF294CC">
            <w:pPr>
              <w:jc w:val="center"/>
              <w:rPr>
                <w:rFonts w:ascii="Segoe UI" w:eastAsia="Times New Roman" w:hAnsi="Segoe UI" w:cs="Segoe UI"/>
              </w:rPr>
            </w:pPr>
            <w:r w:rsidRPr="5EF294CC">
              <w:rPr>
                <w:rFonts w:ascii="Segoe UI" w:eastAsia="Times New Roman" w:hAnsi="Segoe UI" w:cs="Segoe UI"/>
              </w:rPr>
              <w:t>Needs Intervention</w:t>
            </w:r>
          </w:p>
        </w:tc>
      </w:tr>
      <w:tr w:rsidR="006138C4" w:rsidRPr="0007092E" w14:paraId="799A0A69" w14:textId="77777777" w:rsidTr="5EF294CC">
        <w:trPr>
          <w:trHeight w:val="382"/>
          <w:jc w:val="center"/>
        </w:trPr>
        <w:tc>
          <w:tcPr>
            <w:tcW w:w="3709" w:type="dxa"/>
            <w:tcBorders>
              <w:left w:val="single" w:sz="12" w:space="0" w:color="auto"/>
              <w:bottom w:val="single" w:sz="12" w:space="0" w:color="auto"/>
            </w:tcBorders>
            <w:shd w:val="clear" w:color="auto" w:fill="FFFFFF" w:themeFill="background1"/>
            <w:tcMar>
              <w:top w:w="43" w:type="dxa"/>
              <w:left w:w="216" w:type="dxa"/>
              <w:bottom w:w="43" w:type="dxa"/>
              <w:right w:w="216" w:type="dxa"/>
            </w:tcMar>
            <w:vAlign w:val="center"/>
          </w:tcPr>
          <w:p w14:paraId="3D24FD9F" w14:textId="4CF4AB71" w:rsidR="006138C4" w:rsidRPr="0007092E" w:rsidRDefault="006138C4" w:rsidP="5EF294CC">
            <w:pPr>
              <w:jc w:val="center"/>
              <w:rPr>
                <w:rFonts w:ascii="Segoe UI" w:eastAsia="Times New Roman" w:hAnsi="Segoe UI" w:cs="Segoe UI"/>
              </w:rPr>
            </w:pPr>
            <w:r w:rsidRPr="5EF294CC">
              <w:rPr>
                <w:rFonts w:ascii="Segoe UI" w:eastAsia="Times New Roman" w:hAnsi="Segoe UI" w:cs="Segoe UI"/>
              </w:rPr>
              <w:t>less than 5</w:t>
            </w:r>
            <w:r w:rsidR="006330C1">
              <w:rPr>
                <w:rFonts w:ascii="Segoe UI" w:eastAsia="Times New Roman" w:hAnsi="Segoe UI" w:cs="Segoe UI"/>
              </w:rPr>
              <w:t>0</w:t>
            </w:r>
            <w:r w:rsidRPr="5EF294CC">
              <w:rPr>
                <w:rFonts w:ascii="Segoe UI" w:eastAsia="Times New Roman" w:hAnsi="Segoe UI" w:cs="Segoe UI"/>
              </w:rPr>
              <w:t>%</w:t>
            </w:r>
          </w:p>
        </w:tc>
        <w:tc>
          <w:tcPr>
            <w:tcW w:w="4270" w:type="dxa"/>
            <w:tcBorders>
              <w:bottom w:val="single" w:sz="12" w:space="0" w:color="auto"/>
              <w:right w:val="single" w:sz="12" w:space="0" w:color="auto"/>
            </w:tcBorders>
            <w:shd w:val="clear" w:color="auto" w:fill="FFFFFF" w:themeFill="background1"/>
            <w:vAlign w:val="center"/>
          </w:tcPr>
          <w:p w14:paraId="4F22801F" w14:textId="77777777" w:rsidR="006138C4" w:rsidRPr="0007092E" w:rsidRDefault="006138C4" w:rsidP="5EF294CC">
            <w:pPr>
              <w:jc w:val="center"/>
              <w:rPr>
                <w:rFonts w:ascii="Segoe UI" w:eastAsia="Times New Roman" w:hAnsi="Segoe UI" w:cs="Segoe UI"/>
              </w:rPr>
            </w:pPr>
            <w:r w:rsidRPr="5EF294CC">
              <w:rPr>
                <w:rFonts w:ascii="Segoe UI" w:eastAsia="Times New Roman" w:hAnsi="Segoe UI" w:cs="Segoe UI"/>
              </w:rPr>
              <w:t>Needs Substantial Intervention</w:t>
            </w:r>
          </w:p>
        </w:tc>
      </w:tr>
    </w:tbl>
    <w:p w14:paraId="258E6697" w14:textId="77777777" w:rsidR="006138C4" w:rsidRPr="00F038B8" w:rsidRDefault="006138C4" w:rsidP="5EF294CC">
      <w:pPr>
        <w:autoSpaceDE w:val="0"/>
        <w:autoSpaceDN w:val="0"/>
        <w:adjustRightInd w:val="0"/>
        <w:spacing w:line="254" w:lineRule="auto"/>
        <w:rPr>
          <w:rFonts w:ascii="Tw Cen MT" w:eastAsia="Times New Roman" w:hAnsi="Tw Cen MT" w:cs="Segoe UI"/>
          <w:color w:val="000000"/>
          <w:sz w:val="14"/>
          <w:szCs w:val="14"/>
        </w:rPr>
      </w:pPr>
    </w:p>
    <w:p w14:paraId="71EFB598" w14:textId="20312F00" w:rsidR="006138C4" w:rsidRPr="00C22811" w:rsidRDefault="006138C4" w:rsidP="00C22811">
      <w:pPr>
        <w:autoSpaceDE w:val="0"/>
        <w:autoSpaceDN w:val="0"/>
        <w:adjustRightInd w:val="0"/>
        <w:spacing w:line="254" w:lineRule="auto"/>
        <w:ind w:left="360"/>
        <w:rPr>
          <w:rFonts w:ascii="Tw Cen MT" w:eastAsia="Times New Roman" w:hAnsi="Tw Cen MT" w:cs="Segoe UI"/>
          <w:color w:val="000000"/>
        </w:rPr>
      </w:pPr>
      <w:r w:rsidRPr="5EF294CC">
        <w:rPr>
          <w:rFonts w:ascii="Tw Cen MT" w:eastAsia="Times New Roman" w:hAnsi="Tw Cen MT" w:cs="Segoe UI"/>
          <w:b/>
          <w:bCs/>
          <w:color w:val="000000" w:themeColor="text1"/>
        </w:rPr>
        <w:t>NA:</w:t>
      </w:r>
      <w:r w:rsidRPr="5EF294CC">
        <w:rPr>
          <w:rFonts w:ascii="Tw Cen MT" w:eastAsia="Times New Roman" w:hAnsi="Tw Cen MT" w:cs="Segoe UI"/>
          <w:color w:val="000000" w:themeColor="text1"/>
        </w:rPr>
        <w:t xml:space="preserve">  Indicates that the indicator does not apply for the district. </w:t>
      </w:r>
    </w:p>
    <w:p w14:paraId="0D36CCBA" w14:textId="379B2EA5" w:rsidR="006138C4" w:rsidRPr="00F038B8" w:rsidRDefault="006138C4" w:rsidP="6952A7C3">
      <w:pPr>
        <w:autoSpaceDE w:val="0"/>
        <w:autoSpaceDN w:val="0"/>
        <w:adjustRightInd w:val="0"/>
        <w:spacing w:line="254" w:lineRule="auto"/>
        <w:ind w:left="360"/>
        <w:rPr>
          <w:rFonts w:ascii="Tw Cen MT" w:eastAsia="Times New Roman" w:hAnsi="Tw Cen MT" w:cs="Segoe UI"/>
          <w:color w:val="000000"/>
        </w:rPr>
      </w:pPr>
      <w:r w:rsidRPr="6952A7C3">
        <w:rPr>
          <w:rFonts w:ascii="Tw Cen MT" w:eastAsia="Times New Roman" w:hAnsi="Tw Cen MT" w:cs="Segoe UI"/>
          <w:b/>
          <w:bCs/>
          <w:color w:val="000000" w:themeColor="text1"/>
        </w:rPr>
        <w:t xml:space="preserve">NR:  </w:t>
      </w:r>
      <w:r w:rsidRPr="6952A7C3">
        <w:rPr>
          <w:rFonts w:ascii="Tw Cen MT" w:eastAsia="Times New Roman" w:hAnsi="Tw Cen MT" w:cs="Segoe UI"/>
          <w:color w:val="000000" w:themeColor="text1"/>
        </w:rPr>
        <w:t>Indicates that the district did not submit data to calculate compliance or performance.</w:t>
      </w:r>
      <w:r w:rsidR="3C2163F9" w:rsidRPr="6952A7C3">
        <w:rPr>
          <w:rFonts w:ascii="Tw Cen MT" w:eastAsia="Times New Roman" w:hAnsi="Tw Cen MT" w:cs="Segoe UI"/>
          <w:color w:val="000000" w:themeColor="text1"/>
        </w:rPr>
        <w:t xml:space="preserve"> </w:t>
      </w:r>
      <w:r w:rsidR="736FC5C4" w:rsidRPr="6952A7C3">
        <w:rPr>
          <w:rFonts w:ascii="Tw Cen MT" w:eastAsia="Times New Roman" w:hAnsi="Tw Cen MT" w:cs="Segoe UI"/>
          <w:color w:val="000000" w:themeColor="text1"/>
        </w:rPr>
        <w:t xml:space="preserve">The </w:t>
      </w:r>
      <w:r w:rsidRPr="6952A7C3">
        <w:rPr>
          <w:rFonts w:ascii="Tw Cen MT" w:eastAsia="Times New Roman" w:hAnsi="Tw Cen MT" w:cs="Segoe UI"/>
          <w:color w:val="000000" w:themeColor="text1"/>
        </w:rPr>
        <w:t xml:space="preserve">District does </w:t>
      </w:r>
      <w:r w:rsidR="77579152" w:rsidRPr="6952A7C3">
        <w:rPr>
          <w:rFonts w:ascii="Tw Cen MT" w:eastAsia="Times New Roman" w:hAnsi="Tw Cen MT" w:cs="Segoe UI"/>
          <w:color w:val="000000" w:themeColor="text1"/>
        </w:rPr>
        <w:t xml:space="preserve">   </w:t>
      </w:r>
      <w:r w:rsidRPr="6952A7C3">
        <w:rPr>
          <w:rFonts w:ascii="Tw Cen MT" w:eastAsia="Times New Roman" w:hAnsi="Tw Cen MT" w:cs="Segoe UI"/>
          <w:color w:val="000000" w:themeColor="text1"/>
        </w:rPr>
        <w:t>not meet</w:t>
      </w:r>
      <w:r w:rsidR="34D30A4A" w:rsidRPr="6952A7C3">
        <w:rPr>
          <w:rFonts w:ascii="Tw Cen MT" w:eastAsia="Times New Roman" w:hAnsi="Tw Cen MT" w:cs="Segoe UI"/>
          <w:color w:val="000000" w:themeColor="text1"/>
        </w:rPr>
        <w:t xml:space="preserve"> the</w:t>
      </w:r>
      <w:r w:rsidRPr="6952A7C3">
        <w:rPr>
          <w:rFonts w:ascii="Tw Cen MT" w:eastAsia="Times New Roman" w:hAnsi="Tw Cen MT" w:cs="Segoe UI"/>
          <w:color w:val="000000" w:themeColor="text1"/>
        </w:rPr>
        <w:t xml:space="preserve"> target.</w:t>
      </w:r>
    </w:p>
    <w:tbl>
      <w:tblPr>
        <w:tblpPr w:leftFromText="180" w:rightFromText="180" w:vertAnchor="text" w:horzAnchor="margin" w:tblpXSpec="center" w:tblpY="-6"/>
        <w:tblW w:w="0" w:type="auto"/>
        <w:tblBorders>
          <w:top w:val="single" w:sz="4" w:space="0" w:color="auto"/>
          <w:bottom w:val="single" w:sz="4" w:space="0" w:color="auto"/>
          <w:insideH w:val="single" w:sz="4" w:space="0" w:color="999999"/>
          <w:insideV w:val="single" w:sz="4" w:space="0" w:color="auto"/>
        </w:tblBorders>
        <w:tblLayout w:type="fixed"/>
        <w:tblCellMar>
          <w:top w:w="72" w:type="dxa"/>
          <w:left w:w="72" w:type="dxa"/>
          <w:bottom w:w="72" w:type="dxa"/>
          <w:right w:w="72" w:type="dxa"/>
        </w:tblCellMar>
        <w:tblLook w:val="01E0" w:firstRow="1" w:lastRow="1" w:firstColumn="1" w:lastColumn="1" w:noHBand="0" w:noVBand="0"/>
      </w:tblPr>
      <w:tblGrid>
        <w:gridCol w:w="10085"/>
      </w:tblGrid>
      <w:tr w:rsidR="006138C4" w:rsidRPr="00F038B8" w14:paraId="09BB7474" w14:textId="77777777" w:rsidTr="2469CE08">
        <w:trPr>
          <w:trHeight w:val="1041"/>
        </w:trPr>
        <w:tc>
          <w:tcPr>
            <w:tcW w:w="10085" w:type="dxa"/>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vAlign w:val="center"/>
          </w:tcPr>
          <w:p w14:paraId="0A58BF9C" w14:textId="6187467C" w:rsidR="006138C4" w:rsidRPr="00F038B8" w:rsidRDefault="006138C4" w:rsidP="5EF294CC">
            <w:pPr>
              <w:spacing w:line="254" w:lineRule="auto"/>
              <w:ind w:left="144" w:right="144"/>
              <w:jc w:val="center"/>
              <w:rPr>
                <w:rFonts w:ascii="Tw Cen MT" w:eastAsia="Times New Roman" w:hAnsi="Tw Cen MT" w:cs="Segoe UI"/>
              </w:rPr>
            </w:pPr>
            <w:r w:rsidRPr="2469CE08">
              <w:rPr>
                <w:rFonts w:ascii="Tw Cen MT" w:eastAsia="Times New Roman" w:hAnsi="Tw Cen MT" w:cs="Segoe UI"/>
              </w:rPr>
              <w:t>For more information, the FFY 20</w:t>
            </w:r>
            <w:r w:rsidR="79609EB3" w:rsidRPr="2469CE08">
              <w:rPr>
                <w:rFonts w:ascii="Tw Cen MT" w:eastAsia="Times New Roman" w:hAnsi="Tw Cen MT" w:cs="Segoe UI"/>
              </w:rPr>
              <w:t>24</w:t>
            </w:r>
            <w:r w:rsidRPr="2469CE08">
              <w:rPr>
                <w:rFonts w:ascii="Tw Cen MT" w:eastAsia="Times New Roman" w:hAnsi="Tw Cen MT" w:cs="Segoe UI"/>
              </w:rPr>
              <w:t xml:space="preserve"> </w:t>
            </w:r>
            <w:r w:rsidRPr="2469CE08">
              <w:rPr>
                <w:rFonts w:ascii="Tw Cen MT" w:eastAsia="Times New Roman" w:hAnsi="Tw Cen MT" w:cs="Segoe UI"/>
                <w:i/>
                <w:iCs/>
              </w:rPr>
              <w:t>Oklahoma Annual Performance Report</w:t>
            </w:r>
            <w:r w:rsidRPr="2469CE08">
              <w:rPr>
                <w:rFonts w:ascii="Tw Cen MT" w:eastAsia="Times New Roman" w:hAnsi="Tw Cen MT" w:cs="Segoe UI"/>
              </w:rPr>
              <w:t xml:space="preserve"> (APR) can be located on the</w:t>
            </w:r>
            <w:r w:rsidR="381382F5" w:rsidRPr="2469CE08">
              <w:rPr>
                <w:rFonts w:ascii="Tw Cen MT" w:eastAsia="Times New Roman" w:hAnsi="Tw Cen MT" w:cs="Segoe UI"/>
              </w:rPr>
              <w:t xml:space="preserve"> OSDE-SES</w:t>
            </w:r>
            <w:r w:rsidRPr="2469CE08">
              <w:rPr>
                <w:rFonts w:ascii="Tw Cen MT" w:eastAsia="Times New Roman" w:hAnsi="Tw Cen MT" w:cs="Segoe UI"/>
              </w:rPr>
              <w:t xml:space="preserve"> </w:t>
            </w:r>
            <w:hyperlink r:id="rId28">
              <w:r w:rsidRPr="00B37785">
                <w:rPr>
                  <w:rStyle w:val="Hyperlink"/>
                  <w:rFonts w:ascii="Tw Cen MT" w:eastAsia="Times New Roman" w:hAnsi="Tw Cen MT" w:cs="Segoe UI"/>
                  <w:color w:val="auto"/>
                </w:rPr>
                <w:t>website</w:t>
              </w:r>
            </w:hyperlink>
            <w:r w:rsidR="64EE97A9" w:rsidRPr="2469CE08">
              <w:rPr>
                <w:rFonts w:ascii="Tw Cen MT" w:eastAsia="Times New Roman" w:hAnsi="Tw Cen MT" w:cs="Segoe UI"/>
              </w:rPr>
              <w:t xml:space="preserve"> under the Special Education Data Reporting heading. </w:t>
            </w:r>
            <w:r w:rsidRPr="2469CE08">
              <w:rPr>
                <w:rFonts w:ascii="Tw Cen MT" w:eastAsia="Times New Roman" w:hAnsi="Tw Cen MT" w:cs="Segoe UI"/>
              </w:rPr>
              <w:t xml:space="preserve"> </w:t>
            </w:r>
          </w:p>
        </w:tc>
      </w:tr>
    </w:tbl>
    <w:p w14:paraId="18757550" w14:textId="19E4E93F" w:rsidR="006138C4" w:rsidRDefault="006138C4" w:rsidP="5EF294CC">
      <w:pPr>
        <w:spacing w:line="254" w:lineRule="auto"/>
        <w:rPr>
          <w:rFonts w:ascii="Tw Cen MT" w:hAnsi="Tw Cen MT"/>
          <w:sz w:val="4"/>
          <w:szCs w:val="4"/>
        </w:rPr>
        <w:sectPr w:rsidR="006138C4" w:rsidSect="006138C4">
          <w:headerReference w:type="default" r:id="rId29"/>
          <w:footerReference w:type="default" r:id="rId30"/>
          <w:headerReference w:type="first" r:id="rId31"/>
          <w:footerReference w:type="first" r:id="rId32"/>
          <w:type w:val="continuous"/>
          <w:pgSz w:w="12240" w:h="15840" w:code="1"/>
          <w:pgMar w:top="720" w:right="720" w:bottom="450" w:left="720" w:header="720" w:footer="720" w:gutter="0"/>
          <w:pgNumType w:start="1"/>
          <w:cols w:space="720"/>
          <w:docGrid w:linePitch="360"/>
        </w:sectPr>
      </w:pPr>
    </w:p>
    <w:p w14:paraId="7804AC82" w14:textId="67C7F522" w:rsidR="00A1517D" w:rsidRPr="00A1517D" w:rsidRDefault="00A1517D" w:rsidP="5EF294CC">
      <w:pPr>
        <w:spacing w:after="0" w:line="240" w:lineRule="auto"/>
        <w:rPr>
          <w:rFonts w:eastAsia="Times New Roman" w:cs="Segoe UI"/>
          <w:color w:val="000000" w:themeColor="text1"/>
          <w:sz w:val="56"/>
          <w:szCs w:val="56"/>
        </w:rPr>
      </w:pPr>
    </w:p>
    <w:sectPr w:rsidR="00A1517D" w:rsidRPr="00A1517D" w:rsidSect="00372662">
      <w:headerReference w:type="default" r:id="rId33"/>
      <w:footerReference w:type="default" r:id="rId34"/>
      <w:headerReference w:type="first" r:id="rId35"/>
      <w:footerReference w:type="first" r:id="rId36"/>
      <w:type w:val="continuous"/>
      <w:pgSz w:w="12240" w:h="15840" w:code="1"/>
      <w:pgMar w:top="1440" w:right="1440" w:bottom="990" w:left="1440" w:header="720" w:footer="645"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Sherri Coats" w:date="2026-06-25T22:29:00Z" w:initials="SC">
    <w:p w14:paraId="0B2E5F57" w14:textId="00F83048" w:rsidR="007E4341" w:rsidRDefault="001D146F">
      <w:pPr>
        <w:pStyle w:val="CommentText"/>
      </w:pPr>
      <w:r>
        <w:rPr>
          <w:rStyle w:val="CommentReference"/>
        </w:rPr>
        <w:annotationRef/>
      </w:r>
      <w:r w:rsidRPr="5DA9E65F">
        <w:t>I am not sure this is accurate.  Do we have any authority we can cite for this?</w:t>
      </w:r>
    </w:p>
  </w:comment>
  <w:comment w:id="4" w:author="Sherri Coats" w:date="2026-06-25T22:34:00Z" w:initials="SC">
    <w:p w14:paraId="180DA9AB" w14:textId="7B82400F" w:rsidR="007E4341" w:rsidRDefault="001D146F">
      <w:pPr>
        <w:pStyle w:val="CommentText"/>
      </w:pPr>
      <w:r>
        <w:rPr>
          <w:rStyle w:val="CommentReference"/>
        </w:rPr>
        <w:annotationRef/>
      </w:r>
      <w:r w:rsidRPr="065C73BC">
        <w:t>consider striking this part</w:t>
      </w:r>
    </w:p>
  </w:comment>
  <w:comment w:id="5" w:author="Sherri Coats" w:date="2026-06-25T22:36:00Z" w:initials="SC">
    <w:p w14:paraId="7C3AF3EE" w14:textId="459304C0" w:rsidR="007E4341" w:rsidRDefault="001D146F">
      <w:pPr>
        <w:pStyle w:val="CommentText"/>
      </w:pPr>
      <w:r>
        <w:rPr>
          <w:rStyle w:val="CommentReference"/>
        </w:rPr>
        <w:annotationRef/>
      </w:r>
      <w:r w:rsidRPr="02CA2757">
        <w:t>consider adding functional needs</w:t>
      </w:r>
    </w:p>
  </w:comment>
  <w:comment w:id="6" w:author="Sherri Coats" w:date="2026-06-25T22:37:00Z" w:initials="SC">
    <w:p w14:paraId="6BED61E0" w14:textId="4C3F9E20" w:rsidR="007E4341" w:rsidRDefault="001D146F">
      <w:pPr>
        <w:pStyle w:val="CommentText"/>
      </w:pPr>
      <w:r>
        <w:rPr>
          <w:rStyle w:val="CommentReference"/>
        </w:rPr>
        <w:annotationRef/>
      </w:r>
      <w:r w:rsidRPr="12468A1A">
        <w:t>needs</w:t>
      </w:r>
    </w:p>
  </w:comment>
  <w:comment w:id="8" w:author="Sherri Coats" w:date="2026-06-25T22:51:00Z" w:initials="SC">
    <w:p w14:paraId="6B3FF406" w14:textId="3931791F" w:rsidR="007E4341" w:rsidRDefault="001D146F">
      <w:pPr>
        <w:pStyle w:val="CommentText"/>
      </w:pPr>
      <w:r>
        <w:rPr>
          <w:rStyle w:val="CommentReference"/>
        </w:rPr>
        <w:annotationRef/>
      </w:r>
      <w:r w:rsidRPr="77C75BB8">
        <w:t>choose one of these sentences or combine them.  Both is duplicative.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2E5F57" w15:done="1"/>
  <w15:commentEx w15:paraId="180DA9AB" w15:done="1"/>
  <w15:commentEx w15:paraId="7C3AF3EE" w15:done="1"/>
  <w15:commentEx w15:paraId="6BED61E0" w15:done="1"/>
  <w15:commentEx w15:paraId="6B3FF40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83B010" w16cex:dateUtc="2026-06-26T03:29:00Z"/>
  <w16cex:commentExtensible w16cex:durableId="1F629DEA" w16cex:dateUtc="2026-06-26T03:34:00Z"/>
  <w16cex:commentExtensible w16cex:durableId="32193701" w16cex:dateUtc="2026-06-26T03:36:00Z"/>
  <w16cex:commentExtensible w16cex:durableId="4961FBA9" w16cex:dateUtc="2026-06-26T03:37:00Z"/>
  <w16cex:commentExtensible w16cex:durableId="2F6B474B" w16cex:dateUtc="2026-06-26T03: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2E5F57" w16cid:durableId="1C83B010"/>
  <w16cid:commentId w16cid:paraId="180DA9AB" w16cid:durableId="1F629DEA"/>
  <w16cid:commentId w16cid:paraId="7C3AF3EE" w16cid:durableId="32193701"/>
  <w16cid:commentId w16cid:paraId="6BED61E0" w16cid:durableId="4961FBA9"/>
  <w16cid:commentId w16cid:paraId="6B3FF406" w16cid:durableId="2F6B474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4A947" w14:textId="77777777" w:rsidR="00FB3FF3" w:rsidRDefault="00FB3FF3" w:rsidP="004B2BBC">
      <w:pPr>
        <w:spacing w:after="0" w:line="240" w:lineRule="auto"/>
      </w:pPr>
      <w:r>
        <w:separator/>
      </w:r>
    </w:p>
  </w:endnote>
  <w:endnote w:type="continuationSeparator" w:id="0">
    <w:p w14:paraId="661559E5" w14:textId="77777777" w:rsidR="00FB3FF3" w:rsidRDefault="00FB3FF3" w:rsidP="004B2BBC">
      <w:pPr>
        <w:spacing w:after="0" w:line="240" w:lineRule="auto"/>
      </w:pPr>
      <w:r>
        <w:continuationSeparator/>
      </w:r>
    </w:p>
  </w:endnote>
  <w:endnote w:type="continuationNotice" w:id="1">
    <w:p w14:paraId="4CAE5D35" w14:textId="77777777" w:rsidR="00FB3FF3" w:rsidRDefault="00FB3F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Cambria"/>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HGPGothicE">
    <w:charset w:val="80"/>
    <w:family w:val="swiss"/>
    <w:pitch w:val="variable"/>
    <w:sig w:usb0="E00002FF" w:usb1="2AC7EDFE" w:usb2="00000012" w:usb3="00000000" w:csb0="0002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650D9" w14:paraId="286099CF" w14:textId="77777777" w:rsidTr="03D650D9">
      <w:trPr>
        <w:trHeight w:val="300"/>
      </w:trPr>
      <w:tc>
        <w:tcPr>
          <w:tcW w:w="3600" w:type="dxa"/>
        </w:tcPr>
        <w:p w14:paraId="4148BBBF" w14:textId="6CE0600B" w:rsidR="03D650D9" w:rsidRDefault="03D650D9" w:rsidP="03D650D9">
          <w:pPr>
            <w:pStyle w:val="Header"/>
            <w:ind w:left="-115"/>
            <w:jc w:val="left"/>
          </w:pPr>
        </w:p>
      </w:tc>
      <w:tc>
        <w:tcPr>
          <w:tcW w:w="3600" w:type="dxa"/>
        </w:tcPr>
        <w:p w14:paraId="5AA090A6" w14:textId="150AEFA6" w:rsidR="03D650D9" w:rsidRDefault="03D650D9" w:rsidP="03D650D9">
          <w:pPr>
            <w:pStyle w:val="Header"/>
            <w:jc w:val="center"/>
          </w:pPr>
        </w:p>
      </w:tc>
      <w:tc>
        <w:tcPr>
          <w:tcW w:w="3600" w:type="dxa"/>
        </w:tcPr>
        <w:p w14:paraId="351EAD45" w14:textId="5EFF8006" w:rsidR="03D650D9" w:rsidRDefault="03D650D9" w:rsidP="03D650D9">
          <w:pPr>
            <w:pStyle w:val="Header"/>
            <w:ind w:right="-115"/>
            <w:jc w:val="right"/>
          </w:pPr>
          <w:r>
            <w:fldChar w:fldCharType="begin"/>
          </w:r>
          <w:r>
            <w:instrText>PAGE</w:instrText>
          </w:r>
          <w:r>
            <w:fldChar w:fldCharType="separate"/>
          </w:r>
          <w:r w:rsidR="009546EE">
            <w:rPr>
              <w:noProof/>
            </w:rPr>
            <w:t>1</w:t>
          </w:r>
          <w:r>
            <w:fldChar w:fldCharType="end"/>
          </w:r>
        </w:p>
      </w:tc>
    </w:tr>
  </w:tbl>
  <w:p w14:paraId="39270532" w14:textId="65093992" w:rsidR="03D650D9" w:rsidRDefault="03D650D9" w:rsidP="03D650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650D9" w14:paraId="1D11B8D7" w14:textId="77777777" w:rsidTr="03D650D9">
      <w:trPr>
        <w:trHeight w:val="300"/>
      </w:trPr>
      <w:tc>
        <w:tcPr>
          <w:tcW w:w="3600" w:type="dxa"/>
        </w:tcPr>
        <w:p w14:paraId="7EBA5806" w14:textId="003A71C8" w:rsidR="03D650D9" w:rsidRDefault="03D650D9" w:rsidP="03D650D9">
          <w:pPr>
            <w:pStyle w:val="Header"/>
            <w:ind w:left="-115"/>
            <w:jc w:val="left"/>
          </w:pPr>
        </w:p>
      </w:tc>
      <w:tc>
        <w:tcPr>
          <w:tcW w:w="3600" w:type="dxa"/>
        </w:tcPr>
        <w:p w14:paraId="0267EEA2" w14:textId="280176F2" w:rsidR="03D650D9" w:rsidRDefault="03D650D9" w:rsidP="03D650D9">
          <w:pPr>
            <w:pStyle w:val="Header"/>
            <w:jc w:val="center"/>
          </w:pPr>
        </w:p>
      </w:tc>
      <w:tc>
        <w:tcPr>
          <w:tcW w:w="3600" w:type="dxa"/>
        </w:tcPr>
        <w:p w14:paraId="30DBCD92" w14:textId="54B9EA6B" w:rsidR="03D650D9" w:rsidRDefault="03D650D9" w:rsidP="03D650D9">
          <w:pPr>
            <w:pStyle w:val="Header"/>
            <w:ind w:right="-115"/>
            <w:jc w:val="right"/>
          </w:pPr>
        </w:p>
      </w:tc>
    </w:tr>
  </w:tbl>
  <w:p w14:paraId="2164FA0A" w14:textId="46F6F52D" w:rsidR="03D650D9" w:rsidRDefault="03D650D9" w:rsidP="03D650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C35CD" w14:textId="405DA188" w:rsidR="00EB1ED0" w:rsidRPr="00FA5009" w:rsidRDefault="0048376F">
    <w:pPr>
      <w:pStyle w:val="Footer"/>
      <w:jc w:val="right"/>
      <w:rPr>
        <w:rFonts w:ascii="Segoe UI" w:hAnsi="Segoe UI" w:cs="Segoe UI"/>
      </w:rPr>
    </w:pPr>
    <w:r>
      <w:fldChar w:fldCharType="begin"/>
    </w:r>
    <w:r>
      <w:instrText>PAGE</w:instrText>
    </w:r>
    <w:r>
      <w:fldChar w:fldCharType="separate"/>
    </w:r>
    <w:r>
      <w:fldChar w:fldCharType="end"/>
    </w:r>
    <w:sdt>
      <w:sdtPr>
        <w:id w:val="-1581134518"/>
        <w:showingPlcHdr/>
        <w:docPartObj>
          <w:docPartGallery w:val="Page Numbers (Bottom of Page)"/>
          <w:docPartUnique/>
        </w:docPartObj>
      </w:sdtPr>
      <w:sdtEndPr>
        <w:rPr>
          <w:rFonts w:ascii="Segoe UI" w:hAnsi="Segoe UI" w:cs="Segoe UI"/>
          <w:noProof/>
        </w:rPr>
      </w:sdtEndPr>
      <w:sdtContent>
        <w:r w:rsidR="03D650D9" w:rsidRPr="03D650D9">
          <w:rPr>
            <w:rStyle w:val="PlaceholderText"/>
          </w:rPr>
          <w:t xml:space="preserve">     </w:t>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EB1ED0" w14:paraId="5DD0EE77" w14:textId="77777777" w:rsidTr="5EF294CC">
      <w:tc>
        <w:tcPr>
          <w:tcW w:w="3120" w:type="dxa"/>
        </w:tcPr>
        <w:p w14:paraId="2448404F" w14:textId="14DCB20F" w:rsidR="00EB1ED0" w:rsidRDefault="00EB1ED0" w:rsidP="693CA0B2">
          <w:pPr>
            <w:pStyle w:val="Header"/>
            <w:ind w:left="-115"/>
            <w:jc w:val="left"/>
          </w:pPr>
        </w:p>
      </w:tc>
      <w:tc>
        <w:tcPr>
          <w:tcW w:w="3120" w:type="dxa"/>
        </w:tcPr>
        <w:p w14:paraId="7B6D4A7A" w14:textId="1334B24B" w:rsidR="00EB1ED0" w:rsidRDefault="00EB1ED0" w:rsidP="693CA0B2">
          <w:pPr>
            <w:pStyle w:val="Header"/>
            <w:jc w:val="center"/>
          </w:pPr>
        </w:p>
      </w:tc>
      <w:tc>
        <w:tcPr>
          <w:tcW w:w="3120" w:type="dxa"/>
        </w:tcPr>
        <w:p w14:paraId="4A3F8976" w14:textId="169559CC" w:rsidR="00EB1ED0" w:rsidRDefault="00EB1ED0" w:rsidP="693CA0B2">
          <w:pPr>
            <w:pStyle w:val="Header"/>
            <w:ind w:right="-115"/>
            <w:jc w:val="right"/>
          </w:pPr>
        </w:p>
      </w:tc>
    </w:tr>
  </w:tbl>
  <w:p w14:paraId="0FFE47EB" w14:textId="6E84B25C" w:rsidR="00EB1ED0" w:rsidRDefault="00EB1ED0" w:rsidP="693CA0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EEA1E" w14:textId="77777777" w:rsidR="00FB3FF3" w:rsidRDefault="00FB3FF3" w:rsidP="004B2BBC">
      <w:pPr>
        <w:spacing w:after="0" w:line="240" w:lineRule="auto"/>
      </w:pPr>
      <w:r>
        <w:separator/>
      </w:r>
    </w:p>
  </w:footnote>
  <w:footnote w:type="continuationSeparator" w:id="0">
    <w:p w14:paraId="0FF6FEA1" w14:textId="77777777" w:rsidR="00FB3FF3" w:rsidRDefault="00FB3FF3" w:rsidP="004B2BBC">
      <w:pPr>
        <w:spacing w:after="0" w:line="240" w:lineRule="auto"/>
      </w:pPr>
      <w:r>
        <w:continuationSeparator/>
      </w:r>
    </w:p>
  </w:footnote>
  <w:footnote w:type="continuationNotice" w:id="1">
    <w:p w14:paraId="538E87F2" w14:textId="77777777" w:rsidR="00FB3FF3" w:rsidRDefault="00FB3F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B8ACB" w14:textId="1C50A6CE" w:rsidR="006138C4" w:rsidRPr="00F038B8" w:rsidRDefault="006138C4" w:rsidP="5EF294CC">
    <w:pPr>
      <w:pStyle w:val="Header"/>
      <w:jc w:val="center"/>
      <w:rPr>
        <w:rFonts w:ascii="Tw Cen MT" w:hAnsi="Tw Cen MT" w:cs="Segoe UI"/>
        <w:b/>
        <w:bCs/>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650D9" w14:paraId="06E3CCFE" w14:textId="77777777" w:rsidTr="03D650D9">
      <w:trPr>
        <w:trHeight w:val="300"/>
      </w:trPr>
      <w:tc>
        <w:tcPr>
          <w:tcW w:w="3600" w:type="dxa"/>
        </w:tcPr>
        <w:p w14:paraId="4AA2DB57" w14:textId="07917F98" w:rsidR="03D650D9" w:rsidRDefault="03D650D9" w:rsidP="03D650D9">
          <w:pPr>
            <w:pStyle w:val="Header"/>
            <w:ind w:left="-115"/>
            <w:jc w:val="left"/>
          </w:pPr>
        </w:p>
      </w:tc>
      <w:tc>
        <w:tcPr>
          <w:tcW w:w="3600" w:type="dxa"/>
        </w:tcPr>
        <w:p w14:paraId="1A612024" w14:textId="12C5FB0F" w:rsidR="03D650D9" w:rsidRDefault="03D650D9" w:rsidP="03D650D9">
          <w:pPr>
            <w:pStyle w:val="Header"/>
            <w:jc w:val="center"/>
          </w:pPr>
        </w:p>
      </w:tc>
      <w:tc>
        <w:tcPr>
          <w:tcW w:w="3600" w:type="dxa"/>
        </w:tcPr>
        <w:p w14:paraId="456C64DA" w14:textId="024A44FB" w:rsidR="03D650D9" w:rsidRDefault="03D650D9" w:rsidP="03D650D9">
          <w:pPr>
            <w:pStyle w:val="Header"/>
            <w:ind w:right="-115"/>
            <w:jc w:val="right"/>
          </w:pPr>
        </w:p>
      </w:tc>
    </w:tr>
  </w:tbl>
  <w:p w14:paraId="49F9F5A9" w14:textId="16C3D081" w:rsidR="03D650D9" w:rsidRDefault="03D650D9" w:rsidP="03D650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A339F" w14:textId="77777777" w:rsidR="00EB1ED0" w:rsidRPr="00B37785" w:rsidRDefault="5EF294CC" w:rsidP="00DC4A75">
    <w:pPr>
      <w:pStyle w:val="Header"/>
      <w:jc w:val="right"/>
    </w:pPr>
    <w:r w:rsidRPr="00B37785">
      <w:t>Oklahoma State Department of Education | Special Education Services</w:t>
    </w:r>
  </w:p>
  <w:p w14:paraId="189B0F97" w14:textId="04B0C549" w:rsidR="00EB1ED0" w:rsidRPr="00B37785" w:rsidRDefault="5EF294CC" w:rsidP="00DC4A75">
    <w:pPr>
      <w:pStyle w:val="Header"/>
      <w:jc w:val="right"/>
    </w:pPr>
    <w:r w:rsidRPr="00B37785">
      <w:t>July 2023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EB1ED0" w14:paraId="37E973A3" w14:textId="77777777" w:rsidTr="5EF294CC">
      <w:tc>
        <w:tcPr>
          <w:tcW w:w="3120" w:type="dxa"/>
        </w:tcPr>
        <w:p w14:paraId="4BB83C5D" w14:textId="61F5B62A" w:rsidR="00EB1ED0" w:rsidRDefault="00EB1ED0" w:rsidP="693CA0B2">
          <w:pPr>
            <w:pStyle w:val="Header"/>
            <w:ind w:left="-115"/>
            <w:jc w:val="left"/>
          </w:pPr>
        </w:p>
      </w:tc>
      <w:tc>
        <w:tcPr>
          <w:tcW w:w="3120" w:type="dxa"/>
        </w:tcPr>
        <w:p w14:paraId="353CE0E9" w14:textId="785D1984" w:rsidR="00EB1ED0" w:rsidRDefault="00EB1ED0" w:rsidP="693CA0B2">
          <w:pPr>
            <w:pStyle w:val="Header"/>
            <w:jc w:val="center"/>
          </w:pPr>
        </w:p>
      </w:tc>
      <w:tc>
        <w:tcPr>
          <w:tcW w:w="3120" w:type="dxa"/>
        </w:tcPr>
        <w:p w14:paraId="17B29184" w14:textId="2E62030B" w:rsidR="00EB1ED0" w:rsidRDefault="00EB1ED0" w:rsidP="693CA0B2">
          <w:pPr>
            <w:pStyle w:val="Header"/>
            <w:ind w:right="-115"/>
            <w:jc w:val="right"/>
          </w:pPr>
        </w:p>
      </w:tc>
    </w:tr>
  </w:tbl>
  <w:p w14:paraId="3392F7AD" w14:textId="61E3CFB3" w:rsidR="00EB1ED0" w:rsidRDefault="00EB1ED0" w:rsidP="693CA0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B2F6"/>
    <w:multiLevelType w:val="hybridMultilevel"/>
    <w:tmpl w:val="340ABACC"/>
    <w:lvl w:ilvl="0" w:tplc="9A567F08">
      <w:start w:val="1"/>
      <w:numFmt w:val="bullet"/>
      <w:lvlText w:val=""/>
      <w:lvlJc w:val="left"/>
      <w:pPr>
        <w:ind w:left="720" w:hanging="360"/>
      </w:pPr>
      <w:rPr>
        <w:rFonts w:ascii="Symbol" w:hAnsi="Symbol" w:hint="default"/>
      </w:rPr>
    </w:lvl>
    <w:lvl w:ilvl="1" w:tplc="F89E5242">
      <w:start w:val="1"/>
      <w:numFmt w:val="bullet"/>
      <w:lvlText w:val="o"/>
      <w:lvlJc w:val="left"/>
      <w:pPr>
        <w:ind w:left="1440" w:hanging="360"/>
      </w:pPr>
      <w:rPr>
        <w:rFonts w:ascii="Courier New" w:hAnsi="Courier New" w:hint="default"/>
      </w:rPr>
    </w:lvl>
    <w:lvl w:ilvl="2" w:tplc="30BC1C1A">
      <w:start w:val="1"/>
      <w:numFmt w:val="bullet"/>
      <w:lvlText w:val=""/>
      <w:lvlJc w:val="left"/>
      <w:pPr>
        <w:ind w:left="2160" w:hanging="360"/>
      </w:pPr>
      <w:rPr>
        <w:rFonts w:ascii="Wingdings" w:hAnsi="Wingdings" w:hint="default"/>
      </w:rPr>
    </w:lvl>
    <w:lvl w:ilvl="3" w:tplc="59DEF8DA">
      <w:start w:val="1"/>
      <w:numFmt w:val="bullet"/>
      <w:lvlText w:val=""/>
      <w:lvlJc w:val="left"/>
      <w:pPr>
        <w:ind w:left="2880" w:hanging="360"/>
      </w:pPr>
      <w:rPr>
        <w:rFonts w:ascii="Symbol" w:hAnsi="Symbol" w:hint="default"/>
      </w:rPr>
    </w:lvl>
    <w:lvl w:ilvl="4" w:tplc="7DF2462A">
      <w:start w:val="1"/>
      <w:numFmt w:val="bullet"/>
      <w:lvlText w:val="o"/>
      <w:lvlJc w:val="left"/>
      <w:pPr>
        <w:ind w:left="3600" w:hanging="360"/>
      </w:pPr>
      <w:rPr>
        <w:rFonts w:ascii="Courier New" w:hAnsi="Courier New" w:hint="default"/>
      </w:rPr>
    </w:lvl>
    <w:lvl w:ilvl="5" w:tplc="38DE2758">
      <w:start w:val="1"/>
      <w:numFmt w:val="bullet"/>
      <w:lvlText w:val=""/>
      <w:lvlJc w:val="left"/>
      <w:pPr>
        <w:ind w:left="4320" w:hanging="360"/>
      </w:pPr>
      <w:rPr>
        <w:rFonts w:ascii="Wingdings" w:hAnsi="Wingdings" w:hint="default"/>
      </w:rPr>
    </w:lvl>
    <w:lvl w:ilvl="6" w:tplc="A00671EA">
      <w:start w:val="1"/>
      <w:numFmt w:val="bullet"/>
      <w:lvlText w:val=""/>
      <w:lvlJc w:val="left"/>
      <w:pPr>
        <w:ind w:left="5040" w:hanging="360"/>
      </w:pPr>
      <w:rPr>
        <w:rFonts w:ascii="Symbol" w:hAnsi="Symbol" w:hint="default"/>
      </w:rPr>
    </w:lvl>
    <w:lvl w:ilvl="7" w:tplc="9F0056B6">
      <w:start w:val="1"/>
      <w:numFmt w:val="bullet"/>
      <w:lvlText w:val="o"/>
      <w:lvlJc w:val="left"/>
      <w:pPr>
        <w:ind w:left="5760" w:hanging="360"/>
      </w:pPr>
      <w:rPr>
        <w:rFonts w:ascii="Courier New" w:hAnsi="Courier New" w:hint="default"/>
      </w:rPr>
    </w:lvl>
    <w:lvl w:ilvl="8" w:tplc="063EB0AC">
      <w:start w:val="1"/>
      <w:numFmt w:val="bullet"/>
      <w:lvlText w:val=""/>
      <w:lvlJc w:val="left"/>
      <w:pPr>
        <w:ind w:left="6480" w:hanging="360"/>
      </w:pPr>
      <w:rPr>
        <w:rFonts w:ascii="Wingdings" w:hAnsi="Wingdings" w:hint="default"/>
      </w:rPr>
    </w:lvl>
  </w:abstractNum>
  <w:abstractNum w:abstractNumId="1" w15:restartNumberingAfterBreak="0">
    <w:nsid w:val="02BD0D93"/>
    <w:multiLevelType w:val="hybridMultilevel"/>
    <w:tmpl w:val="ECA2A4FA"/>
    <w:lvl w:ilvl="0" w:tplc="9E76A4DA">
      <w:start w:val="1"/>
      <w:numFmt w:val="bullet"/>
      <w:lvlText w:val=""/>
      <w:lvlJc w:val="left"/>
      <w:pPr>
        <w:ind w:left="720" w:hanging="360"/>
      </w:pPr>
      <w:rPr>
        <w:rFonts w:ascii="Symbol" w:hAnsi="Symbol" w:hint="default"/>
      </w:rPr>
    </w:lvl>
    <w:lvl w:ilvl="1" w:tplc="AEC07488">
      <w:start w:val="1"/>
      <w:numFmt w:val="bullet"/>
      <w:lvlText w:val="o"/>
      <w:lvlJc w:val="left"/>
      <w:pPr>
        <w:ind w:left="1440" w:hanging="360"/>
      </w:pPr>
      <w:rPr>
        <w:rFonts w:ascii="Courier New" w:hAnsi="Courier New" w:hint="default"/>
      </w:rPr>
    </w:lvl>
    <w:lvl w:ilvl="2" w:tplc="26643728">
      <w:start w:val="1"/>
      <w:numFmt w:val="bullet"/>
      <w:lvlText w:val=""/>
      <w:lvlJc w:val="left"/>
      <w:pPr>
        <w:ind w:left="2160" w:hanging="360"/>
      </w:pPr>
      <w:rPr>
        <w:rFonts w:ascii="Wingdings" w:hAnsi="Wingdings" w:hint="default"/>
      </w:rPr>
    </w:lvl>
    <w:lvl w:ilvl="3" w:tplc="7F66E312">
      <w:start w:val="1"/>
      <w:numFmt w:val="bullet"/>
      <w:lvlText w:val=""/>
      <w:lvlJc w:val="left"/>
      <w:pPr>
        <w:ind w:left="2880" w:hanging="360"/>
      </w:pPr>
      <w:rPr>
        <w:rFonts w:ascii="Symbol" w:hAnsi="Symbol" w:hint="default"/>
      </w:rPr>
    </w:lvl>
    <w:lvl w:ilvl="4" w:tplc="D1F8A32E">
      <w:start w:val="1"/>
      <w:numFmt w:val="bullet"/>
      <w:lvlText w:val="o"/>
      <w:lvlJc w:val="left"/>
      <w:pPr>
        <w:ind w:left="3600" w:hanging="360"/>
      </w:pPr>
      <w:rPr>
        <w:rFonts w:ascii="Courier New" w:hAnsi="Courier New" w:hint="default"/>
      </w:rPr>
    </w:lvl>
    <w:lvl w:ilvl="5" w:tplc="9BB8497C">
      <w:start w:val="1"/>
      <w:numFmt w:val="bullet"/>
      <w:lvlText w:val=""/>
      <w:lvlJc w:val="left"/>
      <w:pPr>
        <w:ind w:left="4320" w:hanging="360"/>
      </w:pPr>
      <w:rPr>
        <w:rFonts w:ascii="Wingdings" w:hAnsi="Wingdings" w:hint="default"/>
      </w:rPr>
    </w:lvl>
    <w:lvl w:ilvl="6" w:tplc="ACCC7D28">
      <w:start w:val="1"/>
      <w:numFmt w:val="bullet"/>
      <w:lvlText w:val=""/>
      <w:lvlJc w:val="left"/>
      <w:pPr>
        <w:ind w:left="5040" w:hanging="360"/>
      </w:pPr>
      <w:rPr>
        <w:rFonts w:ascii="Symbol" w:hAnsi="Symbol" w:hint="default"/>
      </w:rPr>
    </w:lvl>
    <w:lvl w:ilvl="7" w:tplc="F43075DA">
      <w:start w:val="1"/>
      <w:numFmt w:val="bullet"/>
      <w:lvlText w:val="o"/>
      <w:lvlJc w:val="left"/>
      <w:pPr>
        <w:ind w:left="5760" w:hanging="360"/>
      </w:pPr>
      <w:rPr>
        <w:rFonts w:ascii="Courier New" w:hAnsi="Courier New" w:hint="default"/>
      </w:rPr>
    </w:lvl>
    <w:lvl w:ilvl="8" w:tplc="B2666028">
      <w:start w:val="1"/>
      <w:numFmt w:val="bullet"/>
      <w:lvlText w:val=""/>
      <w:lvlJc w:val="left"/>
      <w:pPr>
        <w:ind w:left="6480" w:hanging="360"/>
      </w:pPr>
      <w:rPr>
        <w:rFonts w:ascii="Wingdings" w:hAnsi="Wingdings" w:hint="default"/>
      </w:rPr>
    </w:lvl>
  </w:abstractNum>
  <w:abstractNum w:abstractNumId="2" w15:restartNumberingAfterBreak="0">
    <w:nsid w:val="0395FD4E"/>
    <w:multiLevelType w:val="hybridMultilevel"/>
    <w:tmpl w:val="45EE0984"/>
    <w:lvl w:ilvl="0" w:tplc="6C86DF40">
      <w:start w:val="1"/>
      <w:numFmt w:val="bullet"/>
      <w:lvlText w:val="·"/>
      <w:lvlJc w:val="left"/>
      <w:pPr>
        <w:ind w:left="720" w:hanging="360"/>
      </w:pPr>
      <w:rPr>
        <w:rFonts w:ascii="Symbol" w:hAnsi="Symbol" w:hint="default"/>
      </w:rPr>
    </w:lvl>
    <w:lvl w:ilvl="1" w:tplc="46744C10">
      <w:start w:val="1"/>
      <w:numFmt w:val="bullet"/>
      <w:lvlText w:val="o"/>
      <w:lvlJc w:val="left"/>
      <w:pPr>
        <w:ind w:left="1440" w:hanging="360"/>
      </w:pPr>
      <w:rPr>
        <w:rFonts w:ascii="Courier New" w:hAnsi="Courier New" w:hint="default"/>
      </w:rPr>
    </w:lvl>
    <w:lvl w:ilvl="2" w:tplc="583C4BC8">
      <w:start w:val="1"/>
      <w:numFmt w:val="bullet"/>
      <w:lvlText w:val=""/>
      <w:lvlJc w:val="left"/>
      <w:pPr>
        <w:ind w:left="2160" w:hanging="360"/>
      </w:pPr>
      <w:rPr>
        <w:rFonts w:ascii="Wingdings" w:hAnsi="Wingdings" w:hint="default"/>
      </w:rPr>
    </w:lvl>
    <w:lvl w:ilvl="3" w:tplc="AD46D15A">
      <w:start w:val="1"/>
      <w:numFmt w:val="bullet"/>
      <w:lvlText w:val=""/>
      <w:lvlJc w:val="left"/>
      <w:pPr>
        <w:ind w:left="2880" w:hanging="360"/>
      </w:pPr>
      <w:rPr>
        <w:rFonts w:ascii="Symbol" w:hAnsi="Symbol" w:hint="default"/>
      </w:rPr>
    </w:lvl>
    <w:lvl w:ilvl="4" w:tplc="E0D4B00C">
      <w:start w:val="1"/>
      <w:numFmt w:val="bullet"/>
      <w:lvlText w:val="o"/>
      <w:lvlJc w:val="left"/>
      <w:pPr>
        <w:ind w:left="3600" w:hanging="360"/>
      </w:pPr>
      <w:rPr>
        <w:rFonts w:ascii="Courier New" w:hAnsi="Courier New" w:hint="default"/>
      </w:rPr>
    </w:lvl>
    <w:lvl w:ilvl="5" w:tplc="5D447606">
      <w:start w:val="1"/>
      <w:numFmt w:val="bullet"/>
      <w:lvlText w:val=""/>
      <w:lvlJc w:val="left"/>
      <w:pPr>
        <w:ind w:left="4320" w:hanging="360"/>
      </w:pPr>
      <w:rPr>
        <w:rFonts w:ascii="Wingdings" w:hAnsi="Wingdings" w:hint="default"/>
      </w:rPr>
    </w:lvl>
    <w:lvl w:ilvl="6" w:tplc="699C0788">
      <w:start w:val="1"/>
      <w:numFmt w:val="bullet"/>
      <w:lvlText w:val=""/>
      <w:lvlJc w:val="left"/>
      <w:pPr>
        <w:ind w:left="5040" w:hanging="360"/>
      </w:pPr>
      <w:rPr>
        <w:rFonts w:ascii="Symbol" w:hAnsi="Symbol" w:hint="default"/>
      </w:rPr>
    </w:lvl>
    <w:lvl w:ilvl="7" w:tplc="5A26FA86">
      <w:start w:val="1"/>
      <w:numFmt w:val="bullet"/>
      <w:lvlText w:val="o"/>
      <w:lvlJc w:val="left"/>
      <w:pPr>
        <w:ind w:left="5760" w:hanging="360"/>
      </w:pPr>
      <w:rPr>
        <w:rFonts w:ascii="Courier New" w:hAnsi="Courier New" w:hint="default"/>
      </w:rPr>
    </w:lvl>
    <w:lvl w:ilvl="8" w:tplc="AE965F54">
      <w:start w:val="1"/>
      <w:numFmt w:val="bullet"/>
      <w:lvlText w:val=""/>
      <w:lvlJc w:val="left"/>
      <w:pPr>
        <w:ind w:left="6480" w:hanging="360"/>
      </w:pPr>
      <w:rPr>
        <w:rFonts w:ascii="Wingdings" w:hAnsi="Wingdings" w:hint="default"/>
      </w:rPr>
    </w:lvl>
  </w:abstractNum>
  <w:abstractNum w:abstractNumId="3" w15:restartNumberingAfterBreak="0">
    <w:nsid w:val="03B576B2"/>
    <w:multiLevelType w:val="hybridMultilevel"/>
    <w:tmpl w:val="CA5264F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64E2A1A"/>
    <w:multiLevelType w:val="hybridMultilevel"/>
    <w:tmpl w:val="1E5270F4"/>
    <w:lvl w:ilvl="0" w:tplc="CE6A6BBE">
      <w:start w:val="1"/>
      <w:numFmt w:val="decimal"/>
      <w:lvlText w:val="(%1)"/>
      <w:lvlJc w:val="left"/>
      <w:pPr>
        <w:ind w:left="720" w:hanging="360"/>
      </w:pPr>
    </w:lvl>
    <w:lvl w:ilvl="1" w:tplc="F21CDFEE">
      <w:start w:val="1"/>
      <w:numFmt w:val="lowerLetter"/>
      <w:lvlText w:val="%2."/>
      <w:lvlJc w:val="left"/>
      <w:pPr>
        <w:ind w:left="1440" w:hanging="360"/>
      </w:pPr>
    </w:lvl>
    <w:lvl w:ilvl="2" w:tplc="57A49E94">
      <w:start w:val="1"/>
      <w:numFmt w:val="lowerRoman"/>
      <w:lvlText w:val="%3."/>
      <w:lvlJc w:val="right"/>
      <w:pPr>
        <w:ind w:left="2160" w:hanging="180"/>
      </w:pPr>
    </w:lvl>
    <w:lvl w:ilvl="3" w:tplc="3ACE849A">
      <w:start w:val="1"/>
      <w:numFmt w:val="decimal"/>
      <w:lvlText w:val="%4."/>
      <w:lvlJc w:val="left"/>
      <w:pPr>
        <w:ind w:left="2880" w:hanging="360"/>
      </w:pPr>
    </w:lvl>
    <w:lvl w:ilvl="4" w:tplc="6F56A96C">
      <w:start w:val="1"/>
      <w:numFmt w:val="lowerLetter"/>
      <w:lvlText w:val="%5."/>
      <w:lvlJc w:val="left"/>
      <w:pPr>
        <w:ind w:left="3600" w:hanging="360"/>
      </w:pPr>
    </w:lvl>
    <w:lvl w:ilvl="5" w:tplc="086EB790">
      <w:start w:val="1"/>
      <w:numFmt w:val="lowerRoman"/>
      <w:lvlText w:val="%6."/>
      <w:lvlJc w:val="right"/>
      <w:pPr>
        <w:ind w:left="4320" w:hanging="180"/>
      </w:pPr>
    </w:lvl>
    <w:lvl w:ilvl="6" w:tplc="AE00EAD0">
      <w:start w:val="1"/>
      <w:numFmt w:val="decimal"/>
      <w:lvlText w:val="%7."/>
      <w:lvlJc w:val="left"/>
      <w:pPr>
        <w:ind w:left="5040" w:hanging="360"/>
      </w:pPr>
    </w:lvl>
    <w:lvl w:ilvl="7" w:tplc="C2A494DC">
      <w:start w:val="1"/>
      <w:numFmt w:val="lowerLetter"/>
      <w:lvlText w:val="%8."/>
      <w:lvlJc w:val="left"/>
      <w:pPr>
        <w:ind w:left="5760" w:hanging="360"/>
      </w:pPr>
    </w:lvl>
    <w:lvl w:ilvl="8" w:tplc="3DC0789E">
      <w:start w:val="1"/>
      <w:numFmt w:val="lowerRoman"/>
      <w:lvlText w:val="%9."/>
      <w:lvlJc w:val="right"/>
      <w:pPr>
        <w:ind w:left="6480" w:hanging="180"/>
      </w:pPr>
    </w:lvl>
  </w:abstractNum>
  <w:abstractNum w:abstractNumId="5" w15:restartNumberingAfterBreak="0">
    <w:nsid w:val="08350F71"/>
    <w:multiLevelType w:val="hybridMultilevel"/>
    <w:tmpl w:val="3C90AA04"/>
    <w:lvl w:ilvl="0" w:tplc="EC6EC38A">
      <w:start w:val="2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B26196"/>
    <w:multiLevelType w:val="hybridMultilevel"/>
    <w:tmpl w:val="4DBCA21A"/>
    <w:lvl w:ilvl="0" w:tplc="714AA298">
      <w:start w:val="1"/>
      <w:numFmt w:val="decimal"/>
      <w:lvlText w:val="%1."/>
      <w:lvlJc w:val="left"/>
      <w:pPr>
        <w:ind w:left="720" w:hanging="360"/>
      </w:pPr>
    </w:lvl>
    <w:lvl w:ilvl="1" w:tplc="45C29B04">
      <w:start w:val="1"/>
      <w:numFmt w:val="lowerLetter"/>
      <w:lvlText w:val="%2."/>
      <w:lvlJc w:val="left"/>
      <w:pPr>
        <w:ind w:left="1440" w:hanging="360"/>
      </w:pPr>
    </w:lvl>
    <w:lvl w:ilvl="2" w:tplc="55DC7348">
      <w:start w:val="1"/>
      <w:numFmt w:val="lowerRoman"/>
      <w:lvlText w:val="%3."/>
      <w:lvlJc w:val="right"/>
      <w:pPr>
        <w:ind w:left="2160" w:hanging="180"/>
      </w:pPr>
    </w:lvl>
    <w:lvl w:ilvl="3" w:tplc="16C8665E">
      <w:start w:val="1"/>
      <w:numFmt w:val="decimal"/>
      <w:lvlText w:val="%4."/>
      <w:lvlJc w:val="left"/>
      <w:pPr>
        <w:ind w:left="2880" w:hanging="360"/>
      </w:pPr>
    </w:lvl>
    <w:lvl w:ilvl="4" w:tplc="B3462D46">
      <w:start w:val="1"/>
      <w:numFmt w:val="lowerLetter"/>
      <w:lvlText w:val="%5."/>
      <w:lvlJc w:val="left"/>
      <w:pPr>
        <w:ind w:left="3600" w:hanging="360"/>
      </w:pPr>
    </w:lvl>
    <w:lvl w:ilvl="5" w:tplc="4B0EBF22">
      <w:start w:val="1"/>
      <w:numFmt w:val="lowerRoman"/>
      <w:lvlText w:val="%6."/>
      <w:lvlJc w:val="right"/>
      <w:pPr>
        <w:ind w:left="4320" w:hanging="180"/>
      </w:pPr>
    </w:lvl>
    <w:lvl w:ilvl="6" w:tplc="2DD46D60">
      <w:start w:val="1"/>
      <w:numFmt w:val="decimal"/>
      <w:lvlText w:val="%7."/>
      <w:lvlJc w:val="left"/>
      <w:pPr>
        <w:ind w:left="5040" w:hanging="360"/>
      </w:pPr>
    </w:lvl>
    <w:lvl w:ilvl="7" w:tplc="8DF8E7DE">
      <w:start w:val="1"/>
      <w:numFmt w:val="lowerLetter"/>
      <w:lvlText w:val="%8."/>
      <w:lvlJc w:val="left"/>
      <w:pPr>
        <w:ind w:left="5760" w:hanging="360"/>
      </w:pPr>
    </w:lvl>
    <w:lvl w:ilvl="8" w:tplc="B2529C62">
      <w:start w:val="1"/>
      <w:numFmt w:val="lowerRoman"/>
      <w:lvlText w:val="%9."/>
      <w:lvlJc w:val="right"/>
      <w:pPr>
        <w:ind w:left="6480" w:hanging="180"/>
      </w:pPr>
    </w:lvl>
  </w:abstractNum>
  <w:abstractNum w:abstractNumId="7" w15:restartNumberingAfterBreak="0">
    <w:nsid w:val="08F00EFD"/>
    <w:multiLevelType w:val="hybridMultilevel"/>
    <w:tmpl w:val="A9383B6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D025D76"/>
    <w:multiLevelType w:val="hybridMultilevel"/>
    <w:tmpl w:val="7F64B19E"/>
    <w:lvl w:ilvl="0" w:tplc="85D23E96">
      <w:start w:val="1"/>
      <w:numFmt w:val="decimal"/>
      <w:lvlText w:val="(%1)"/>
      <w:lvlJc w:val="left"/>
      <w:pPr>
        <w:ind w:left="720" w:hanging="360"/>
      </w:pPr>
    </w:lvl>
    <w:lvl w:ilvl="1" w:tplc="6458EA96">
      <w:start w:val="1"/>
      <w:numFmt w:val="lowerLetter"/>
      <w:lvlText w:val="%2."/>
      <w:lvlJc w:val="left"/>
      <w:pPr>
        <w:ind w:left="1440" w:hanging="360"/>
      </w:pPr>
    </w:lvl>
    <w:lvl w:ilvl="2" w:tplc="3FF86016">
      <w:start w:val="1"/>
      <w:numFmt w:val="lowerRoman"/>
      <w:lvlText w:val="%3."/>
      <w:lvlJc w:val="right"/>
      <w:pPr>
        <w:ind w:left="2160" w:hanging="180"/>
      </w:pPr>
    </w:lvl>
    <w:lvl w:ilvl="3" w:tplc="A372EED4">
      <w:start w:val="1"/>
      <w:numFmt w:val="decimal"/>
      <w:lvlText w:val="%4."/>
      <w:lvlJc w:val="left"/>
      <w:pPr>
        <w:ind w:left="2880" w:hanging="360"/>
      </w:pPr>
    </w:lvl>
    <w:lvl w:ilvl="4" w:tplc="FF10D616">
      <w:start w:val="1"/>
      <w:numFmt w:val="lowerLetter"/>
      <w:lvlText w:val="%5."/>
      <w:lvlJc w:val="left"/>
      <w:pPr>
        <w:ind w:left="3600" w:hanging="360"/>
      </w:pPr>
    </w:lvl>
    <w:lvl w:ilvl="5" w:tplc="8B223A0E">
      <w:start w:val="1"/>
      <w:numFmt w:val="lowerRoman"/>
      <w:lvlText w:val="%6."/>
      <w:lvlJc w:val="right"/>
      <w:pPr>
        <w:ind w:left="4320" w:hanging="180"/>
      </w:pPr>
    </w:lvl>
    <w:lvl w:ilvl="6" w:tplc="ACC0DF92">
      <w:start w:val="1"/>
      <w:numFmt w:val="decimal"/>
      <w:lvlText w:val="%7."/>
      <w:lvlJc w:val="left"/>
      <w:pPr>
        <w:ind w:left="5040" w:hanging="360"/>
      </w:pPr>
    </w:lvl>
    <w:lvl w:ilvl="7" w:tplc="93300DE8">
      <w:start w:val="1"/>
      <w:numFmt w:val="lowerLetter"/>
      <w:lvlText w:val="%8."/>
      <w:lvlJc w:val="left"/>
      <w:pPr>
        <w:ind w:left="5760" w:hanging="360"/>
      </w:pPr>
    </w:lvl>
    <w:lvl w:ilvl="8" w:tplc="D90AE824">
      <w:start w:val="1"/>
      <w:numFmt w:val="lowerRoman"/>
      <w:lvlText w:val="%9."/>
      <w:lvlJc w:val="right"/>
      <w:pPr>
        <w:ind w:left="6480" w:hanging="180"/>
      </w:pPr>
    </w:lvl>
  </w:abstractNum>
  <w:abstractNum w:abstractNumId="9" w15:restartNumberingAfterBreak="0">
    <w:nsid w:val="13A84CD0"/>
    <w:multiLevelType w:val="hybridMultilevel"/>
    <w:tmpl w:val="1910E4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786DFE5"/>
    <w:multiLevelType w:val="hybridMultilevel"/>
    <w:tmpl w:val="332EC742"/>
    <w:lvl w:ilvl="0" w:tplc="E9F88F7E">
      <w:start w:val="1"/>
      <w:numFmt w:val="bullet"/>
      <w:lvlText w:val=""/>
      <w:lvlJc w:val="left"/>
      <w:pPr>
        <w:ind w:left="720" w:hanging="360"/>
      </w:pPr>
      <w:rPr>
        <w:rFonts w:ascii="Symbol" w:hAnsi="Symbol" w:hint="default"/>
      </w:rPr>
    </w:lvl>
    <w:lvl w:ilvl="1" w:tplc="703E9B2E">
      <w:start w:val="1"/>
      <w:numFmt w:val="bullet"/>
      <w:lvlText w:val="o"/>
      <w:lvlJc w:val="left"/>
      <w:pPr>
        <w:ind w:left="1440" w:hanging="360"/>
      </w:pPr>
      <w:rPr>
        <w:rFonts w:ascii="Courier New" w:hAnsi="Courier New" w:hint="default"/>
      </w:rPr>
    </w:lvl>
    <w:lvl w:ilvl="2" w:tplc="B0E4B3CA">
      <w:start w:val="1"/>
      <w:numFmt w:val="bullet"/>
      <w:lvlText w:val=""/>
      <w:lvlJc w:val="left"/>
      <w:pPr>
        <w:ind w:left="2160" w:hanging="360"/>
      </w:pPr>
      <w:rPr>
        <w:rFonts w:ascii="Wingdings" w:hAnsi="Wingdings" w:hint="default"/>
      </w:rPr>
    </w:lvl>
    <w:lvl w:ilvl="3" w:tplc="F8206DDC">
      <w:start w:val="1"/>
      <w:numFmt w:val="bullet"/>
      <w:lvlText w:val=""/>
      <w:lvlJc w:val="left"/>
      <w:pPr>
        <w:ind w:left="2880" w:hanging="360"/>
      </w:pPr>
      <w:rPr>
        <w:rFonts w:ascii="Symbol" w:hAnsi="Symbol" w:hint="default"/>
      </w:rPr>
    </w:lvl>
    <w:lvl w:ilvl="4" w:tplc="FB64ECCC">
      <w:start w:val="1"/>
      <w:numFmt w:val="bullet"/>
      <w:lvlText w:val="o"/>
      <w:lvlJc w:val="left"/>
      <w:pPr>
        <w:ind w:left="3600" w:hanging="360"/>
      </w:pPr>
      <w:rPr>
        <w:rFonts w:ascii="Courier New" w:hAnsi="Courier New" w:hint="default"/>
      </w:rPr>
    </w:lvl>
    <w:lvl w:ilvl="5" w:tplc="0156BADC">
      <w:start w:val="1"/>
      <w:numFmt w:val="bullet"/>
      <w:lvlText w:val=""/>
      <w:lvlJc w:val="left"/>
      <w:pPr>
        <w:ind w:left="4320" w:hanging="360"/>
      </w:pPr>
      <w:rPr>
        <w:rFonts w:ascii="Wingdings" w:hAnsi="Wingdings" w:hint="default"/>
      </w:rPr>
    </w:lvl>
    <w:lvl w:ilvl="6" w:tplc="35764BB8">
      <w:start w:val="1"/>
      <w:numFmt w:val="bullet"/>
      <w:lvlText w:val=""/>
      <w:lvlJc w:val="left"/>
      <w:pPr>
        <w:ind w:left="5040" w:hanging="360"/>
      </w:pPr>
      <w:rPr>
        <w:rFonts w:ascii="Symbol" w:hAnsi="Symbol" w:hint="default"/>
      </w:rPr>
    </w:lvl>
    <w:lvl w:ilvl="7" w:tplc="4328AA0C">
      <w:start w:val="1"/>
      <w:numFmt w:val="bullet"/>
      <w:lvlText w:val="o"/>
      <w:lvlJc w:val="left"/>
      <w:pPr>
        <w:ind w:left="5760" w:hanging="360"/>
      </w:pPr>
      <w:rPr>
        <w:rFonts w:ascii="Courier New" w:hAnsi="Courier New" w:hint="default"/>
      </w:rPr>
    </w:lvl>
    <w:lvl w:ilvl="8" w:tplc="0672AF7E">
      <w:start w:val="1"/>
      <w:numFmt w:val="bullet"/>
      <w:lvlText w:val=""/>
      <w:lvlJc w:val="left"/>
      <w:pPr>
        <w:ind w:left="6480" w:hanging="360"/>
      </w:pPr>
      <w:rPr>
        <w:rFonts w:ascii="Wingdings" w:hAnsi="Wingdings" w:hint="default"/>
      </w:rPr>
    </w:lvl>
  </w:abstractNum>
  <w:abstractNum w:abstractNumId="11" w15:restartNumberingAfterBreak="0">
    <w:nsid w:val="1C8D77C8"/>
    <w:multiLevelType w:val="hybridMultilevel"/>
    <w:tmpl w:val="6D2A70B2"/>
    <w:lvl w:ilvl="0" w:tplc="BF0CBD1A">
      <w:start w:val="1"/>
      <w:numFmt w:val="bullet"/>
      <w:lvlText w:val=""/>
      <w:lvlJc w:val="left"/>
      <w:pPr>
        <w:ind w:left="720" w:hanging="360"/>
      </w:pPr>
      <w:rPr>
        <w:rFonts w:ascii="Symbol" w:hAnsi="Symbol" w:hint="default"/>
      </w:rPr>
    </w:lvl>
    <w:lvl w:ilvl="1" w:tplc="03D4234A">
      <w:start w:val="1"/>
      <w:numFmt w:val="bullet"/>
      <w:lvlText w:val="o"/>
      <w:lvlJc w:val="left"/>
      <w:pPr>
        <w:ind w:left="1440" w:hanging="360"/>
      </w:pPr>
      <w:rPr>
        <w:rFonts w:ascii="Courier New" w:hAnsi="Courier New" w:hint="default"/>
      </w:rPr>
    </w:lvl>
    <w:lvl w:ilvl="2" w:tplc="2D5EEDAE">
      <w:start w:val="1"/>
      <w:numFmt w:val="bullet"/>
      <w:lvlText w:val=""/>
      <w:lvlJc w:val="left"/>
      <w:pPr>
        <w:ind w:left="2160" w:hanging="360"/>
      </w:pPr>
      <w:rPr>
        <w:rFonts w:ascii="Wingdings" w:hAnsi="Wingdings" w:hint="default"/>
      </w:rPr>
    </w:lvl>
    <w:lvl w:ilvl="3" w:tplc="B6C8B702">
      <w:start w:val="1"/>
      <w:numFmt w:val="bullet"/>
      <w:lvlText w:val=""/>
      <w:lvlJc w:val="left"/>
      <w:pPr>
        <w:ind w:left="2880" w:hanging="360"/>
      </w:pPr>
      <w:rPr>
        <w:rFonts w:ascii="Symbol" w:hAnsi="Symbol" w:hint="default"/>
      </w:rPr>
    </w:lvl>
    <w:lvl w:ilvl="4" w:tplc="5E9C01C6">
      <w:start w:val="1"/>
      <w:numFmt w:val="bullet"/>
      <w:lvlText w:val="o"/>
      <w:lvlJc w:val="left"/>
      <w:pPr>
        <w:ind w:left="3600" w:hanging="360"/>
      </w:pPr>
      <w:rPr>
        <w:rFonts w:ascii="Courier New" w:hAnsi="Courier New" w:hint="default"/>
      </w:rPr>
    </w:lvl>
    <w:lvl w:ilvl="5" w:tplc="434E529E">
      <w:start w:val="1"/>
      <w:numFmt w:val="bullet"/>
      <w:lvlText w:val=""/>
      <w:lvlJc w:val="left"/>
      <w:pPr>
        <w:ind w:left="4320" w:hanging="360"/>
      </w:pPr>
      <w:rPr>
        <w:rFonts w:ascii="Wingdings" w:hAnsi="Wingdings" w:hint="default"/>
      </w:rPr>
    </w:lvl>
    <w:lvl w:ilvl="6" w:tplc="CB90EDC4">
      <w:start w:val="1"/>
      <w:numFmt w:val="bullet"/>
      <w:lvlText w:val=""/>
      <w:lvlJc w:val="left"/>
      <w:pPr>
        <w:ind w:left="5040" w:hanging="360"/>
      </w:pPr>
      <w:rPr>
        <w:rFonts w:ascii="Symbol" w:hAnsi="Symbol" w:hint="default"/>
      </w:rPr>
    </w:lvl>
    <w:lvl w:ilvl="7" w:tplc="0784B016">
      <w:start w:val="1"/>
      <w:numFmt w:val="bullet"/>
      <w:lvlText w:val="o"/>
      <w:lvlJc w:val="left"/>
      <w:pPr>
        <w:ind w:left="5760" w:hanging="360"/>
      </w:pPr>
      <w:rPr>
        <w:rFonts w:ascii="Courier New" w:hAnsi="Courier New" w:hint="default"/>
      </w:rPr>
    </w:lvl>
    <w:lvl w:ilvl="8" w:tplc="A950FBBC">
      <w:start w:val="1"/>
      <w:numFmt w:val="bullet"/>
      <w:lvlText w:val=""/>
      <w:lvlJc w:val="left"/>
      <w:pPr>
        <w:ind w:left="6480" w:hanging="360"/>
      </w:pPr>
      <w:rPr>
        <w:rFonts w:ascii="Wingdings" w:hAnsi="Wingdings" w:hint="default"/>
      </w:rPr>
    </w:lvl>
  </w:abstractNum>
  <w:abstractNum w:abstractNumId="12" w15:restartNumberingAfterBreak="0">
    <w:nsid w:val="242B3E8A"/>
    <w:multiLevelType w:val="hybridMultilevel"/>
    <w:tmpl w:val="7BBC7C08"/>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479E097E">
      <w:start w:val="1"/>
      <w:numFmt w:val="bullet"/>
      <w:lvlText w:val=""/>
      <w:lvlJc w:val="left"/>
      <w:pPr>
        <w:ind w:left="2880" w:hanging="360"/>
      </w:pPr>
      <w:rPr>
        <w:rFonts w:ascii="Symbol" w:eastAsiaTheme="minorHAnsi" w:hAnsi="Symbol" w:cstheme="minorBidi" w:hint="default"/>
      </w:rPr>
    </w:lvl>
    <w:lvl w:ilvl="4" w:tplc="67966D56">
      <w:start w:val="1"/>
      <w:numFmt w:val="upp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E05084"/>
    <w:multiLevelType w:val="hybridMultilevel"/>
    <w:tmpl w:val="3C90AA04"/>
    <w:lvl w:ilvl="0" w:tplc="FFFFFFFF">
      <w:start w:val="24"/>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8D30BB7"/>
    <w:multiLevelType w:val="hybridMultilevel"/>
    <w:tmpl w:val="690C8412"/>
    <w:lvl w:ilvl="0" w:tplc="3CB09244">
      <w:start w:val="1"/>
      <w:numFmt w:val="bullet"/>
      <w:lvlText w:val=""/>
      <w:lvlJc w:val="left"/>
      <w:pPr>
        <w:ind w:left="720" w:hanging="360"/>
      </w:pPr>
      <w:rPr>
        <w:rFonts w:ascii="Symbol" w:hAnsi="Symbol" w:hint="default"/>
      </w:rPr>
    </w:lvl>
    <w:lvl w:ilvl="1" w:tplc="DB8C3460">
      <w:start w:val="1"/>
      <w:numFmt w:val="bullet"/>
      <w:lvlText w:val="o"/>
      <w:lvlJc w:val="left"/>
      <w:pPr>
        <w:ind w:left="1440" w:hanging="360"/>
      </w:pPr>
      <w:rPr>
        <w:rFonts w:ascii="Courier New" w:hAnsi="Courier New" w:hint="default"/>
      </w:rPr>
    </w:lvl>
    <w:lvl w:ilvl="2" w:tplc="B436F9CC">
      <w:start w:val="1"/>
      <w:numFmt w:val="bullet"/>
      <w:lvlText w:val=""/>
      <w:lvlJc w:val="left"/>
      <w:pPr>
        <w:ind w:left="2160" w:hanging="360"/>
      </w:pPr>
      <w:rPr>
        <w:rFonts w:ascii="Wingdings" w:hAnsi="Wingdings" w:hint="default"/>
      </w:rPr>
    </w:lvl>
    <w:lvl w:ilvl="3" w:tplc="BFF8FDC4">
      <w:start w:val="1"/>
      <w:numFmt w:val="bullet"/>
      <w:lvlText w:val=""/>
      <w:lvlJc w:val="left"/>
      <w:pPr>
        <w:ind w:left="2880" w:hanging="360"/>
      </w:pPr>
      <w:rPr>
        <w:rFonts w:ascii="Symbol" w:hAnsi="Symbol" w:hint="default"/>
      </w:rPr>
    </w:lvl>
    <w:lvl w:ilvl="4" w:tplc="F61EA346">
      <w:start w:val="1"/>
      <w:numFmt w:val="bullet"/>
      <w:lvlText w:val="o"/>
      <w:lvlJc w:val="left"/>
      <w:pPr>
        <w:ind w:left="3600" w:hanging="360"/>
      </w:pPr>
      <w:rPr>
        <w:rFonts w:ascii="Courier New" w:hAnsi="Courier New" w:hint="default"/>
      </w:rPr>
    </w:lvl>
    <w:lvl w:ilvl="5" w:tplc="2DE637EC">
      <w:start w:val="1"/>
      <w:numFmt w:val="bullet"/>
      <w:lvlText w:val=""/>
      <w:lvlJc w:val="left"/>
      <w:pPr>
        <w:ind w:left="4320" w:hanging="360"/>
      </w:pPr>
      <w:rPr>
        <w:rFonts w:ascii="Wingdings" w:hAnsi="Wingdings" w:hint="default"/>
      </w:rPr>
    </w:lvl>
    <w:lvl w:ilvl="6" w:tplc="A1C8E050">
      <w:start w:val="1"/>
      <w:numFmt w:val="bullet"/>
      <w:lvlText w:val=""/>
      <w:lvlJc w:val="left"/>
      <w:pPr>
        <w:ind w:left="5040" w:hanging="360"/>
      </w:pPr>
      <w:rPr>
        <w:rFonts w:ascii="Symbol" w:hAnsi="Symbol" w:hint="default"/>
      </w:rPr>
    </w:lvl>
    <w:lvl w:ilvl="7" w:tplc="11204C2A">
      <w:start w:val="1"/>
      <w:numFmt w:val="bullet"/>
      <w:lvlText w:val="o"/>
      <w:lvlJc w:val="left"/>
      <w:pPr>
        <w:ind w:left="5760" w:hanging="360"/>
      </w:pPr>
      <w:rPr>
        <w:rFonts w:ascii="Courier New" w:hAnsi="Courier New" w:hint="default"/>
      </w:rPr>
    </w:lvl>
    <w:lvl w:ilvl="8" w:tplc="7B98F4A0">
      <w:start w:val="1"/>
      <w:numFmt w:val="bullet"/>
      <w:lvlText w:val=""/>
      <w:lvlJc w:val="left"/>
      <w:pPr>
        <w:ind w:left="6480" w:hanging="360"/>
      </w:pPr>
      <w:rPr>
        <w:rFonts w:ascii="Wingdings" w:hAnsi="Wingdings" w:hint="default"/>
      </w:rPr>
    </w:lvl>
  </w:abstractNum>
  <w:abstractNum w:abstractNumId="15" w15:restartNumberingAfterBreak="0">
    <w:nsid w:val="39EA7893"/>
    <w:multiLevelType w:val="hybridMultilevel"/>
    <w:tmpl w:val="F170F83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A564F59"/>
    <w:multiLevelType w:val="hybridMultilevel"/>
    <w:tmpl w:val="71265D16"/>
    <w:lvl w:ilvl="0" w:tplc="9B6AC07A">
      <w:start w:val="1"/>
      <w:numFmt w:val="bullet"/>
      <w:lvlText w:val=""/>
      <w:lvlJc w:val="left"/>
      <w:pPr>
        <w:ind w:left="720" w:hanging="360"/>
      </w:pPr>
      <w:rPr>
        <w:rFonts w:ascii="Symbol" w:hAnsi="Symbol" w:hint="default"/>
      </w:rPr>
    </w:lvl>
    <w:lvl w:ilvl="1" w:tplc="7A52370C">
      <w:start w:val="1"/>
      <w:numFmt w:val="bullet"/>
      <w:lvlText w:val="o"/>
      <w:lvlJc w:val="left"/>
      <w:pPr>
        <w:ind w:left="1440" w:hanging="360"/>
      </w:pPr>
      <w:rPr>
        <w:rFonts w:ascii="Courier New" w:hAnsi="Courier New" w:hint="default"/>
      </w:rPr>
    </w:lvl>
    <w:lvl w:ilvl="2" w:tplc="4AA62D46">
      <w:start w:val="1"/>
      <w:numFmt w:val="bullet"/>
      <w:lvlText w:val=""/>
      <w:lvlJc w:val="left"/>
      <w:pPr>
        <w:ind w:left="2160" w:hanging="360"/>
      </w:pPr>
      <w:rPr>
        <w:rFonts w:ascii="Wingdings" w:hAnsi="Wingdings" w:hint="default"/>
      </w:rPr>
    </w:lvl>
    <w:lvl w:ilvl="3" w:tplc="1D04667E">
      <w:start w:val="1"/>
      <w:numFmt w:val="bullet"/>
      <w:lvlText w:val=""/>
      <w:lvlJc w:val="left"/>
      <w:pPr>
        <w:ind w:left="2880" w:hanging="360"/>
      </w:pPr>
      <w:rPr>
        <w:rFonts w:ascii="Symbol" w:hAnsi="Symbol" w:hint="default"/>
      </w:rPr>
    </w:lvl>
    <w:lvl w:ilvl="4" w:tplc="651AF40A">
      <w:start w:val="1"/>
      <w:numFmt w:val="bullet"/>
      <w:lvlText w:val="o"/>
      <w:lvlJc w:val="left"/>
      <w:pPr>
        <w:ind w:left="3600" w:hanging="360"/>
      </w:pPr>
      <w:rPr>
        <w:rFonts w:ascii="Courier New" w:hAnsi="Courier New" w:hint="default"/>
      </w:rPr>
    </w:lvl>
    <w:lvl w:ilvl="5" w:tplc="C2C6D646">
      <w:start w:val="1"/>
      <w:numFmt w:val="bullet"/>
      <w:lvlText w:val=""/>
      <w:lvlJc w:val="left"/>
      <w:pPr>
        <w:ind w:left="4320" w:hanging="360"/>
      </w:pPr>
      <w:rPr>
        <w:rFonts w:ascii="Wingdings" w:hAnsi="Wingdings" w:hint="default"/>
      </w:rPr>
    </w:lvl>
    <w:lvl w:ilvl="6" w:tplc="F650DC1E">
      <w:start w:val="1"/>
      <w:numFmt w:val="bullet"/>
      <w:lvlText w:val=""/>
      <w:lvlJc w:val="left"/>
      <w:pPr>
        <w:ind w:left="5040" w:hanging="360"/>
      </w:pPr>
      <w:rPr>
        <w:rFonts w:ascii="Symbol" w:hAnsi="Symbol" w:hint="default"/>
      </w:rPr>
    </w:lvl>
    <w:lvl w:ilvl="7" w:tplc="16D40D54">
      <w:start w:val="1"/>
      <w:numFmt w:val="bullet"/>
      <w:lvlText w:val="o"/>
      <w:lvlJc w:val="left"/>
      <w:pPr>
        <w:ind w:left="5760" w:hanging="360"/>
      </w:pPr>
      <w:rPr>
        <w:rFonts w:ascii="Courier New" w:hAnsi="Courier New" w:hint="default"/>
      </w:rPr>
    </w:lvl>
    <w:lvl w:ilvl="8" w:tplc="BB18F81E">
      <w:start w:val="1"/>
      <w:numFmt w:val="bullet"/>
      <w:lvlText w:val=""/>
      <w:lvlJc w:val="left"/>
      <w:pPr>
        <w:ind w:left="6480" w:hanging="360"/>
      </w:pPr>
      <w:rPr>
        <w:rFonts w:ascii="Wingdings" w:hAnsi="Wingdings" w:hint="default"/>
      </w:rPr>
    </w:lvl>
  </w:abstractNum>
  <w:abstractNum w:abstractNumId="17" w15:restartNumberingAfterBreak="0">
    <w:nsid w:val="3B63678D"/>
    <w:multiLevelType w:val="hybridMultilevel"/>
    <w:tmpl w:val="A5648E9A"/>
    <w:lvl w:ilvl="0" w:tplc="2444C778">
      <w:start w:val="1"/>
      <w:numFmt w:val="bullet"/>
      <w:lvlText w:val="·"/>
      <w:lvlJc w:val="left"/>
      <w:pPr>
        <w:ind w:left="720" w:hanging="360"/>
      </w:pPr>
      <w:rPr>
        <w:rFonts w:ascii="Symbol" w:hAnsi="Symbol" w:hint="default"/>
      </w:rPr>
    </w:lvl>
    <w:lvl w:ilvl="1" w:tplc="02BAE534">
      <w:start w:val="1"/>
      <w:numFmt w:val="bullet"/>
      <w:lvlText w:val="o"/>
      <w:lvlJc w:val="left"/>
      <w:pPr>
        <w:ind w:left="1440" w:hanging="360"/>
      </w:pPr>
      <w:rPr>
        <w:rFonts w:ascii="Courier New" w:hAnsi="Courier New" w:hint="default"/>
      </w:rPr>
    </w:lvl>
    <w:lvl w:ilvl="2" w:tplc="7B166AAA">
      <w:start w:val="1"/>
      <w:numFmt w:val="bullet"/>
      <w:lvlText w:val=""/>
      <w:lvlJc w:val="left"/>
      <w:pPr>
        <w:ind w:left="2160" w:hanging="360"/>
      </w:pPr>
      <w:rPr>
        <w:rFonts w:ascii="Wingdings" w:hAnsi="Wingdings" w:hint="default"/>
      </w:rPr>
    </w:lvl>
    <w:lvl w:ilvl="3" w:tplc="67A211AA">
      <w:start w:val="1"/>
      <w:numFmt w:val="bullet"/>
      <w:lvlText w:val=""/>
      <w:lvlJc w:val="left"/>
      <w:pPr>
        <w:ind w:left="2880" w:hanging="360"/>
      </w:pPr>
      <w:rPr>
        <w:rFonts w:ascii="Symbol" w:hAnsi="Symbol" w:hint="default"/>
      </w:rPr>
    </w:lvl>
    <w:lvl w:ilvl="4" w:tplc="F1DAF880">
      <w:start w:val="1"/>
      <w:numFmt w:val="bullet"/>
      <w:lvlText w:val="o"/>
      <w:lvlJc w:val="left"/>
      <w:pPr>
        <w:ind w:left="3600" w:hanging="360"/>
      </w:pPr>
      <w:rPr>
        <w:rFonts w:ascii="Courier New" w:hAnsi="Courier New" w:hint="default"/>
      </w:rPr>
    </w:lvl>
    <w:lvl w:ilvl="5" w:tplc="D33E8BE2">
      <w:start w:val="1"/>
      <w:numFmt w:val="bullet"/>
      <w:lvlText w:val=""/>
      <w:lvlJc w:val="left"/>
      <w:pPr>
        <w:ind w:left="4320" w:hanging="360"/>
      </w:pPr>
      <w:rPr>
        <w:rFonts w:ascii="Wingdings" w:hAnsi="Wingdings" w:hint="default"/>
      </w:rPr>
    </w:lvl>
    <w:lvl w:ilvl="6" w:tplc="E542C372">
      <w:start w:val="1"/>
      <w:numFmt w:val="bullet"/>
      <w:lvlText w:val=""/>
      <w:lvlJc w:val="left"/>
      <w:pPr>
        <w:ind w:left="5040" w:hanging="360"/>
      </w:pPr>
      <w:rPr>
        <w:rFonts w:ascii="Symbol" w:hAnsi="Symbol" w:hint="default"/>
      </w:rPr>
    </w:lvl>
    <w:lvl w:ilvl="7" w:tplc="67A81304">
      <w:start w:val="1"/>
      <w:numFmt w:val="bullet"/>
      <w:lvlText w:val="o"/>
      <w:lvlJc w:val="left"/>
      <w:pPr>
        <w:ind w:left="5760" w:hanging="360"/>
      </w:pPr>
      <w:rPr>
        <w:rFonts w:ascii="Courier New" w:hAnsi="Courier New" w:hint="default"/>
      </w:rPr>
    </w:lvl>
    <w:lvl w:ilvl="8" w:tplc="F072F516">
      <w:start w:val="1"/>
      <w:numFmt w:val="bullet"/>
      <w:lvlText w:val=""/>
      <w:lvlJc w:val="left"/>
      <w:pPr>
        <w:ind w:left="6480" w:hanging="360"/>
      </w:pPr>
      <w:rPr>
        <w:rFonts w:ascii="Wingdings" w:hAnsi="Wingdings" w:hint="default"/>
      </w:rPr>
    </w:lvl>
  </w:abstractNum>
  <w:abstractNum w:abstractNumId="18" w15:restartNumberingAfterBreak="0">
    <w:nsid w:val="3D9A97E6"/>
    <w:multiLevelType w:val="hybridMultilevel"/>
    <w:tmpl w:val="FFFFFFFF"/>
    <w:lvl w:ilvl="0" w:tplc="694E53B4">
      <w:start w:val="1"/>
      <w:numFmt w:val="bullet"/>
      <w:lvlText w:val=""/>
      <w:lvlJc w:val="left"/>
      <w:pPr>
        <w:ind w:left="720" w:hanging="360"/>
      </w:pPr>
      <w:rPr>
        <w:rFonts w:ascii="Symbol" w:hAnsi="Symbol" w:hint="default"/>
      </w:rPr>
    </w:lvl>
    <w:lvl w:ilvl="1" w:tplc="BB8C93A2">
      <w:start w:val="1"/>
      <w:numFmt w:val="bullet"/>
      <w:lvlText w:val="o"/>
      <w:lvlJc w:val="left"/>
      <w:pPr>
        <w:ind w:left="1440" w:hanging="360"/>
      </w:pPr>
      <w:rPr>
        <w:rFonts w:ascii="Courier New" w:hAnsi="Courier New" w:hint="default"/>
      </w:rPr>
    </w:lvl>
    <w:lvl w:ilvl="2" w:tplc="3188BD30">
      <w:start w:val="1"/>
      <w:numFmt w:val="bullet"/>
      <w:lvlText w:val=""/>
      <w:lvlJc w:val="left"/>
      <w:pPr>
        <w:ind w:left="2160" w:hanging="360"/>
      </w:pPr>
      <w:rPr>
        <w:rFonts w:ascii="Wingdings" w:hAnsi="Wingdings" w:hint="default"/>
      </w:rPr>
    </w:lvl>
    <w:lvl w:ilvl="3" w:tplc="5C0E1C54">
      <w:start w:val="1"/>
      <w:numFmt w:val="bullet"/>
      <w:lvlText w:val=""/>
      <w:lvlJc w:val="left"/>
      <w:pPr>
        <w:ind w:left="2880" w:hanging="360"/>
      </w:pPr>
      <w:rPr>
        <w:rFonts w:ascii="Symbol" w:hAnsi="Symbol" w:hint="default"/>
      </w:rPr>
    </w:lvl>
    <w:lvl w:ilvl="4" w:tplc="087E07EE">
      <w:start w:val="1"/>
      <w:numFmt w:val="bullet"/>
      <w:lvlText w:val="o"/>
      <w:lvlJc w:val="left"/>
      <w:pPr>
        <w:ind w:left="3600" w:hanging="360"/>
      </w:pPr>
      <w:rPr>
        <w:rFonts w:ascii="Courier New" w:hAnsi="Courier New" w:hint="default"/>
      </w:rPr>
    </w:lvl>
    <w:lvl w:ilvl="5" w:tplc="7B9A6298">
      <w:start w:val="1"/>
      <w:numFmt w:val="bullet"/>
      <w:lvlText w:val=""/>
      <w:lvlJc w:val="left"/>
      <w:pPr>
        <w:ind w:left="4320" w:hanging="360"/>
      </w:pPr>
      <w:rPr>
        <w:rFonts w:ascii="Wingdings" w:hAnsi="Wingdings" w:hint="default"/>
      </w:rPr>
    </w:lvl>
    <w:lvl w:ilvl="6" w:tplc="BF3841FE">
      <w:start w:val="1"/>
      <w:numFmt w:val="bullet"/>
      <w:lvlText w:val=""/>
      <w:lvlJc w:val="left"/>
      <w:pPr>
        <w:ind w:left="5040" w:hanging="360"/>
      </w:pPr>
      <w:rPr>
        <w:rFonts w:ascii="Symbol" w:hAnsi="Symbol" w:hint="default"/>
      </w:rPr>
    </w:lvl>
    <w:lvl w:ilvl="7" w:tplc="2966799C">
      <w:start w:val="1"/>
      <w:numFmt w:val="bullet"/>
      <w:lvlText w:val="o"/>
      <w:lvlJc w:val="left"/>
      <w:pPr>
        <w:ind w:left="5760" w:hanging="360"/>
      </w:pPr>
      <w:rPr>
        <w:rFonts w:ascii="Courier New" w:hAnsi="Courier New" w:hint="default"/>
      </w:rPr>
    </w:lvl>
    <w:lvl w:ilvl="8" w:tplc="EE48F7CC">
      <w:start w:val="1"/>
      <w:numFmt w:val="bullet"/>
      <w:lvlText w:val=""/>
      <w:lvlJc w:val="left"/>
      <w:pPr>
        <w:ind w:left="6480" w:hanging="360"/>
      </w:pPr>
      <w:rPr>
        <w:rFonts w:ascii="Wingdings" w:hAnsi="Wingdings" w:hint="default"/>
      </w:rPr>
    </w:lvl>
  </w:abstractNum>
  <w:abstractNum w:abstractNumId="19" w15:restartNumberingAfterBreak="0">
    <w:nsid w:val="3E3257BC"/>
    <w:multiLevelType w:val="multilevel"/>
    <w:tmpl w:val="EF9CECA8"/>
    <w:styleLink w:val="Agenda"/>
    <w:lvl w:ilvl="0">
      <w:start w:val="1"/>
      <w:numFmt w:val="upperRoman"/>
      <w:lvlText w:val="%1."/>
      <w:lvlJc w:val="left"/>
      <w:pPr>
        <w:ind w:left="360" w:hanging="360"/>
      </w:pPr>
      <w:rPr>
        <w:rFonts w:hint="default"/>
      </w:rPr>
    </w:lvl>
    <w:lvl w:ilvl="1">
      <w:start w:val="1"/>
      <w:numFmt w:val="lowerLetter"/>
      <w:lvlText w:val="%2."/>
      <w:lvlJc w:val="left"/>
      <w:pPr>
        <w:ind w:left="864" w:hanging="360"/>
      </w:pPr>
      <w:rPr>
        <w:rFonts w:hint="default"/>
      </w:rPr>
    </w:lvl>
    <w:lvl w:ilvl="2">
      <w:start w:val="1"/>
      <w:numFmt w:val="lowerRoman"/>
      <w:lvlText w:val="%3."/>
      <w:lvlJc w:val="left"/>
      <w:pPr>
        <w:ind w:left="1224"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0" w15:restartNumberingAfterBreak="0">
    <w:nsid w:val="44830BE5"/>
    <w:multiLevelType w:val="hybridMultilevel"/>
    <w:tmpl w:val="E86AEB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B9070C"/>
    <w:multiLevelType w:val="hybridMultilevel"/>
    <w:tmpl w:val="2446E0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497C1A"/>
    <w:multiLevelType w:val="hybridMultilevel"/>
    <w:tmpl w:val="83E0AB86"/>
    <w:lvl w:ilvl="0" w:tplc="63BA4F8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0F46AF"/>
    <w:multiLevelType w:val="hybridMultilevel"/>
    <w:tmpl w:val="7CB83722"/>
    <w:lvl w:ilvl="0" w:tplc="363ADFF0">
      <w:start w:val="4"/>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CC3EE6"/>
    <w:multiLevelType w:val="hybridMultilevel"/>
    <w:tmpl w:val="7BE46A94"/>
    <w:lvl w:ilvl="0" w:tplc="97123432">
      <w:start w:val="23"/>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F42C3F8"/>
    <w:multiLevelType w:val="multilevel"/>
    <w:tmpl w:val="9D52E1DA"/>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0BC4BAB"/>
    <w:multiLevelType w:val="hybridMultilevel"/>
    <w:tmpl w:val="6B48362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637273A7"/>
    <w:multiLevelType w:val="hybridMultilevel"/>
    <w:tmpl w:val="D1986598"/>
    <w:lvl w:ilvl="0" w:tplc="FBFC895A">
      <w:start w:val="1"/>
      <w:numFmt w:val="bullet"/>
      <w:lvlText w:val=""/>
      <w:lvlJc w:val="left"/>
      <w:pPr>
        <w:ind w:left="720" w:hanging="360"/>
      </w:pPr>
      <w:rPr>
        <w:rFonts w:ascii="Symbol" w:hAnsi="Symbol" w:hint="default"/>
      </w:rPr>
    </w:lvl>
    <w:lvl w:ilvl="1" w:tplc="DCE613F2">
      <w:start w:val="1"/>
      <w:numFmt w:val="bullet"/>
      <w:lvlText w:val="o"/>
      <w:lvlJc w:val="left"/>
      <w:pPr>
        <w:ind w:left="1440" w:hanging="360"/>
      </w:pPr>
      <w:rPr>
        <w:rFonts w:ascii="Courier New" w:hAnsi="Courier New" w:hint="default"/>
      </w:rPr>
    </w:lvl>
    <w:lvl w:ilvl="2" w:tplc="74B01D18">
      <w:start w:val="1"/>
      <w:numFmt w:val="bullet"/>
      <w:lvlText w:val=""/>
      <w:lvlJc w:val="left"/>
      <w:pPr>
        <w:ind w:left="2160" w:hanging="360"/>
      </w:pPr>
      <w:rPr>
        <w:rFonts w:ascii="Wingdings" w:hAnsi="Wingdings" w:hint="default"/>
      </w:rPr>
    </w:lvl>
    <w:lvl w:ilvl="3" w:tplc="7102CB66">
      <w:start w:val="1"/>
      <w:numFmt w:val="bullet"/>
      <w:lvlText w:val=""/>
      <w:lvlJc w:val="left"/>
      <w:pPr>
        <w:ind w:left="2880" w:hanging="360"/>
      </w:pPr>
      <w:rPr>
        <w:rFonts w:ascii="Symbol" w:hAnsi="Symbol" w:hint="default"/>
      </w:rPr>
    </w:lvl>
    <w:lvl w:ilvl="4" w:tplc="AA9EE572">
      <w:start w:val="1"/>
      <w:numFmt w:val="bullet"/>
      <w:lvlText w:val="o"/>
      <w:lvlJc w:val="left"/>
      <w:pPr>
        <w:ind w:left="3600" w:hanging="360"/>
      </w:pPr>
      <w:rPr>
        <w:rFonts w:ascii="Courier New" w:hAnsi="Courier New" w:hint="default"/>
      </w:rPr>
    </w:lvl>
    <w:lvl w:ilvl="5" w:tplc="FD7E78EA">
      <w:start w:val="1"/>
      <w:numFmt w:val="bullet"/>
      <w:lvlText w:val=""/>
      <w:lvlJc w:val="left"/>
      <w:pPr>
        <w:ind w:left="4320" w:hanging="360"/>
      </w:pPr>
      <w:rPr>
        <w:rFonts w:ascii="Wingdings" w:hAnsi="Wingdings" w:hint="default"/>
      </w:rPr>
    </w:lvl>
    <w:lvl w:ilvl="6" w:tplc="1548B2A0">
      <w:start w:val="1"/>
      <w:numFmt w:val="bullet"/>
      <w:lvlText w:val=""/>
      <w:lvlJc w:val="left"/>
      <w:pPr>
        <w:ind w:left="5040" w:hanging="360"/>
      </w:pPr>
      <w:rPr>
        <w:rFonts w:ascii="Symbol" w:hAnsi="Symbol" w:hint="default"/>
      </w:rPr>
    </w:lvl>
    <w:lvl w:ilvl="7" w:tplc="4734241E">
      <w:start w:val="1"/>
      <w:numFmt w:val="bullet"/>
      <w:lvlText w:val="o"/>
      <w:lvlJc w:val="left"/>
      <w:pPr>
        <w:ind w:left="5760" w:hanging="360"/>
      </w:pPr>
      <w:rPr>
        <w:rFonts w:ascii="Courier New" w:hAnsi="Courier New" w:hint="default"/>
      </w:rPr>
    </w:lvl>
    <w:lvl w:ilvl="8" w:tplc="005E86F2">
      <w:start w:val="1"/>
      <w:numFmt w:val="bullet"/>
      <w:lvlText w:val=""/>
      <w:lvlJc w:val="left"/>
      <w:pPr>
        <w:ind w:left="6480" w:hanging="360"/>
      </w:pPr>
      <w:rPr>
        <w:rFonts w:ascii="Wingdings" w:hAnsi="Wingdings" w:hint="default"/>
      </w:rPr>
    </w:lvl>
  </w:abstractNum>
  <w:abstractNum w:abstractNumId="28" w15:restartNumberingAfterBreak="0">
    <w:nsid w:val="664F4066"/>
    <w:multiLevelType w:val="hybridMultilevel"/>
    <w:tmpl w:val="8480860A"/>
    <w:lvl w:ilvl="0" w:tplc="CFE656DC">
      <w:start w:val="1"/>
      <w:numFmt w:val="bullet"/>
      <w:lvlText w:val="·"/>
      <w:lvlJc w:val="left"/>
      <w:pPr>
        <w:ind w:left="720" w:hanging="360"/>
      </w:pPr>
      <w:rPr>
        <w:rFonts w:ascii="Symbol" w:hAnsi="Symbol" w:hint="default"/>
      </w:rPr>
    </w:lvl>
    <w:lvl w:ilvl="1" w:tplc="B2E0CE48">
      <w:start w:val="1"/>
      <w:numFmt w:val="bullet"/>
      <w:lvlText w:val="o"/>
      <w:lvlJc w:val="left"/>
      <w:pPr>
        <w:ind w:left="1440" w:hanging="360"/>
      </w:pPr>
      <w:rPr>
        <w:rFonts w:ascii="Courier New" w:hAnsi="Courier New" w:hint="default"/>
      </w:rPr>
    </w:lvl>
    <w:lvl w:ilvl="2" w:tplc="50E4BE16">
      <w:start w:val="1"/>
      <w:numFmt w:val="bullet"/>
      <w:lvlText w:val=""/>
      <w:lvlJc w:val="left"/>
      <w:pPr>
        <w:ind w:left="2160" w:hanging="360"/>
      </w:pPr>
      <w:rPr>
        <w:rFonts w:ascii="Wingdings" w:hAnsi="Wingdings" w:hint="default"/>
      </w:rPr>
    </w:lvl>
    <w:lvl w:ilvl="3" w:tplc="C5BEA390">
      <w:start w:val="1"/>
      <w:numFmt w:val="bullet"/>
      <w:lvlText w:val=""/>
      <w:lvlJc w:val="left"/>
      <w:pPr>
        <w:ind w:left="2880" w:hanging="360"/>
      </w:pPr>
      <w:rPr>
        <w:rFonts w:ascii="Symbol" w:hAnsi="Symbol" w:hint="default"/>
      </w:rPr>
    </w:lvl>
    <w:lvl w:ilvl="4" w:tplc="5B508510">
      <w:start w:val="1"/>
      <w:numFmt w:val="bullet"/>
      <w:lvlText w:val="o"/>
      <w:lvlJc w:val="left"/>
      <w:pPr>
        <w:ind w:left="3600" w:hanging="360"/>
      </w:pPr>
      <w:rPr>
        <w:rFonts w:ascii="Courier New" w:hAnsi="Courier New" w:hint="default"/>
      </w:rPr>
    </w:lvl>
    <w:lvl w:ilvl="5" w:tplc="5C84AF6E">
      <w:start w:val="1"/>
      <w:numFmt w:val="bullet"/>
      <w:lvlText w:val=""/>
      <w:lvlJc w:val="left"/>
      <w:pPr>
        <w:ind w:left="4320" w:hanging="360"/>
      </w:pPr>
      <w:rPr>
        <w:rFonts w:ascii="Wingdings" w:hAnsi="Wingdings" w:hint="default"/>
      </w:rPr>
    </w:lvl>
    <w:lvl w:ilvl="6" w:tplc="AB682248">
      <w:start w:val="1"/>
      <w:numFmt w:val="bullet"/>
      <w:lvlText w:val=""/>
      <w:lvlJc w:val="left"/>
      <w:pPr>
        <w:ind w:left="5040" w:hanging="360"/>
      </w:pPr>
      <w:rPr>
        <w:rFonts w:ascii="Symbol" w:hAnsi="Symbol" w:hint="default"/>
      </w:rPr>
    </w:lvl>
    <w:lvl w:ilvl="7" w:tplc="902ED3AE">
      <w:start w:val="1"/>
      <w:numFmt w:val="bullet"/>
      <w:lvlText w:val="o"/>
      <w:lvlJc w:val="left"/>
      <w:pPr>
        <w:ind w:left="5760" w:hanging="360"/>
      </w:pPr>
      <w:rPr>
        <w:rFonts w:ascii="Courier New" w:hAnsi="Courier New" w:hint="default"/>
      </w:rPr>
    </w:lvl>
    <w:lvl w:ilvl="8" w:tplc="41908DC4">
      <w:start w:val="1"/>
      <w:numFmt w:val="bullet"/>
      <w:lvlText w:val=""/>
      <w:lvlJc w:val="left"/>
      <w:pPr>
        <w:ind w:left="6480" w:hanging="360"/>
      </w:pPr>
      <w:rPr>
        <w:rFonts w:ascii="Wingdings" w:hAnsi="Wingdings" w:hint="default"/>
      </w:rPr>
    </w:lvl>
  </w:abstractNum>
  <w:abstractNum w:abstractNumId="29" w15:restartNumberingAfterBreak="0">
    <w:nsid w:val="673DDCB0"/>
    <w:multiLevelType w:val="hybridMultilevel"/>
    <w:tmpl w:val="1F50860A"/>
    <w:lvl w:ilvl="0" w:tplc="9B7C4AF4">
      <w:start w:val="1"/>
      <w:numFmt w:val="bullet"/>
      <w:lvlText w:val=""/>
      <w:lvlJc w:val="left"/>
      <w:pPr>
        <w:ind w:left="720" w:hanging="360"/>
      </w:pPr>
      <w:rPr>
        <w:rFonts w:ascii="Symbol" w:hAnsi="Symbol" w:hint="default"/>
      </w:rPr>
    </w:lvl>
    <w:lvl w:ilvl="1" w:tplc="F0A68F7A">
      <w:start w:val="1"/>
      <w:numFmt w:val="bullet"/>
      <w:lvlText w:val="o"/>
      <w:lvlJc w:val="left"/>
      <w:pPr>
        <w:ind w:left="1440" w:hanging="360"/>
      </w:pPr>
      <w:rPr>
        <w:rFonts w:ascii="Courier New" w:hAnsi="Courier New" w:hint="default"/>
      </w:rPr>
    </w:lvl>
    <w:lvl w:ilvl="2" w:tplc="AD808C6A">
      <w:start w:val="1"/>
      <w:numFmt w:val="bullet"/>
      <w:lvlText w:val=""/>
      <w:lvlJc w:val="left"/>
      <w:pPr>
        <w:ind w:left="2160" w:hanging="360"/>
      </w:pPr>
      <w:rPr>
        <w:rFonts w:ascii="Wingdings" w:hAnsi="Wingdings" w:hint="default"/>
      </w:rPr>
    </w:lvl>
    <w:lvl w:ilvl="3" w:tplc="62C44F74">
      <w:start w:val="1"/>
      <w:numFmt w:val="bullet"/>
      <w:lvlText w:val=""/>
      <w:lvlJc w:val="left"/>
      <w:pPr>
        <w:ind w:left="2880" w:hanging="360"/>
      </w:pPr>
      <w:rPr>
        <w:rFonts w:ascii="Symbol" w:hAnsi="Symbol" w:hint="default"/>
      </w:rPr>
    </w:lvl>
    <w:lvl w:ilvl="4" w:tplc="79B46F0E">
      <w:start w:val="1"/>
      <w:numFmt w:val="bullet"/>
      <w:lvlText w:val="o"/>
      <w:lvlJc w:val="left"/>
      <w:pPr>
        <w:ind w:left="3600" w:hanging="360"/>
      </w:pPr>
      <w:rPr>
        <w:rFonts w:ascii="Courier New" w:hAnsi="Courier New" w:hint="default"/>
      </w:rPr>
    </w:lvl>
    <w:lvl w:ilvl="5" w:tplc="C40A62B6">
      <w:start w:val="1"/>
      <w:numFmt w:val="bullet"/>
      <w:lvlText w:val=""/>
      <w:lvlJc w:val="left"/>
      <w:pPr>
        <w:ind w:left="4320" w:hanging="360"/>
      </w:pPr>
      <w:rPr>
        <w:rFonts w:ascii="Wingdings" w:hAnsi="Wingdings" w:hint="default"/>
      </w:rPr>
    </w:lvl>
    <w:lvl w:ilvl="6" w:tplc="5B8C5DF0">
      <w:start w:val="1"/>
      <w:numFmt w:val="bullet"/>
      <w:lvlText w:val=""/>
      <w:lvlJc w:val="left"/>
      <w:pPr>
        <w:ind w:left="5040" w:hanging="360"/>
      </w:pPr>
      <w:rPr>
        <w:rFonts w:ascii="Symbol" w:hAnsi="Symbol" w:hint="default"/>
      </w:rPr>
    </w:lvl>
    <w:lvl w:ilvl="7" w:tplc="3FA28200">
      <w:start w:val="1"/>
      <w:numFmt w:val="bullet"/>
      <w:lvlText w:val="o"/>
      <w:lvlJc w:val="left"/>
      <w:pPr>
        <w:ind w:left="5760" w:hanging="360"/>
      </w:pPr>
      <w:rPr>
        <w:rFonts w:ascii="Courier New" w:hAnsi="Courier New" w:hint="default"/>
      </w:rPr>
    </w:lvl>
    <w:lvl w:ilvl="8" w:tplc="DF8ED488">
      <w:start w:val="1"/>
      <w:numFmt w:val="bullet"/>
      <w:lvlText w:val=""/>
      <w:lvlJc w:val="left"/>
      <w:pPr>
        <w:ind w:left="6480" w:hanging="360"/>
      </w:pPr>
      <w:rPr>
        <w:rFonts w:ascii="Wingdings" w:hAnsi="Wingdings" w:hint="default"/>
      </w:rPr>
    </w:lvl>
  </w:abstractNum>
  <w:abstractNum w:abstractNumId="30" w15:restartNumberingAfterBreak="0">
    <w:nsid w:val="6C64EDFB"/>
    <w:multiLevelType w:val="hybridMultilevel"/>
    <w:tmpl w:val="B17A2A60"/>
    <w:lvl w:ilvl="0" w:tplc="03F05332">
      <w:start w:val="1"/>
      <w:numFmt w:val="bullet"/>
      <w:lvlText w:val=""/>
      <w:lvlJc w:val="left"/>
      <w:pPr>
        <w:ind w:left="720" w:hanging="360"/>
      </w:pPr>
      <w:rPr>
        <w:rFonts w:ascii="Symbol" w:hAnsi="Symbol" w:hint="default"/>
      </w:rPr>
    </w:lvl>
    <w:lvl w:ilvl="1" w:tplc="15800D90">
      <w:start w:val="1"/>
      <w:numFmt w:val="bullet"/>
      <w:lvlText w:val="o"/>
      <w:lvlJc w:val="left"/>
      <w:pPr>
        <w:ind w:left="1440" w:hanging="360"/>
      </w:pPr>
      <w:rPr>
        <w:rFonts w:ascii="Courier New" w:hAnsi="Courier New" w:hint="default"/>
      </w:rPr>
    </w:lvl>
    <w:lvl w:ilvl="2" w:tplc="AFDE69B2">
      <w:start w:val="1"/>
      <w:numFmt w:val="bullet"/>
      <w:lvlText w:val=""/>
      <w:lvlJc w:val="left"/>
      <w:pPr>
        <w:ind w:left="2160" w:hanging="360"/>
      </w:pPr>
      <w:rPr>
        <w:rFonts w:ascii="Wingdings" w:hAnsi="Wingdings" w:hint="default"/>
      </w:rPr>
    </w:lvl>
    <w:lvl w:ilvl="3" w:tplc="5E8A3432">
      <w:start w:val="1"/>
      <w:numFmt w:val="bullet"/>
      <w:lvlText w:val=""/>
      <w:lvlJc w:val="left"/>
      <w:pPr>
        <w:ind w:left="2880" w:hanging="360"/>
      </w:pPr>
      <w:rPr>
        <w:rFonts w:ascii="Symbol" w:hAnsi="Symbol" w:hint="default"/>
      </w:rPr>
    </w:lvl>
    <w:lvl w:ilvl="4" w:tplc="AE6C1B56">
      <w:start w:val="1"/>
      <w:numFmt w:val="bullet"/>
      <w:lvlText w:val="o"/>
      <w:lvlJc w:val="left"/>
      <w:pPr>
        <w:ind w:left="3600" w:hanging="360"/>
      </w:pPr>
      <w:rPr>
        <w:rFonts w:ascii="Courier New" w:hAnsi="Courier New" w:hint="default"/>
      </w:rPr>
    </w:lvl>
    <w:lvl w:ilvl="5" w:tplc="2688BC50">
      <w:start w:val="1"/>
      <w:numFmt w:val="bullet"/>
      <w:lvlText w:val=""/>
      <w:lvlJc w:val="left"/>
      <w:pPr>
        <w:ind w:left="4320" w:hanging="360"/>
      </w:pPr>
      <w:rPr>
        <w:rFonts w:ascii="Wingdings" w:hAnsi="Wingdings" w:hint="default"/>
      </w:rPr>
    </w:lvl>
    <w:lvl w:ilvl="6" w:tplc="F14237DC">
      <w:start w:val="1"/>
      <w:numFmt w:val="bullet"/>
      <w:lvlText w:val=""/>
      <w:lvlJc w:val="left"/>
      <w:pPr>
        <w:ind w:left="5040" w:hanging="360"/>
      </w:pPr>
      <w:rPr>
        <w:rFonts w:ascii="Symbol" w:hAnsi="Symbol" w:hint="default"/>
      </w:rPr>
    </w:lvl>
    <w:lvl w:ilvl="7" w:tplc="49442E62">
      <w:start w:val="1"/>
      <w:numFmt w:val="bullet"/>
      <w:lvlText w:val="o"/>
      <w:lvlJc w:val="left"/>
      <w:pPr>
        <w:ind w:left="5760" w:hanging="360"/>
      </w:pPr>
      <w:rPr>
        <w:rFonts w:ascii="Courier New" w:hAnsi="Courier New" w:hint="default"/>
      </w:rPr>
    </w:lvl>
    <w:lvl w:ilvl="8" w:tplc="E33AE056">
      <w:start w:val="1"/>
      <w:numFmt w:val="bullet"/>
      <w:lvlText w:val=""/>
      <w:lvlJc w:val="left"/>
      <w:pPr>
        <w:ind w:left="6480" w:hanging="360"/>
      </w:pPr>
      <w:rPr>
        <w:rFonts w:ascii="Wingdings" w:hAnsi="Wingdings" w:hint="default"/>
      </w:rPr>
    </w:lvl>
  </w:abstractNum>
  <w:abstractNum w:abstractNumId="31" w15:restartNumberingAfterBreak="0">
    <w:nsid w:val="743A02D4"/>
    <w:multiLevelType w:val="hybridMultilevel"/>
    <w:tmpl w:val="F98AD80E"/>
    <w:lvl w:ilvl="0" w:tplc="0E6CA5D4">
      <w:start w:val="1"/>
      <w:numFmt w:val="bullet"/>
      <w:lvlText w:val=""/>
      <w:lvlJc w:val="left"/>
      <w:pPr>
        <w:ind w:left="720" w:hanging="360"/>
      </w:pPr>
      <w:rPr>
        <w:rFonts w:ascii="Symbol" w:hAnsi="Symbol" w:hint="default"/>
      </w:rPr>
    </w:lvl>
    <w:lvl w:ilvl="1" w:tplc="61A21C34">
      <w:start w:val="1"/>
      <w:numFmt w:val="bullet"/>
      <w:lvlText w:val="o"/>
      <w:lvlJc w:val="left"/>
      <w:pPr>
        <w:ind w:left="1440" w:hanging="360"/>
      </w:pPr>
      <w:rPr>
        <w:rFonts w:ascii="Courier New" w:hAnsi="Courier New" w:hint="default"/>
      </w:rPr>
    </w:lvl>
    <w:lvl w:ilvl="2" w:tplc="5B7C3632">
      <w:start w:val="1"/>
      <w:numFmt w:val="bullet"/>
      <w:lvlText w:val=""/>
      <w:lvlJc w:val="left"/>
      <w:pPr>
        <w:ind w:left="2160" w:hanging="360"/>
      </w:pPr>
      <w:rPr>
        <w:rFonts w:ascii="Wingdings" w:hAnsi="Wingdings" w:hint="default"/>
      </w:rPr>
    </w:lvl>
    <w:lvl w:ilvl="3" w:tplc="7A16FD88">
      <w:start w:val="1"/>
      <w:numFmt w:val="bullet"/>
      <w:lvlText w:val=""/>
      <w:lvlJc w:val="left"/>
      <w:pPr>
        <w:ind w:left="2880" w:hanging="360"/>
      </w:pPr>
      <w:rPr>
        <w:rFonts w:ascii="Symbol" w:hAnsi="Symbol" w:hint="default"/>
      </w:rPr>
    </w:lvl>
    <w:lvl w:ilvl="4" w:tplc="EC7AC10A">
      <w:start w:val="1"/>
      <w:numFmt w:val="bullet"/>
      <w:lvlText w:val="o"/>
      <w:lvlJc w:val="left"/>
      <w:pPr>
        <w:ind w:left="3600" w:hanging="360"/>
      </w:pPr>
      <w:rPr>
        <w:rFonts w:ascii="Courier New" w:hAnsi="Courier New" w:hint="default"/>
      </w:rPr>
    </w:lvl>
    <w:lvl w:ilvl="5" w:tplc="2F1E0DC8">
      <w:start w:val="1"/>
      <w:numFmt w:val="bullet"/>
      <w:lvlText w:val=""/>
      <w:lvlJc w:val="left"/>
      <w:pPr>
        <w:ind w:left="4320" w:hanging="360"/>
      </w:pPr>
      <w:rPr>
        <w:rFonts w:ascii="Wingdings" w:hAnsi="Wingdings" w:hint="default"/>
      </w:rPr>
    </w:lvl>
    <w:lvl w:ilvl="6" w:tplc="1980C882">
      <w:start w:val="1"/>
      <w:numFmt w:val="bullet"/>
      <w:lvlText w:val=""/>
      <w:lvlJc w:val="left"/>
      <w:pPr>
        <w:ind w:left="5040" w:hanging="360"/>
      </w:pPr>
      <w:rPr>
        <w:rFonts w:ascii="Symbol" w:hAnsi="Symbol" w:hint="default"/>
      </w:rPr>
    </w:lvl>
    <w:lvl w:ilvl="7" w:tplc="D9DE9FCE">
      <w:start w:val="1"/>
      <w:numFmt w:val="bullet"/>
      <w:lvlText w:val="o"/>
      <w:lvlJc w:val="left"/>
      <w:pPr>
        <w:ind w:left="5760" w:hanging="360"/>
      </w:pPr>
      <w:rPr>
        <w:rFonts w:ascii="Courier New" w:hAnsi="Courier New" w:hint="default"/>
      </w:rPr>
    </w:lvl>
    <w:lvl w:ilvl="8" w:tplc="2580E672">
      <w:start w:val="1"/>
      <w:numFmt w:val="bullet"/>
      <w:lvlText w:val=""/>
      <w:lvlJc w:val="left"/>
      <w:pPr>
        <w:ind w:left="6480" w:hanging="360"/>
      </w:pPr>
      <w:rPr>
        <w:rFonts w:ascii="Wingdings" w:hAnsi="Wingdings" w:hint="default"/>
      </w:rPr>
    </w:lvl>
  </w:abstractNum>
  <w:abstractNum w:abstractNumId="32" w15:restartNumberingAfterBreak="0">
    <w:nsid w:val="75D66EFA"/>
    <w:multiLevelType w:val="hybridMultilevel"/>
    <w:tmpl w:val="5CC8BCFC"/>
    <w:lvl w:ilvl="0" w:tplc="06C065E2">
      <w:start w:val="23"/>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AE6DC2"/>
    <w:multiLevelType w:val="hybridMultilevel"/>
    <w:tmpl w:val="87CC337E"/>
    <w:lvl w:ilvl="0" w:tplc="B616FA2E">
      <w:start w:val="1"/>
      <w:numFmt w:val="bullet"/>
      <w:lvlText w:val=""/>
      <w:lvlJc w:val="left"/>
      <w:pPr>
        <w:ind w:left="720" w:hanging="360"/>
      </w:pPr>
      <w:rPr>
        <w:rFonts w:ascii="Symbol" w:hAnsi="Symbol" w:hint="default"/>
      </w:rPr>
    </w:lvl>
    <w:lvl w:ilvl="1" w:tplc="6220C3C2">
      <w:start w:val="1"/>
      <w:numFmt w:val="bullet"/>
      <w:lvlText w:val="o"/>
      <w:lvlJc w:val="left"/>
      <w:pPr>
        <w:ind w:left="1440" w:hanging="360"/>
      </w:pPr>
      <w:rPr>
        <w:rFonts w:ascii="Courier New" w:hAnsi="Courier New" w:hint="default"/>
      </w:rPr>
    </w:lvl>
    <w:lvl w:ilvl="2" w:tplc="5C5A5800">
      <w:start w:val="1"/>
      <w:numFmt w:val="bullet"/>
      <w:lvlText w:val=""/>
      <w:lvlJc w:val="left"/>
      <w:pPr>
        <w:ind w:left="2160" w:hanging="360"/>
      </w:pPr>
      <w:rPr>
        <w:rFonts w:ascii="Wingdings" w:hAnsi="Wingdings" w:hint="default"/>
      </w:rPr>
    </w:lvl>
    <w:lvl w:ilvl="3" w:tplc="75B624AA">
      <w:start w:val="1"/>
      <w:numFmt w:val="bullet"/>
      <w:lvlText w:val=""/>
      <w:lvlJc w:val="left"/>
      <w:pPr>
        <w:ind w:left="2880" w:hanging="360"/>
      </w:pPr>
      <w:rPr>
        <w:rFonts w:ascii="Symbol" w:hAnsi="Symbol" w:hint="default"/>
      </w:rPr>
    </w:lvl>
    <w:lvl w:ilvl="4" w:tplc="1A5A2DC2">
      <w:start w:val="1"/>
      <w:numFmt w:val="bullet"/>
      <w:lvlText w:val="o"/>
      <w:lvlJc w:val="left"/>
      <w:pPr>
        <w:ind w:left="3600" w:hanging="360"/>
      </w:pPr>
      <w:rPr>
        <w:rFonts w:ascii="Courier New" w:hAnsi="Courier New" w:hint="default"/>
      </w:rPr>
    </w:lvl>
    <w:lvl w:ilvl="5" w:tplc="CB2876E0">
      <w:start w:val="1"/>
      <w:numFmt w:val="bullet"/>
      <w:lvlText w:val=""/>
      <w:lvlJc w:val="left"/>
      <w:pPr>
        <w:ind w:left="4320" w:hanging="360"/>
      </w:pPr>
      <w:rPr>
        <w:rFonts w:ascii="Wingdings" w:hAnsi="Wingdings" w:hint="default"/>
      </w:rPr>
    </w:lvl>
    <w:lvl w:ilvl="6" w:tplc="08505FC2">
      <w:start w:val="1"/>
      <w:numFmt w:val="bullet"/>
      <w:lvlText w:val=""/>
      <w:lvlJc w:val="left"/>
      <w:pPr>
        <w:ind w:left="5040" w:hanging="360"/>
      </w:pPr>
      <w:rPr>
        <w:rFonts w:ascii="Symbol" w:hAnsi="Symbol" w:hint="default"/>
      </w:rPr>
    </w:lvl>
    <w:lvl w:ilvl="7" w:tplc="FBC0A102">
      <w:start w:val="1"/>
      <w:numFmt w:val="bullet"/>
      <w:lvlText w:val="o"/>
      <w:lvlJc w:val="left"/>
      <w:pPr>
        <w:ind w:left="5760" w:hanging="360"/>
      </w:pPr>
      <w:rPr>
        <w:rFonts w:ascii="Courier New" w:hAnsi="Courier New" w:hint="default"/>
      </w:rPr>
    </w:lvl>
    <w:lvl w:ilvl="8" w:tplc="66D47022">
      <w:start w:val="1"/>
      <w:numFmt w:val="bullet"/>
      <w:lvlText w:val=""/>
      <w:lvlJc w:val="left"/>
      <w:pPr>
        <w:ind w:left="6480" w:hanging="360"/>
      </w:pPr>
      <w:rPr>
        <w:rFonts w:ascii="Wingdings" w:hAnsi="Wingdings" w:hint="default"/>
      </w:rPr>
    </w:lvl>
  </w:abstractNum>
  <w:abstractNum w:abstractNumId="34" w15:restartNumberingAfterBreak="0">
    <w:nsid w:val="7A29598A"/>
    <w:multiLevelType w:val="hybridMultilevel"/>
    <w:tmpl w:val="42B444EE"/>
    <w:lvl w:ilvl="0" w:tplc="EB26CAD0">
      <w:start w:val="1"/>
      <w:numFmt w:val="upperLetter"/>
      <w:lvlText w:val="(%1)"/>
      <w:lvlJc w:val="left"/>
      <w:pPr>
        <w:ind w:left="720" w:hanging="360"/>
      </w:pPr>
    </w:lvl>
    <w:lvl w:ilvl="1" w:tplc="0224A21A">
      <w:start w:val="1"/>
      <w:numFmt w:val="lowerLetter"/>
      <w:lvlText w:val="%2."/>
      <w:lvlJc w:val="left"/>
      <w:pPr>
        <w:ind w:left="1440" w:hanging="360"/>
      </w:pPr>
    </w:lvl>
    <w:lvl w:ilvl="2" w:tplc="49C475DA">
      <w:start w:val="1"/>
      <w:numFmt w:val="lowerRoman"/>
      <w:lvlText w:val="%3."/>
      <w:lvlJc w:val="right"/>
      <w:pPr>
        <w:ind w:left="2160" w:hanging="180"/>
      </w:pPr>
    </w:lvl>
    <w:lvl w:ilvl="3" w:tplc="B81CC42A">
      <w:start w:val="1"/>
      <w:numFmt w:val="decimal"/>
      <w:lvlText w:val="%4."/>
      <w:lvlJc w:val="left"/>
      <w:pPr>
        <w:ind w:left="2880" w:hanging="360"/>
      </w:pPr>
    </w:lvl>
    <w:lvl w:ilvl="4" w:tplc="1086327E">
      <w:start w:val="1"/>
      <w:numFmt w:val="lowerLetter"/>
      <w:lvlText w:val="%5."/>
      <w:lvlJc w:val="left"/>
      <w:pPr>
        <w:ind w:left="3600" w:hanging="360"/>
      </w:pPr>
    </w:lvl>
    <w:lvl w:ilvl="5" w:tplc="9394217C">
      <w:start w:val="1"/>
      <w:numFmt w:val="lowerRoman"/>
      <w:lvlText w:val="%6."/>
      <w:lvlJc w:val="right"/>
      <w:pPr>
        <w:ind w:left="4320" w:hanging="180"/>
      </w:pPr>
    </w:lvl>
    <w:lvl w:ilvl="6" w:tplc="F4AAA0AC">
      <w:start w:val="1"/>
      <w:numFmt w:val="decimal"/>
      <w:lvlText w:val="%7."/>
      <w:lvlJc w:val="left"/>
      <w:pPr>
        <w:ind w:left="5040" w:hanging="360"/>
      </w:pPr>
    </w:lvl>
    <w:lvl w:ilvl="7" w:tplc="7F7053EA">
      <w:start w:val="1"/>
      <w:numFmt w:val="lowerLetter"/>
      <w:lvlText w:val="%8."/>
      <w:lvlJc w:val="left"/>
      <w:pPr>
        <w:ind w:left="5760" w:hanging="360"/>
      </w:pPr>
    </w:lvl>
    <w:lvl w:ilvl="8" w:tplc="CB6EB64C">
      <w:start w:val="1"/>
      <w:numFmt w:val="lowerRoman"/>
      <w:lvlText w:val="%9."/>
      <w:lvlJc w:val="right"/>
      <w:pPr>
        <w:ind w:left="6480" w:hanging="180"/>
      </w:pPr>
    </w:lvl>
  </w:abstractNum>
  <w:abstractNum w:abstractNumId="35" w15:restartNumberingAfterBreak="0">
    <w:nsid w:val="7C79BC9C"/>
    <w:multiLevelType w:val="hybridMultilevel"/>
    <w:tmpl w:val="65FCDA32"/>
    <w:lvl w:ilvl="0" w:tplc="2E76B460">
      <w:start w:val="1"/>
      <w:numFmt w:val="decimal"/>
      <w:lvlText w:val="%1."/>
      <w:lvlJc w:val="left"/>
      <w:pPr>
        <w:ind w:left="720" w:hanging="360"/>
      </w:pPr>
    </w:lvl>
    <w:lvl w:ilvl="1" w:tplc="6F8EFE9A">
      <w:start w:val="1"/>
      <w:numFmt w:val="lowerLetter"/>
      <w:lvlText w:val="%2."/>
      <w:lvlJc w:val="left"/>
      <w:pPr>
        <w:ind w:left="1440" w:hanging="360"/>
      </w:pPr>
    </w:lvl>
    <w:lvl w:ilvl="2" w:tplc="F086C8E0">
      <w:start w:val="1"/>
      <w:numFmt w:val="lowerRoman"/>
      <w:lvlText w:val="%3."/>
      <w:lvlJc w:val="right"/>
      <w:pPr>
        <w:ind w:left="2160" w:hanging="180"/>
      </w:pPr>
    </w:lvl>
    <w:lvl w:ilvl="3" w:tplc="DC0411A6">
      <w:start w:val="1"/>
      <w:numFmt w:val="decimal"/>
      <w:lvlText w:val="%4."/>
      <w:lvlJc w:val="left"/>
      <w:pPr>
        <w:ind w:left="2880" w:hanging="360"/>
      </w:pPr>
    </w:lvl>
    <w:lvl w:ilvl="4" w:tplc="8A3A3D1A">
      <w:start w:val="1"/>
      <w:numFmt w:val="lowerLetter"/>
      <w:lvlText w:val="%5."/>
      <w:lvlJc w:val="left"/>
      <w:pPr>
        <w:ind w:left="3600" w:hanging="360"/>
      </w:pPr>
    </w:lvl>
    <w:lvl w:ilvl="5" w:tplc="5B5677B0">
      <w:start w:val="1"/>
      <w:numFmt w:val="lowerRoman"/>
      <w:lvlText w:val="%6."/>
      <w:lvlJc w:val="right"/>
      <w:pPr>
        <w:ind w:left="4320" w:hanging="180"/>
      </w:pPr>
    </w:lvl>
    <w:lvl w:ilvl="6" w:tplc="12383C78">
      <w:start w:val="1"/>
      <w:numFmt w:val="decimal"/>
      <w:lvlText w:val="%7."/>
      <w:lvlJc w:val="left"/>
      <w:pPr>
        <w:ind w:left="5040" w:hanging="360"/>
      </w:pPr>
    </w:lvl>
    <w:lvl w:ilvl="7" w:tplc="2B3A9B7E">
      <w:start w:val="1"/>
      <w:numFmt w:val="lowerLetter"/>
      <w:lvlText w:val="%8."/>
      <w:lvlJc w:val="left"/>
      <w:pPr>
        <w:ind w:left="5760" w:hanging="360"/>
      </w:pPr>
    </w:lvl>
    <w:lvl w:ilvl="8" w:tplc="C9426E5A">
      <w:start w:val="1"/>
      <w:numFmt w:val="lowerRoman"/>
      <w:lvlText w:val="%9."/>
      <w:lvlJc w:val="right"/>
      <w:pPr>
        <w:ind w:left="6480" w:hanging="180"/>
      </w:pPr>
    </w:lvl>
  </w:abstractNum>
  <w:abstractNum w:abstractNumId="36" w15:restartNumberingAfterBreak="0">
    <w:nsid w:val="7F2503B1"/>
    <w:multiLevelType w:val="hybridMultilevel"/>
    <w:tmpl w:val="33DE49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7288063">
    <w:abstractNumId w:val="33"/>
  </w:num>
  <w:num w:numId="2" w16cid:durableId="409272838">
    <w:abstractNumId w:val="31"/>
  </w:num>
  <w:num w:numId="3" w16cid:durableId="417603114">
    <w:abstractNumId w:val="29"/>
  </w:num>
  <w:num w:numId="4" w16cid:durableId="339817339">
    <w:abstractNumId w:val="18"/>
  </w:num>
  <w:num w:numId="5" w16cid:durableId="1270431967">
    <w:abstractNumId w:val="2"/>
  </w:num>
  <w:num w:numId="6" w16cid:durableId="611329876">
    <w:abstractNumId w:val="17"/>
  </w:num>
  <w:num w:numId="7" w16cid:durableId="792216707">
    <w:abstractNumId w:val="28"/>
  </w:num>
  <w:num w:numId="8" w16cid:durableId="2060669519">
    <w:abstractNumId w:val="4"/>
  </w:num>
  <w:num w:numId="9" w16cid:durableId="1284731013">
    <w:abstractNumId w:val="6"/>
  </w:num>
  <w:num w:numId="10" w16cid:durableId="1758360650">
    <w:abstractNumId w:val="8"/>
  </w:num>
  <w:num w:numId="11" w16cid:durableId="1261064816">
    <w:abstractNumId w:val="16"/>
  </w:num>
  <w:num w:numId="12" w16cid:durableId="689527933">
    <w:abstractNumId w:val="11"/>
  </w:num>
  <w:num w:numId="13" w16cid:durableId="1871264847">
    <w:abstractNumId w:val="30"/>
  </w:num>
  <w:num w:numId="14" w16cid:durableId="496069406">
    <w:abstractNumId w:val="34"/>
  </w:num>
  <w:num w:numId="15" w16cid:durableId="1437093307">
    <w:abstractNumId w:val="1"/>
  </w:num>
  <w:num w:numId="16" w16cid:durableId="679236434">
    <w:abstractNumId w:val="10"/>
  </w:num>
  <w:num w:numId="17" w16cid:durableId="730881260">
    <w:abstractNumId w:val="0"/>
  </w:num>
  <w:num w:numId="18" w16cid:durableId="876770496">
    <w:abstractNumId w:val="27"/>
  </w:num>
  <w:num w:numId="19" w16cid:durableId="1906256998">
    <w:abstractNumId w:val="25"/>
  </w:num>
  <w:num w:numId="20" w16cid:durableId="547111860">
    <w:abstractNumId w:val="35"/>
  </w:num>
  <w:num w:numId="21" w16cid:durableId="1147940562">
    <w:abstractNumId w:val="14"/>
  </w:num>
  <w:num w:numId="22" w16cid:durableId="1012487403">
    <w:abstractNumId w:val="19"/>
  </w:num>
  <w:num w:numId="23" w16cid:durableId="938485759">
    <w:abstractNumId w:val="7"/>
  </w:num>
  <w:num w:numId="24" w16cid:durableId="1233396175">
    <w:abstractNumId w:val="32"/>
  </w:num>
  <w:num w:numId="25" w16cid:durableId="1919559039">
    <w:abstractNumId w:val="15"/>
  </w:num>
  <w:num w:numId="26" w16cid:durableId="1588342086">
    <w:abstractNumId w:val="24"/>
  </w:num>
  <w:num w:numId="27" w16cid:durableId="1530144556">
    <w:abstractNumId w:val="5"/>
  </w:num>
  <w:num w:numId="28" w16cid:durableId="182209356">
    <w:abstractNumId w:val="9"/>
  </w:num>
  <w:num w:numId="29" w16cid:durableId="1566914627">
    <w:abstractNumId w:val="36"/>
  </w:num>
  <w:num w:numId="30" w16cid:durableId="31150575">
    <w:abstractNumId w:val="20"/>
  </w:num>
  <w:num w:numId="31" w16cid:durableId="1865630875">
    <w:abstractNumId w:val="21"/>
  </w:num>
  <w:num w:numId="32" w16cid:durableId="622083049">
    <w:abstractNumId w:val="23"/>
  </w:num>
  <w:num w:numId="33" w16cid:durableId="1698506674">
    <w:abstractNumId w:val="22"/>
  </w:num>
  <w:num w:numId="34" w16cid:durableId="1256666533">
    <w:abstractNumId w:val="12"/>
  </w:num>
  <w:num w:numId="35" w16cid:durableId="89787998">
    <w:abstractNumId w:val="3"/>
  </w:num>
  <w:num w:numId="36" w16cid:durableId="303628448">
    <w:abstractNumId w:val="26"/>
  </w:num>
  <w:num w:numId="37" w16cid:durableId="778993641">
    <w:abstractNumId w:val="13"/>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erri Coats">
    <w15:presenceInfo w15:providerId="AD" w15:userId="S::sherri.coats@sde.ok.gov::d17bb8f0-5baf-44d0-a795-a7e97aa012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Gplkmrseh8bdqYeXbv6ittSrbB1eqVYiM5idPp8zL9SNzS1oHTt/W01kkg0HR3R2NMtvzfuS78O3rKrgtIiPtg==" w:salt="j99eehnvWmUtu5kjSg2l4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D7E"/>
    <w:rsid w:val="0000142B"/>
    <w:rsid w:val="00001809"/>
    <w:rsid w:val="00001BCC"/>
    <w:rsid w:val="00003A74"/>
    <w:rsid w:val="000059BE"/>
    <w:rsid w:val="00005BB8"/>
    <w:rsid w:val="00006F0E"/>
    <w:rsid w:val="00007F7E"/>
    <w:rsid w:val="00014919"/>
    <w:rsid w:val="00016730"/>
    <w:rsid w:val="00016AB5"/>
    <w:rsid w:val="00017881"/>
    <w:rsid w:val="000207F7"/>
    <w:rsid w:val="00022399"/>
    <w:rsid w:val="00023CF9"/>
    <w:rsid w:val="00024DCE"/>
    <w:rsid w:val="00026B80"/>
    <w:rsid w:val="000276C4"/>
    <w:rsid w:val="00027D01"/>
    <w:rsid w:val="00030438"/>
    <w:rsid w:val="00033A07"/>
    <w:rsid w:val="00034C04"/>
    <w:rsid w:val="0003634A"/>
    <w:rsid w:val="00040940"/>
    <w:rsid w:val="000422FE"/>
    <w:rsid w:val="00043405"/>
    <w:rsid w:val="0004393B"/>
    <w:rsid w:val="0004407B"/>
    <w:rsid w:val="000440FD"/>
    <w:rsid w:val="000453FF"/>
    <w:rsid w:val="000454C7"/>
    <w:rsid w:val="000457DA"/>
    <w:rsid w:val="0004695D"/>
    <w:rsid w:val="00046CCB"/>
    <w:rsid w:val="0004767D"/>
    <w:rsid w:val="0005069A"/>
    <w:rsid w:val="00051157"/>
    <w:rsid w:val="00052D7F"/>
    <w:rsid w:val="000539D1"/>
    <w:rsid w:val="000540E7"/>
    <w:rsid w:val="00055132"/>
    <w:rsid w:val="00056320"/>
    <w:rsid w:val="000578A4"/>
    <w:rsid w:val="000606E7"/>
    <w:rsid w:val="00061C28"/>
    <w:rsid w:val="00064A2C"/>
    <w:rsid w:val="00067715"/>
    <w:rsid w:val="00067B11"/>
    <w:rsid w:val="000703ED"/>
    <w:rsid w:val="00070670"/>
    <w:rsid w:val="000708DE"/>
    <w:rsid w:val="0007092E"/>
    <w:rsid w:val="000720EA"/>
    <w:rsid w:val="0007236D"/>
    <w:rsid w:val="0007382B"/>
    <w:rsid w:val="00073891"/>
    <w:rsid w:val="00076F94"/>
    <w:rsid w:val="0008106E"/>
    <w:rsid w:val="0008196E"/>
    <w:rsid w:val="000826F1"/>
    <w:rsid w:val="0008320B"/>
    <w:rsid w:val="00083B46"/>
    <w:rsid w:val="0008434E"/>
    <w:rsid w:val="000847E2"/>
    <w:rsid w:val="00086C3D"/>
    <w:rsid w:val="00090900"/>
    <w:rsid w:val="000922F5"/>
    <w:rsid w:val="00092C13"/>
    <w:rsid w:val="000930BC"/>
    <w:rsid w:val="000A2F59"/>
    <w:rsid w:val="000A318A"/>
    <w:rsid w:val="000A43B6"/>
    <w:rsid w:val="000A5406"/>
    <w:rsid w:val="000A6D26"/>
    <w:rsid w:val="000A6E50"/>
    <w:rsid w:val="000A7C7C"/>
    <w:rsid w:val="000B2264"/>
    <w:rsid w:val="000B4696"/>
    <w:rsid w:val="000B4C37"/>
    <w:rsid w:val="000C140F"/>
    <w:rsid w:val="000C2E4C"/>
    <w:rsid w:val="000C2E93"/>
    <w:rsid w:val="000C3AAA"/>
    <w:rsid w:val="000C4236"/>
    <w:rsid w:val="000C6342"/>
    <w:rsid w:val="000C64D5"/>
    <w:rsid w:val="000C74DC"/>
    <w:rsid w:val="000D49C3"/>
    <w:rsid w:val="000D77B6"/>
    <w:rsid w:val="000D7F6E"/>
    <w:rsid w:val="000E1516"/>
    <w:rsid w:val="000E2C56"/>
    <w:rsid w:val="000E4040"/>
    <w:rsid w:val="000E4EB0"/>
    <w:rsid w:val="000E5BC2"/>
    <w:rsid w:val="000E619B"/>
    <w:rsid w:val="000F0E9F"/>
    <w:rsid w:val="000F1CFF"/>
    <w:rsid w:val="000F2FC0"/>
    <w:rsid w:val="000F30E6"/>
    <w:rsid w:val="000F31DD"/>
    <w:rsid w:val="000F3CDE"/>
    <w:rsid w:val="000F5877"/>
    <w:rsid w:val="000F5A4F"/>
    <w:rsid w:val="00100620"/>
    <w:rsid w:val="00100CFE"/>
    <w:rsid w:val="00102BA2"/>
    <w:rsid w:val="00102DAB"/>
    <w:rsid w:val="0010641F"/>
    <w:rsid w:val="00106C9F"/>
    <w:rsid w:val="00107E09"/>
    <w:rsid w:val="001100C5"/>
    <w:rsid w:val="0011076F"/>
    <w:rsid w:val="00110BCD"/>
    <w:rsid w:val="001123BD"/>
    <w:rsid w:val="00113286"/>
    <w:rsid w:val="0011385D"/>
    <w:rsid w:val="00115102"/>
    <w:rsid w:val="00123CCC"/>
    <w:rsid w:val="00125719"/>
    <w:rsid w:val="00125F27"/>
    <w:rsid w:val="00127AA5"/>
    <w:rsid w:val="00131B9A"/>
    <w:rsid w:val="00132001"/>
    <w:rsid w:val="0013339E"/>
    <w:rsid w:val="0013553F"/>
    <w:rsid w:val="001418E2"/>
    <w:rsid w:val="00142A2A"/>
    <w:rsid w:val="00142EB0"/>
    <w:rsid w:val="00144471"/>
    <w:rsid w:val="00146D9B"/>
    <w:rsid w:val="001515B3"/>
    <w:rsid w:val="00151857"/>
    <w:rsid w:val="00154E89"/>
    <w:rsid w:val="00155314"/>
    <w:rsid w:val="001557D2"/>
    <w:rsid w:val="00156E0D"/>
    <w:rsid w:val="00156ECD"/>
    <w:rsid w:val="001578D4"/>
    <w:rsid w:val="00157AC6"/>
    <w:rsid w:val="00162977"/>
    <w:rsid w:val="00162997"/>
    <w:rsid w:val="00165A14"/>
    <w:rsid w:val="00165E3E"/>
    <w:rsid w:val="00166839"/>
    <w:rsid w:val="00173CCA"/>
    <w:rsid w:val="001742CB"/>
    <w:rsid w:val="001763AC"/>
    <w:rsid w:val="00183C7A"/>
    <w:rsid w:val="001845D3"/>
    <w:rsid w:val="0018715C"/>
    <w:rsid w:val="00187293"/>
    <w:rsid w:val="001902AB"/>
    <w:rsid w:val="00190BE6"/>
    <w:rsid w:val="0019191D"/>
    <w:rsid w:val="0019200C"/>
    <w:rsid w:val="001923E8"/>
    <w:rsid w:val="00192A53"/>
    <w:rsid w:val="00194273"/>
    <w:rsid w:val="00196BB4"/>
    <w:rsid w:val="001A0016"/>
    <w:rsid w:val="001A0B3A"/>
    <w:rsid w:val="001A17E5"/>
    <w:rsid w:val="001A4C47"/>
    <w:rsid w:val="001B0D79"/>
    <w:rsid w:val="001B1C97"/>
    <w:rsid w:val="001B2440"/>
    <w:rsid w:val="001B5BA9"/>
    <w:rsid w:val="001B7F1C"/>
    <w:rsid w:val="001C3203"/>
    <w:rsid w:val="001C439D"/>
    <w:rsid w:val="001C5618"/>
    <w:rsid w:val="001C7C60"/>
    <w:rsid w:val="001D08F5"/>
    <w:rsid w:val="001D0FB9"/>
    <w:rsid w:val="001D146F"/>
    <w:rsid w:val="001D3761"/>
    <w:rsid w:val="001D3DFE"/>
    <w:rsid w:val="001D417B"/>
    <w:rsid w:val="001D46F2"/>
    <w:rsid w:val="001D5A6A"/>
    <w:rsid w:val="001D5ECF"/>
    <w:rsid w:val="001D672C"/>
    <w:rsid w:val="001E28DF"/>
    <w:rsid w:val="001E61BA"/>
    <w:rsid w:val="001F0AD7"/>
    <w:rsid w:val="001F28E8"/>
    <w:rsid w:val="001F341C"/>
    <w:rsid w:val="001F3E02"/>
    <w:rsid w:val="001F4F26"/>
    <w:rsid w:val="001F6728"/>
    <w:rsid w:val="001F7D8D"/>
    <w:rsid w:val="0020080A"/>
    <w:rsid w:val="00200CF1"/>
    <w:rsid w:val="00201A66"/>
    <w:rsid w:val="00204E3B"/>
    <w:rsid w:val="00214337"/>
    <w:rsid w:val="00215CE5"/>
    <w:rsid w:val="00220D96"/>
    <w:rsid w:val="0022168A"/>
    <w:rsid w:val="00221CA4"/>
    <w:rsid w:val="002230B6"/>
    <w:rsid w:val="0022357C"/>
    <w:rsid w:val="00223D20"/>
    <w:rsid w:val="00223EBA"/>
    <w:rsid w:val="00231388"/>
    <w:rsid w:val="002319C9"/>
    <w:rsid w:val="00232290"/>
    <w:rsid w:val="002336C7"/>
    <w:rsid w:val="00233A68"/>
    <w:rsid w:val="002343C8"/>
    <w:rsid w:val="002346C1"/>
    <w:rsid w:val="002373E5"/>
    <w:rsid w:val="00241BFB"/>
    <w:rsid w:val="0024494C"/>
    <w:rsid w:val="0024681C"/>
    <w:rsid w:val="00246916"/>
    <w:rsid w:val="00247029"/>
    <w:rsid w:val="002476E0"/>
    <w:rsid w:val="00247A83"/>
    <w:rsid w:val="00252635"/>
    <w:rsid w:val="00253293"/>
    <w:rsid w:val="0025796F"/>
    <w:rsid w:val="00262B07"/>
    <w:rsid w:val="00264180"/>
    <w:rsid w:val="00264D4F"/>
    <w:rsid w:val="0026594F"/>
    <w:rsid w:val="00265BE4"/>
    <w:rsid w:val="00265CFC"/>
    <w:rsid w:val="00266408"/>
    <w:rsid w:val="00266AE6"/>
    <w:rsid w:val="00267087"/>
    <w:rsid w:val="00271AB8"/>
    <w:rsid w:val="00271BC1"/>
    <w:rsid w:val="00272D73"/>
    <w:rsid w:val="00280588"/>
    <w:rsid w:val="002807D2"/>
    <w:rsid w:val="00281439"/>
    <w:rsid w:val="00282556"/>
    <w:rsid w:val="00283724"/>
    <w:rsid w:val="00284605"/>
    <w:rsid w:val="00284B37"/>
    <w:rsid w:val="00285168"/>
    <w:rsid w:val="002868E2"/>
    <w:rsid w:val="00293701"/>
    <w:rsid w:val="00293BD7"/>
    <w:rsid w:val="00295A94"/>
    <w:rsid w:val="002966C3"/>
    <w:rsid w:val="00296AF8"/>
    <w:rsid w:val="002A09E4"/>
    <w:rsid w:val="002A1DB4"/>
    <w:rsid w:val="002A2606"/>
    <w:rsid w:val="002A3EAE"/>
    <w:rsid w:val="002A6B64"/>
    <w:rsid w:val="002A7AFA"/>
    <w:rsid w:val="002B0BBA"/>
    <w:rsid w:val="002B146A"/>
    <w:rsid w:val="002B1E85"/>
    <w:rsid w:val="002B454F"/>
    <w:rsid w:val="002B4E9D"/>
    <w:rsid w:val="002B56E1"/>
    <w:rsid w:val="002B576F"/>
    <w:rsid w:val="002B654C"/>
    <w:rsid w:val="002C1093"/>
    <w:rsid w:val="002C4569"/>
    <w:rsid w:val="002C4D0E"/>
    <w:rsid w:val="002C517E"/>
    <w:rsid w:val="002C575E"/>
    <w:rsid w:val="002C5A08"/>
    <w:rsid w:val="002C651D"/>
    <w:rsid w:val="002C73B1"/>
    <w:rsid w:val="002C7CA8"/>
    <w:rsid w:val="002D290E"/>
    <w:rsid w:val="002D5BD9"/>
    <w:rsid w:val="002D6571"/>
    <w:rsid w:val="002E0269"/>
    <w:rsid w:val="002E1155"/>
    <w:rsid w:val="002E142A"/>
    <w:rsid w:val="002E26D3"/>
    <w:rsid w:val="002E2D71"/>
    <w:rsid w:val="002E363D"/>
    <w:rsid w:val="002E5EEE"/>
    <w:rsid w:val="002F05A8"/>
    <w:rsid w:val="002F1682"/>
    <w:rsid w:val="002F16DC"/>
    <w:rsid w:val="002F4DAF"/>
    <w:rsid w:val="002F5B81"/>
    <w:rsid w:val="002F79DE"/>
    <w:rsid w:val="00300767"/>
    <w:rsid w:val="00301240"/>
    <w:rsid w:val="003016B4"/>
    <w:rsid w:val="003026BD"/>
    <w:rsid w:val="00302A71"/>
    <w:rsid w:val="00303FA1"/>
    <w:rsid w:val="00305845"/>
    <w:rsid w:val="00305D26"/>
    <w:rsid w:val="003133B3"/>
    <w:rsid w:val="003140FE"/>
    <w:rsid w:val="0031546F"/>
    <w:rsid w:val="00315531"/>
    <w:rsid w:val="0031571C"/>
    <w:rsid w:val="003157E3"/>
    <w:rsid w:val="00317D18"/>
    <w:rsid w:val="00320AF6"/>
    <w:rsid w:val="00320CE2"/>
    <w:rsid w:val="00323DA1"/>
    <w:rsid w:val="003258A2"/>
    <w:rsid w:val="00325F45"/>
    <w:rsid w:val="00326D62"/>
    <w:rsid w:val="00327CF9"/>
    <w:rsid w:val="00330CC8"/>
    <w:rsid w:val="0033131A"/>
    <w:rsid w:val="00334E59"/>
    <w:rsid w:val="0033611C"/>
    <w:rsid w:val="00337621"/>
    <w:rsid w:val="003376BD"/>
    <w:rsid w:val="00337E56"/>
    <w:rsid w:val="00342CFC"/>
    <w:rsid w:val="00345311"/>
    <w:rsid w:val="00345A58"/>
    <w:rsid w:val="00346315"/>
    <w:rsid w:val="0034742A"/>
    <w:rsid w:val="00352E38"/>
    <w:rsid w:val="0035430B"/>
    <w:rsid w:val="00354B6A"/>
    <w:rsid w:val="003550B9"/>
    <w:rsid w:val="003605D9"/>
    <w:rsid w:val="00362919"/>
    <w:rsid w:val="00362F58"/>
    <w:rsid w:val="00363314"/>
    <w:rsid w:val="00363774"/>
    <w:rsid w:val="00363EB7"/>
    <w:rsid w:val="003640A4"/>
    <w:rsid w:val="00364294"/>
    <w:rsid w:val="00365966"/>
    <w:rsid w:val="00370301"/>
    <w:rsid w:val="003713D2"/>
    <w:rsid w:val="003722BB"/>
    <w:rsid w:val="00372333"/>
    <w:rsid w:val="00372662"/>
    <w:rsid w:val="00372D61"/>
    <w:rsid w:val="0037389E"/>
    <w:rsid w:val="00375F07"/>
    <w:rsid w:val="00376C3E"/>
    <w:rsid w:val="00383DCD"/>
    <w:rsid w:val="00386FDF"/>
    <w:rsid w:val="003900B4"/>
    <w:rsid w:val="00390ABC"/>
    <w:rsid w:val="00391AD2"/>
    <w:rsid w:val="00394EDB"/>
    <w:rsid w:val="00395474"/>
    <w:rsid w:val="00395685"/>
    <w:rsid w:val="00395B4E"/>
    <w:rsid w:val="003968DB"/>
    <w:rsid w:val="003A0B80"/>
    <w:rsid w:val="003A5AD6"/>
    <w:rsid w:val="003A76EF"/>
    <w:rsid w:val="003B1B2A"/>
    <w:rsid w:val="003B3E17"/>
    <w:rsid w:val="003B3E24"/>
    <w:rsid w:val="003B49E5"/>
    <w:rsid w:val="003C1774"/>
    <w:rsid w:val="003C4C30"/>
    <w:rsid w:val="003C58F0"/>
    <w:rsid w:val="003C7EF9"/>
    <w:rsid w:val="003D3205"/>
    <w:rsid w:val="003D3B82"/>
    <w:rsid w:val="003D5F3E"/>
    <w:rsid w:val="003D63A3"/>
    <w:rsid w:val="003D6DAE"/>
    <w:rsid w:val="003D7FFD"/>
    <w:rsid w:val="003E0621"/>
    <w:rsid w:val="003E5071"/>
    <w:rsid w:val="003E640C"/>
    <w:rsid w:val="003E720E"/>
    <w:rsid w:val="003E75CB"/>
    <w:rsid w:val="003E7F94"/>
    <w:rsid w:val="003F17C5"/>
    <w:rsid w:val="003F215F"/>
    <w:rsid w:val="003F6047"/>
    <w:rsid w:val="003F659C"/>
    <w:rsid w:val="003F6809"/>
    <w:rsid w:val="003F7E6E"/>
    <w:rsid w:val="0040006C"/>
    <w:rsid w:val="00400D7E"/>
    <w:rsid w:val="00401282"/>
    <w:rsid w:val="004017B6"/>
    <w:rsid w:val="00406F30"/>
    <w:rsid w:val="00407EB2"/>
    <w:rsid w:val="00411327"/>
    <w:rsid w:val="00412465"/>
    <w:rsid w:val="0041578E"/>
    <w:rsid w:val="00416175"/>
    <w:rsid w:val="00417335"/>
    <w:rsid w:val="00417955"/>
    <w:rsid w:val="00417A2B"/>
    <w:rsid w:val="004236F3"/>
    <w:rsid w:val="0042531B"/>
    <w:rsid w:val="00425D1C"/>
    <w:rsid w:val="004305EA"/>
    <w:rsid w:val="00430754"/>
    <w:rsid w:val="00431073"/>
    <w:rsid w:val="00431172"/>
    <w:rsid w:val="004315B1"/>
    <w:rsid w:val="00434F35"/>
    <w:rsid w:val="00435281"/>
    <w:rsid w:val="00436163"/>
    <w:rsid w:val="004401BA"/>
    <w:rsid w:val="00441429"/>
    <w:rsid w:val="0044160A"/>
    <w:rsid w:val="00442849"/>
    <w:rsid w:val="00443275"/>
    <w:rsid w:val="00443393"/>
    <w:rsid w:val="00444BFC"/>
    <w:rsid w:val="00445215"/>
    <w:rsid w:val="00445D02"/>
    <w:rsid w:val="004474ED"/>
    <w:rsid w:val="004503CE"/>
    <w:rsid w:val="00451E5E"/>
    <w:rsid w:val="00453D11"/>
    <w:rsid w:val="00455E12"/>
    <w:rsid w:val="00456979"/>
    <w:rsid w:val="0045735F"/>
    <w:rsid w:val="00461AD1"/>
    <w:rsid w:val="00462EFE"/>
    <w:rsid w:val="00463226"/>
    <w:rsid w:val="00465D6E"/>
    <w:rsid w:val="00465E3F"/>
    <w:rsid w:val="00466635"/>
    <w:rsid w:val="00470E20"/>
    <w:rsid w:val="00471571"/>
    <w:rsid w:val="00471631"/>
    <w:rsid w:val="004727F1"/>
    <w:rsid w:val="0047393A"/>
    <w:rsid w:val="00475241"/>
    <w:rsid w:val="00475448"/>
    <w:rsid w:val="004754C4"/>
    <w:rsid w:val="004759C2"/>
    <w:rsid w:val="00475F58"/>
    <w:rsid w:val="00476A33"/>
    <w:rsid w:val="0048376F"/>
    <w:rsid w:val="004873DC"/>
    <w:rsid w:val="0048779F"/>
    <w:rsid w:val="0049008F"/>
    <w:rsid w:val="004904C9"/>
    <w:rsid w:val="004921FA"/>
    <w:rsid w:val="004923B7"/>
    <w:rsid w:val="004961C3"/>
    <w:rsid w:val="004971EE"/>
    <w:rsid w:val="004A146C"/>
    <w:rsid w:val="004A2E9A"/>
    <w:rsid w:val="004A40F9"/>
    <w:rsid w:val="004A4D41"/>
    <w:rsid w:val="004A4D54"/>
    <w:rsid w:val="004A55A4"/>
    <w:rsid w:val="004A5BB2"/>
    <w:rsid w:val="004A5CEE"/>
    <w:rsid w:val="004B1353"/>
    <w:rsid w:val="004B2851"/>
    <w:rsid w:val="004B2BBC"/>
    <w:rsid w:val="004B36BA"/>
    <w:rsid w:val="004C08BC"/>
    <w:rsid w:val="004C0A46"/>
    <w:rsid w:val="004C2246"/>
    <w:rsid w:val="004C283F"/>
    <w:rsid w:val="004C34C5"/>
    <w:rsid w:val="004C370B"/>
    <w:rsid w:val="004C3F41"/>
    <w:rsid w:val="004C6EC5"/>
    <w:rsid w:val="004C728C"/>
    <w:rsid w:val="004C7B86"/>
    <w:rsid w:val="004D24AF"/>
    <w:rsid w:val="004D2525"/>
    <w:rsid w:val="004D27FC"/>
    <w:rsid w:val="004D31E8"/>
    <w:rsid w:val="004D403D"/>
    <w:rsid w:val="004D4D0F"/>
    <w:rsid w:val="004D4EE0"/>
    <w:rsid w:val="004D5662"/>
    <w:rsid w:val="004D6745"/>
    <w:rsid w:val="004E0238"/>
    <w:rsid w:val="004E0544"/>
    <w:rsid w:val="004E2A57"/>
    <w:rsid w:val="004E301B"/>
    <w:rsid w:val="004E3C85"/>
    <w:rsid w:val="004E683E"/>
    <w:rsid w:val="004E72E8"/>
    <w:rsid w:val="004F20E8"/>
    <w:rsid w:val="004F2EDB"/>
    <w:rsid w:val="004F492B"/>
    <w:rsid w:val="004F51FB"/>
    <w:rsid w:val="004F5FAD"/>
    <w:rsid w:val="004F67A2"/>
    <w:rsid w:val="004F699D"/>
    <w:rsid w:val="00501278"/>
    <w:rsid w:val="0050160F"/>
    <w:rsid w:val="005029BA"/>
    <w:rsid w:val="00504064"/>
    <w:rsid w:val="0050553C"/>
    <w:rsid w:val="005061D6"/>
    <w:rsid w:val="005063EA"/>
    <w:rsid w:val="0050640F"/>
    <w:rsid w:val="00507208"/>
    <w:rsid w:val="00516949"/>
    <w:rsid w:val="005227B7"/>
    <w:rsid w:val="00525B9F"/>
    <w:rsid w:val="005260C8"/>
    <w:rsid w:val="00526B52"/>
    <w:rsid w:val="00526D9C"/>
    <w:rsid w:val="0053266C"/>
    <w:rsid w:val="00532B7A"/>
    <w:rsid w:val="0053386E"/>
    <w:rsid w:val="00534F02"/>
    <w:rsid w:val="005352B5"/>
    <w:rsid w:val="0053766F"/>
    <w:rsid w:val="005405C2"/>
    <w:rsid w:val="005405F0"/>
    <w:rsid w:val="00540F38"/>
    <w:rsid w:val="00541F8A"/>
    <w:rsid w:val="00550A5C"/>
    <w:rsid w:val="00552078"/>
    <w:rsid w:val="005538C5"/>
    <w:rsid w:val="00554A00"/>
    <w:rsid w:val="00555B3A"/>
    <w:rsid w:val="00556545"/>
    <w:rsid w:val="0055677E"/>
    <w:rsid w:val="00557BD3"/>
    <w:rsid w:val="00557E5E"/>
    <w:rsid w:val="00557FB8"/>
    <w:rsid w:val="0056060D"/>
    <w:rsid w:val="005609CA"/>
    <w:rsid w:val="005616FF"/>
    <w:rsid w:val="00561E6B"/>
    <w:rsid w:val="0056214D"/>
    <w:rsid w:val="00563CB7"/>
    <w:rsid w:val="0056467E"/>
    <w:rsid w:val="00567D2B"/>
    <w:rsid w:val="00572BB8"/>
    <w:rsid w:val="00575AAF"/>
    <w:rsid w:val="00575ABE"/>
    <w:rsid w:val="0057780B"/>
    <w:rsid w:val="00582EAE"/>
    <w:rsid w:val="00583499"/>
    <w:rsid w:val="00586343"/>
    <w:rsid w:val="00586BF2"/>
    <w:rsid w:val="005872D3"/>
    <w:rsid w:val="00590EEA"/>
    <w:rsid w:val="00591CE3"/>
    <w:rsid w:val="005A025A"/>
    <w:rsid w:val="005A042C"/>
    <w:rsid w:val="005A08EA"/>
    <w:rsid w:val="005A0CA1"/>
    <w:rsid w:val="005A16EE"/>
    <w:rsid w:val="005A16F9"/>
    <w:rsid w:val="005A285C"/>
    <w:rsid w:val="005A2FDC"/>
    <w:rsid w:val="005A464C"/>
    <w:rsid w:val="005A4926"/>
    <w:rsid w:val="005A4A02"/>
    <w:rsid w:val="005A55B0"/>
    <w:rsid w:val="005A66DC"/>
    <w:rsid w:val="005A6AD2"/>
    <w:rsid w:val="005A7264"/>
    <w:rsid w:val="005B001F"/>
    <w:rsid w:val="005B2FEC"/>
    <w:rsid w:val="005B5D9C"/>
    <w:rsid w:val="005B77C6"/>
    <w:rsid w:val="005B7D04"/>
    <w:rsid w:val="005C1359"/>
    <w:rsid w:val="005C69B7"/>
    <w:rsid w:val="005C6DAB"/>
    <w:rsid w:val="005D0008"/>
    <w:rsid w:val="005D05A4"/>
    <w:rsid w:val="005D05B5"/>
    <w:rsid w:val="005D2B9C"/>
    <w:rsid w:val="005D5690"/>
    <w:rsid w:val="005E0AB0"/>
    <w:rsid w:val="005E0B01"/>
    <w:rsid w:val="005E1096"/>
    <w:rsid w:val="005E1A1B"/>
    <w:rsid w:val="005E1FE9"/>
    <w:rsid w:val="005E34C3"/>
    <w:rsid w:val="005E4714"/>
    <w:rsid w:val="005E501F"/>
    <w:rsid w:val="005E56A0"/>
    <w:rsid w:val="005E63FA"/>
    <w:rsid w:val="005E7581"/>
    <w:rsid w:val="005E7A68"/>
    <w:rsid w:val="005F0384"/>
    <w:rsid w:val="005F44FB"/>
    <w:rsid w:val="005F47C9"/>
    <w:rsid w:val="005F4C4C"/>
    <w:rsid w:val="005F4D15"/>
    <w:rsid w:val="005F62DA"/>
    <w:rsid w:val="00601825"/>
    <w:rsid w:val="00602A5E"/>
    <w:rsid w:val="00603661"/>
    <w:rsid w:val="00604839"/>
    <w:rsid w:val="0060618E"/>
    <w:rsid w:val="00611B7C"/>
    <w:rsid w:val="00613118"/>
    <w:rsid w:val="006131A7"/>
    <w:rsid w:val="00613581"/>
    <w:rsid w:val="006138C4"/>
    <w:rsid w:val="006147E7"/>
    <w:rsid w:val="00615766"/>
    <w:rsid w:val="00620501"/>
    <w:rsid w:val="00620866"/>
    <w:rsid w:val="00620D48"/>
    <w:rsid w:val="00621608"/>
    <w:rsid w:val="00621B1E"/>
    <w:rsid w:val="00621C00"/>
    <w:rsid w:val="00628679"/>
    <w:rsid w:val="0063063A"/>
    <w:rsid w:val="006330C1"/>
    <w:rsid w:val="00633DDD"/>
    <w:rsid w:val="00633F4E"/>
    <w:rsid w:val="006340F2"/>
    <w:rsid w:val="00636EA1"/>
    <w:rsid w:val="00637395"/>
    <w:rsid w:val="00640938"/>
    <w:rsid w:val="00642160"/>
    <w:rsid w:val="006464C1"/>
    <w:rsid w:val="00647FA8"/>
    <w:rsid w:val="00651488"/>
    <w:rsid w:val="00651E70"/>
    <w:rsid w:val="00652030"/>
    <w:rsid w:val="0065264A"/>
    <w:rsid w:val="00655C0F"/>
    <w:rsid w:val="00655E56"/>
    <w:rsid w:val="006567B1"/>
    <w:rsid w:val="00657068"/>
    <w:rsid w:val="00657B2F"/>
    <w:rsid w:val="00657B64"/>
    <w:rsid w:val="0066061E"/>
    <w:rsid w:val="00660F09"/>
    <w:rsid w:val="00660F1B"/>
    <w:rsid w:val="00661A82"/>
    <w:rsid w:val="006700C1"/>
    <w:rsid w:val="00675171"/>
    <w:rsid w:val="00677B11"/>
    <w:rsid w:val="00677C6C"/>
    <w:rsid w:val="00685518"/>
    <w:rsid w:val="00687035"/>
    <w:rsid w:val="00690801"/>
    <w:rsid w:val="006909A7"/>
    <w:rsid w:val="00691CDC"/>
    <w:rsid w:val="0069240B"/>
    <w:rsid w:val="00694D13"/>
    <w:rsid w:val="00697E43"/>
    <w:rsid w:val="006A174D"/>
    <w:rsid w:val="006A1F9C"/>
    <w:rsid w:val="006A2015"/>
    <w:rsid w:val="006A2C34"/>
    <w:rsid w:val="006A3133"/>
    <w:rsid w:val="006A3410"/>
    <w:rsid w:val="006A5882"/>
    <w:rsid w:val="006A5CEC"/>
    <w:rsid w:val="006A6502"/>
    <w:rsid w:val="006A69EB"/>
    <w:rsid w:val="006A70E2"/>
    <w:rsid w:val="006B082A"/>
    <w:rsid w:val="006B2504"/>
    <w:rsid w:val="006B785A"/>
    <w:rsid w:val="006B7A73"/>
    <w:rsid w:val="006B7D35"/>
    <w:rsid w:val="006C0CDE"/>
    <w:rsid w:val="006C0DDD"/>
    <w:rsid w:val="006C2CED"/>
    <w:rsid w:val="006C6142"/>
    <w:rsid w:val="006C7949"/>
    <w:rsid w:val="006D01B2"/>
    <w:rsid w:val="006D35CC"/>
    <w:rsid w:val="006D3D2A"/>
    <w:rsid w:val="006D42B3"/>
    <w:rsid w:val="006D5143"/>
    <w:rsid w:val="006D65E2"/>
    <w:rsid w:val="006D7DCA"/>
    <w:rsid w:val="006E049D"/>
    <w:rsid w:val="006E151C"/>
    <w:rsid w:val="006E23D4"/>
    <w:rsid w:val="006E470A"/>
    <w:rsid w:val="006E6196"/>
    <w:rsid w:val="006E6AEC"/>
    <w:rsid w:val="006E6E07"/>
    <w:rsid w:val="006E6E4A"/>
    <w:rsid w:val="006F0F1B"/>
    <w:rsid w:val="006F30A6"/>
    <w:rsid w:val="006F53FE"/>
    <w:rsid w:val="006F5A4A"/>
    <w:rsid w:val="006F6F5E"/>
    <w:rsid w:val="006F7203"/>
    <w:rsid w:val="00700632"/>
    <w:rsid w:val="007018A5"/>
    <w:rsid w:val="00703F9A"/>
    <w:rsid w:val="00707F6B"/>
    <w:rsid w:val="00710393"/>
    <w:rsid w:val="00710812"/>
    <w:rsid w:val="00711E6F"/>
    <w:rsid w:val="0071250D"/>
    <w:rsid w:val="0071395F"/>
    <w:rsid w:val="007142E6"/>
    <w:rsid w:val="00715874"/>
    <w:rsid w:val="007161DC"/>
    <w:rsid w:val="007162CD"/>
    <w:rsid w:val="0071683E"/>
    <w:rsid w:val="00717629"/>
    <w:rsid w:val="007201E0"/>
    <w:rsid w:val="0072032A"/>
    <w:rsid w:val="00722074"/>
    <w:rsid w:val="00723FEB"/>
    <w:rsid w:val="00724E27"/>
    <w:rsid w:val="00725400"/>
    <w:rsid w:val="00726CA1"/>
    <w:rsid w:val="00726F15"/>
    <w:rsid w:val="00727E98"/>
    <w:rsid w:val="007308D1"/>
    <w:rsid w:val="00730981"/>
    <w:rsid w:val="00731B87"/>
    <w:rsid w:val="00732C61"/>
    <w:rsid w:val="00734A88"/>
    <w:rsid w:val="00735F5A"/>
    <w:rsid w:val="00737322"/>
    <w:rsid w:val="00740E0C"/>
    <w:rsid w:val="00741E30"/>
    <w:rsid w:val="0074241D"/>
    <w:rsid w:val="00744EAE"/>
    <w:rsid w:val="0074527D"/>
    <w:rsid w:val="007463CE"/>
    <w:rsid w:val="00747105"/>
    <w:rsid w:val="00750751"/>
    <w:rsid w:val="00750E51"/>
    <w:rsid w:val="0075301E"/>
    <w:rsid w:val="007537D2"/>
    <w:rsid w:val="007565AE"/>
    <w:rsid w:val="00757C32"/>
    <w:rsid w:val="00760178"/>
    <w:rsid w:val="007607B8"/>
    <w:rsid w:val="00761B5F"/>
    <w:rsid w:val="0076273F"/>
    <w:rsid w:val="00762CD7"/>
    <w:rsid w:val="00763DF9"/>
    <w:rsid w:val="00764C3F"/>
    <w:rsid w:val="0076609F"/>
    <w:rsid w:val="0076690E"/>
    <w:rsid w:val="00766F26"/>
    <w:rsid w:val="007701F8"/>
    <w:rsid w:val="00771307"/>
    <w:rsid w:val="007764FF"/>
    <w:rsid w:val="0077666E"/>
    <w:rsid w:val="007803D1"/>
    <w:rsid w:val="007823FC"/>
    <w:rsid w:val="00782FC5"/>
    <w:rsid w:val="00783A8E"/>
    <w:rsid w:val="007856D0"/>
    <w:rsid w:val="00785C8A"/>
    <w:rsid w:val="00786D2C"/>
    <w:rsid w:val="00786E3A"/>
    <w:rsid w:val="007870BB"/>
    <w:rsid w:val="007905D5"/>
    <w:rsid w:val="007924E2"/>
    <w:rsid w:val="00792F18"/>
    <w:rsid w:val="00794989"/>
    <w:rsid w:val="007951BE"/>
    <w:rsid w:val="00795901"/>
    <w:rsid w:val="00796444"/>
    <w:rsid w:val="007974E0"/>
    <w:rsid w:val="007A11AA"/>
    <w:rsid w:val="007A2D8E"/>
    <w:rsid w:val="007A3D53"/>
    <w:rsid w:val="007A671C"/>
    <w:rsid w:val="007A69EB"/>
    <w:rsid w:val="007A6FC0"/>
    <w:rsid w:val="007B161D"/>
    <w:rsid w:val="007B20BE"/>
    <w:rsid w:val="007C0F4E"/>
    <w:rsid w:val="007C2729"/>
    <w:rsid w:val="007C4944"/>
    <w:rsid w:val="007C521E"/>
    <w:rsid w:val="007C6110"/>
    <w:rsid w:val="007C7CE0"/>
    <w:rsid w:val="007D1105"/>
    <w:rsid w:val="007D1819"/>
    <w:rsid w:val="007D2530"/>
    <w:rsid w:val="007D2752"/>
    <w:rsid w:val="007D47C4"/>
    <w:rsid w:val="007D4AC5"/>
    <w:rsid w:val="007D4F99"/>
    <w:rsid w:val="007D5A87"/>
    <w:rsid w:val="007D6C73"/>
    <w:rsid w:val="007E02C7"/>
    <w:rsid w:val="007E26D5"/>
    <w:rsid w:val="007E3F83"/>
    <w:rsid w:val="007E4341"/>
    <w:rsid w:val="007E5CC2"/>
    <w:rsid w:val="007F1608"/>
    <w:rsid w:val="007F2112"/>
    <w:rsid w:val="007F25D0"/>
    <w:rsid w:val="007F2F5F"/>
    <w:rsid w:val="007F5067"/>
    <w:rsid w:val="007F67CE"/>
    <w:rsid w:val="008012A3"/>
    <w:rsid w:val="00801AF2"/>
    <w:rsid w:val="0080276C"/>
    <w:rsid w:val="008027C4"/>
    <w:rsid w:val="00802D17"/>
    <w:rsid w:val="00803289"/>
    <w:rsid w:val="00805808"/>
    <w:rsid w:val="008076C1"/>
    <w:rsid w:val="0081060E"/>
    <w:rsid w:val="008114C8"/>
    <w:rsid w:val="008121B1"/>
    <w:rsid w:val="00817393"/>
    <w:rsid w:val="008203E3"/>
    <w:rsid w:val="00820E5F"/>
    <w:rsid w:val="00821479"/>
    <w:rsid w:val="00822E7D"/>
    <w:rsid w:val="00824E68"/>
    <w:rsid w:val="0082758F"/>
    <w:rsid w:val="00831E0C"/>
    <w:rsid w:val="008332C0"/>
    <w:rsid w:val="00833BBB"/>
    <w:rsid w:val="00837871"/>
    <w:rsid w:val="00840EE4"/>
    <w:rsid w:val="00841390"/>
    <w:rsid w:val="00842C72"/>
    <w:rsid w:val="00844461"/>
    <w:rsid w:val="00850057"/>
    <w:rsid w:val="00851B4D"/>
    <w:rsid w:val="00852D24"/>
    <w:rsid w:val="0085495F"/>
    <w:rsid w:val="00854BB6"/>
    <w:rsid w:val="00855086"/>
    <w:rsid w:val="00855494"/>
    <w:rsid w:val="00856F4F"/>
    <w:rsid w:val="00857476"/>
    <w:rsid w:val="00860201"/>
    <w:rsid w:val="0086320F"/>
    <w:rsid w:val="008632CE"/>
    <w:rsid w:val="0086355C"/>
    <w:rsid w:val="00867992"/>
    <w:rsid w:val="008712B3"/>
    <w:rsid w:val="008741D0"/>
    <w:rsid w:val="00876D91"/>
    <w:rsid w:val="00877AD9"/>
    <w:rsid w:val="00880097"/>
    <w:rsid w:val="008801BE"/>
    <w:rsid w:val="00880635"/>
    <w:rsid w:val="00881573"/>
    <w:rsid w:val="0088164A"/>
    <w:rsid w:val="008819CE"/>
    <w:rsid w:val="00881E61"/>
    <w:rsid w:val="00882B9F"/>
    <w:rsid w:val="00882EFE"/>
    <w:rsid w:val="0088683C"/>
    <w:rsid w:val="00886E24"/>
    <w:rsid w:val="00886F8E"/>
    <w:rsid w:val="00891A58"/>
    <w:rsid w:val="00894EEE"/>
    <w:rsid w:val="00895ADF"/>
    <w:rsid w:val="00896DA4"/>
    <w:rsid w:val="008973BB"/>
    <w:rsid w:val="008A0FC5"/>
    <w:rsid w:val="008A34E0"/>
    <w:rsid w:val="008A40B7"/>
    <w:rsid w:val="008A51AD"/>
    <w:rsid w:val="008A53D5"/>
    <w:rsid w:val="008A719B"/>
    <w:rsid w:val="008A76B7"/>
    <w:rsid w:val="008B0434"/>
    <w:rsid w:val="008B4CC4"/>
    <w:rsid w:val="008B572E"/>
    <w:rsid w:val="008B6793"/>
    <w:rsid w:val="008B717A"/>
    <w:rsid w:val="008C06B3"/>
    <w:rsid w:val="008C176E"/>
    <w:rsid w:val="008C200C"/>
    <w:rsid w:val="008C3E4D"/>
    <w:rsid w:val="008C42AC"/>
    <w:rsid w:val="008C4EB9"/>
    <w:rsid w:val="008C5294"/>
    <w:rsid w:val="008C5EB7"/>
    <w:rsid w:val="008C7595"/>
    <w:rsid w:val="008D0638"/>
    <w:rsid w:val="008D18AC"/>
    <w:rsid w:val="008D2305"/>
    <w:rsid w:val="008D2D22"/>
    <w:rsid w:val="008D3356"/>
    <w:rsid w:val="008D43D5"/>
    <w:rsid w:val="008D601F"/>
    <w:rsid w:val="008D6294"/>
    <w:rsid w:val="008D7B7D"/>
    <w:rsid w:val="008D7BC4"/>
    <w:rsid w:val="008D7FA8"/>
    <w:rsid w:val="008E1939"/>
    <w:rsid w:val="008E2D64"/>
    <w:rsid w:val="008E33EA"/>
    <w:rsid w:val="008E4B9D"/>
    <w:rsid w:val="008E5422"/>
    <w:rsid w:val="008E6152"/>
    <w:rsid w:val="008E675B"/>
    <w:rsid w:val="008E74F0"/>
    <w:rsid w:val="008F0261"/>
    <w:rsid w:val="008F3541"/>
    <w:rsid w:val="008F4348"/>
    <w:rsid w:val="008F49E8"/>
    <w:rsid w:val="008F4A02"/>
    <w:rsid w:val="008F5457"/>
    <w:rsid w:val="00900631"/>
    <w:rsid w:val="0090068F"/>
    <w:rsid w:val="0090233F"/>
    <w:rsid w:val="00902B2D"/>
    <w:rsid w:val="00910D56"/>
    <w:rsid w:val="00911AE8"/>
    <w:rsid w:val="00912755"/>
    <w:rsid w:val="009135D0"/>
    <w:rsid w:val="009141F1"/>
    <w:rsid w:val="0091558B"/>
    <w:rsid w:val="00915B5E"/>
    <w:rsid w:val="00916457"/>
    <w:rsid w:val="00916669"/>
    <w:rsid w:val="0091668C"/>
    <w:rsid w:val="0091676B"/>
    <w:rsid w:val="009168CC"/>
    <w:rsid w:val="00917882"/>
    <w:rsid w:val="00921FDD"/>
    <w:rsid w:val="009231D7"/>
    <w:rsid w:val="00924C46"/>
    <w:rsid w:val="00925114"/>
    <w:rsid w:val="009259A2"/>
    <w:rsid w:val="00926650"/>
    <w:rsid w:val="00926C47"/>
    <w:rsid w:val="00927B2B"/>
    <w:rsid w:val="00927FAA"/>
    <w:rsid w:val="009316C2"/>
    <w:rsid w:val="00932621"/>
    <w:rsid w:val="00935152"/>
    <w:rsid w:val="00935194"/>
    <w:rsid w:val="00935B1F"/>
    <w:rsid w:val="009432A1"/>
    <w:rsid w:val="00944E11"/>
    <w:rsid w:val="009456CB"/>
    <w:rsid w:val="009457CA"/>
    <w:rsid w:val="00946169"/>
    <w:rsid w:val="00947140"/>
    <w:rsid w:val="00947362"/>
    <w:rsid w:val="009500A5"/>
    <w:rsid w:val="009522A9"/>
    <w:rsid w:val="009526AA"/>
    <w:rsid w:val="0095271B"/>
    <w:rsid w:val="00953A1F"/>
    <w:rsid w:val="009546EE"/>
    <w:rsid w:val="00954D1A"/>
    <w:rsid w:val="00954E73"/>
    <w:rsid w:val="00956330"/>
    <w:rsid w:val="00956B7C"/>
    <w:rsid w:val="0096076A"/>
    <w:rsid w:val="009655F2"/>
    <w:rsid w:val="00965B39"/>
    <w:rsid w:val="009700D8"/>
    <w:rsid w:val="009729DA"/>
    <w:rsid w:val="00973A0C"/>
    <w:rsid w:val="00974395"/>
    <w:rsid w:val="009743C4"/>
    <w:rsid w:val="00977AD3"/>
    <w:rsid w:val="00980D4D"/>
    <w:rsid w:val="0098124E"/>
    <w:rsid w:val="00981526"/>
    <w:rsid w:val="00982EA8"/>
    <w:rsid w:val="00983F9D"/>
    <w:rsid w:val="00984895"/>
    <w:rsid w:val="009866A9"/>
    <w:rsid w:val="0098771C"/>
    <w:rsid w:val="00987E26"/>
    <w:rsid w:val="00990029"/>
    <w:rsid w:val="00990F1D"/>
    <w:rsid w:val="00992F97"/>
    <w:rsid w:val="009934AA"/>
    <w:rsid w:val="00994396"/>
    <w:rsid w:val="0099537E"/>
    <w:rsid w:val="009958DC"/>
    <w:rsid w:val="009970C2"/>
    <w:rsid w:val="009A04B4"/>
    <w:rsid w:val="009A2299"/>
    <w:rsid w:val="009A2BCF"/>
    <w:rsid w:val="009A2DE2"/>
    <w:rsid w:val="009A43B1"/>
    <w:rsid w:val="009A4B75"/>
    <w:rsid w:val="009A51BF"/>
    <w:rsid w:val="009B046B"/>
    <w:rsid w:val="009B1755"/>
    <w:rsid w:val="009B5E90"/>
    <w:rsid w:val="009B5EAA"/>
    <w:rsid w:val="009B6D91"/>
    <w:rsid w:val="009C149C"/>
    <w:rsid w:val="009C4230"/>
    <w:rsid w:val="009C5A62"/>
    <w:rsid w:val="009C6311"/>
    <w:rsid w:val="009C6A08"/>
    <w:rsid w:val="009C75C3"/>
    <w:rsid w:val="009C7A03"/>
    <w:rsid w:val="009D10BF"/>
    <w:rsid w:val="009D3CDB"/>
    <w:rsid w:val="009D62C6"/>
    <w:rsid w:val="009D6775"/>
    <w:rsid w:val="009E0EB3"/>
    <w:rsid w:val="009E2252"/>
    <w:rsid w:val="009E2355"/>
    <w:rsid w:val="009E39DB"/>
    <w:rsid w:val="009E45DB"/>
    <w:rsid w:val="009E4E19"/>
    <w:rsid w:val="009EAC21"/>
    <w:rsid w:val="009F143F"/>
    <w:rsid w:val="009F17A6"/>
    <w:rsid w:val="009F382A"/>
    <w:rsid w:val="009F47DF"/>
    <w:rsid w:val="00A004AF"/>
    <w:rsid w:val="00A00A00"/>
    <w:rsid w:val="00A051DD"/>
    <w:rsid w:val="00A05702"/>
    <w:rsid w:val="00A05C44"/>
    <w:rsid w:val="00A10C9B"/>
    <w:rsid w:val="00A132DC"/>
    <w:rsid w:val="00A1338B"/>
    <w:rsid w:val="00A137BD"/>
    <w:rsid w:val="00A1517D"/>
    <w:rsid w:val="00A153F5"/>
    <w:rsid w:val="00A172C6"/>
    <w:rsid w:val="00A177F4"/>
    <w:rsid w:val="00A2155B"/>
    <w:rsid w:val="00A22D0D"/>
    <w:rsid w:val="00A23679"/>
    <w:rsid w:val="00A2630A"/>
    <w:rsid w:val="00A264DA"/>
    <w:rsid w:val="00A31AA3"/>
    <w:rsid w:val="00A322D1"/>
    <w:rsid w:val="00A35E4F"/>
    <w:rsid w:val="00A419C8"/>
    <w:rsid w:val="00A420CC"/>
    <w:rsid w:val="00A43C6C"/>
    <w:rsid w:val="00A45DFA"/>
    <w:rsid w:val="00A46172"/>
    <w:rsid w:val="00A509B7"/>
    <w:rsid w:val="00A50DBC"/>
    <w:rsid w:val="00A511F2"/>
    <w:rsid w:val="00A536B6"/>
    <w:rsid w:val="00A566D0"/>
    <w:rsid w:val="00A56C82"/>
    <w:rsid w:val="00A64AAC"/>
    <w:rsid w:val="00A67D51"/>
    <w:rsid w:val="00A71B51"/>
    <w:rsid w:val="00A7259D"/>
    <w:rsid w:val="00A74255"/>
    <w:rsid w:val="00A74822"/>
    <w:rsid w:val="00A80FF9"/>
    <w:rsid w:val="00A83E8A"/>
    <w:rsid w:val="00A844E5"/>
    <w:rsid w:val="00A853A7"/>
    <w:rsid w:val="00A8613F"/>
    <w:rsid w:val="00A86E92"/>
    <w:rsid w:val="00A90DC3"/>
    <w:rsid w:val="00A936C4"/>
    <w:rsid w:val="00A93FC5"/>
    <w:rsid w:val="00A94E7D"/>
    <w:rsid w:val="00A94F8C"/>
    <w:rsid w:val="00A96106"/>
    <w:rsid w:val="00AA1611"/>
    <w:rsid w:val="00AA6A2A"/>
    <w:rsid w:val="00AA6EE9"/>
    <w:rsid w:val="00AA7722"/>
    <w:rsid w:val="00AA7E60"/>
    <w:rsid w:val="00AB31ED"/>
    <w:rsid w:val="00AB34A4"/>
    <w:rsid w:val="00AB38A8"/>
    <w:rsid w:val="00AB3A03"/>
    <w:rsid w:val="00AB408F"/>
    <w:rsid w:val="00AB4941"/>
    <w:rsid w:val="00AB56B3"/>
    <w:rsid w:val="00AB6AC2"/>
    <w:rsid w:val="00AB6FBD"/>
    <w:rsid w:val="00AB72AC"/>
    <w:rsid w:val="00AC1093"/>
    <w:rsid w:val="00AC290D"/>
    <w:rsid w:val="00AC32FD"/>
    <w:rsid w:val="00AC7117"/>
    <w:rsid w:val="00AC71DB"/>
    <w:rsid w:val="00AC7ABC"/>
    <w:rsid w:val="00AD0643"/>
    <w:rsid w:val="00AD0F11"/>
    <w:rsid w:val="00AD32C8"/>
    <w:rsid w:val="00AD4D26"/>
    <w:rsid w:val="00AD4E7C"/>
    <w:rsid w:val="00AD4F38"/>
    <w:rsid w:val="00AD56D7"/>
    <w:rsid w:val="00AD5F4B"/>
    <w:rsid w:val="00AD5FC2"/>
    <w:rsid w:val="00AD6E43"/>
    <w:rsid w:val="00AD6FF3"/>
    <w:rsid w:val="00AE002F"/>
    <w:rsid w:val="00AE0CB8"/>
    <w:rsid w:val="00AE0E48"/>
    <w:rsid w:val="00AE197F"/>
    <w:rsid w:val="00AE212F"/>
    <w:rsid w:val="00AE2A05"/>
    <w:rsid w:val="00AE3057"/>
    <w:rsid w:val="00AE3B72"/>
    <w:rsid w:val="00AE69C3"/>
    <w:rsid w:val="00AE6A56"/>
    <w:rsid w:val="00AE70FC"/>
    <w:rsid w:val="00AE78C7"/>
    <w:rsid w:val="00AF2303"/>
    <w:rsid w:val="00AF24F1"/>
    <w:rsid w:val="00AF60EE"/>
    <w:rsid w:val="00AF6699"/>
    <w:rsid w:val="00AF67B4"/>
    <w:rsid w:val="00AF70B9"/>
    <w:rsid w:val="00B00D26"/>
    <w:rsid w:val="00B019DA"/>
    <w:rsid w:val="00B02354"/>
    <w:rsid w:val="00B045BE"/>
    <w:rsid w:val="00B04FA3"/>
    <w:rsid w:val="00B05D77"/>
    <w:rsid w:val="00B06EFD"/>
    <w:rsid w:val="00B10FDC"/>
    <w:rsid w:val="00B13505"/>
    <w:rsid w:val="00B15466"/>
    <w:rsid w:val="00B15886"/>
    <w:rsid w:val="00B20549"/>
    <w:rsid w:val="00B215C3"/>
    <w:rsid w:val="00B2224E"/>
    <w:rsid w:val="00B22903"/>
    <w:rsid w:val="00B22926"/>
    <w:rsid w:val="00B245E4"/>
    <w:rsid w:val="00B24C2D"/>
    <w:rsid w:val="00B27669"/>
    <w:rsid w:val="00B279C7"/>
    <w:rsid w:val="00B27D72"/>
    <w:rsid w:val="00B30140"/>
    <w:rsid w:val="00B33BCB"/>
    <w:rsid w:val="00B3689E"/>
    <w:rsid w:val="00B37785"/>
    <w:rsid w:val="00B40591"/>
    <w:rsid w:val="00B4485C"/>
    <w:rsid w:val="00B44F35"/>
    <w:rsid w:val="00B45D16"/>
    <w:rsid w:val="00B47EB8"/>
    <w:rsid w:val="00B513E6"/>
    <w:rsid w:val="00B51899"/>
    <w:rsid w:val="00B577F3"/>
    <w:rsid w:val="00B65538"/>
    <w:rsid w:val="00B67308"/>
    <w:rsid w:val="00B67E30"/>
    <w:rsid w:val="00B70782"/>
    <w:rsid w:val="00B71474"/>
    <w:rsid w:val="00B717A6"/>
    <w:rsid w:val="00B74025"/>
    <w:rsid w:val="00B74467"/>
    <w:rsid w:val="00B75F1A"/>
    <w:rsid w:val="00B75F84"/>
    <w:rsid w:val="00B7759D"/>
    <w:rsid w:val="00B80969"/>
    <w:rsid w:val="00B82D0E"/>
    <w:rsid w:val="00B842FF"/>
    <w:rsid w:val="00B845D0"/>
    <w:rsid w:val="00B852A9"/>
    <w:rsid w:val="00B8729D"/>
    <w:rsid w:val="00B873B4"/>
    <w:rsid w:val="00B87B53"/>
    <w:rsid w:val="00B962A8"/>
    <w:rsid w:val="00B9660A"/>
    <w:rsid w:val="00B970FB"/>
    <w:rsid w:val="00B97862"/>
    <w:rsid w:val="00BA10CE"/>
    <w:rsid w:val="00BA1BB9"/>
    <w:rsid w:val="00BA351D"/>
    <w:rsid w:val="00BA4FDC"/>
    <w:rsid w:val="00BA55D8"/>
    <w:rsid w:val="00BA5962"/>
    <w:rsid w:val="00BA689E"/>
    <w:rsid w:val="00BB163B"/>
    <w:rsid w:val="00BB379A"/>
    <w:rsid w:val="00BB47F7"/>
    <w:rsid w:val="00BB5CC4"/>
    <w:rsid w:val="00BB6FC4"/>
    <w:rsid w:val="00BB7DD3"/>
    <w:rsid w:val="00BC09FA"/>
    <w:rsid w:val="00BC1513"/>
    <w:rsid w:val="00BC1650"/>
    <w:rsid w:val="00BC2C5C"/>
    <w:rsid w:val="00BC476D"/>
    <w:rsid w:val="00BC4ED4"/>
    <w:rsid w:val="00BC56D9"/>
    <w:rsid w:val="00BC57BB"/>
    <w:rsid w:val="00BC5925"/>
    <w:rsid w:val="00BC65FF"/>
    <w:rsid w:val="00BD060F"/>
    <w:rsid w:val="00BD0622"/>
    <w:rsid w:val="00BD0FAA"/>
    <w:rsid w:val="00BD2675"/>
    <w:rsid w:val="00BD26D7"/>
    <w:rsid w:val="00BD4B67"/>
    <w:rsid w:val="00BD4BE0"/>
    <w:rsid w:val="00BD699C"/>
    <w:rsid w:val="00BD7818"/>
    <w:rsid w:val="00BE0DD7"/>
    <w:rsid w:val="00BE117D"/>
    <w:rsid w:val="00BE1C05"/>
    <w:rsid w:val="00BE2043"/>
    <w:rsid w:val="00BE215C"/>
    <w:rsid w:val="00BE7BC9"/>
    <w:rsid w:val="00BF41FF"/>
    <w:rsid w:val="00BF4908"/>
    <w:rsid w:val="00BF5BDD"/>
    <w:rsid w:val="00BF5EAE"/>
    <w:rsid w:val="00C02113"/>
    <w:rsid w:val="00C03801"/>
    <w:rsid w:val="00C0382E"/>
    <w:rsid w:val="00C05A9C"/>
    <w:rsid w:val="00C06D8D"/>
    <w:rsid w:val="00C06DDE"/>
    <w:rsid w:val="00C107F7"/>
    <w:rsid w:val="00C108E4"/>
    <w:rsid w:val="00C117F8"/>
    <w:rsid w:val="00C15A3E"/>
    <w:rsid w:val="00C15D68"/>
    <w:rsid w:val="00C15F3D"/>
    <w:rsid w:val="00C166A0"/>
    <w:rsid w:val="00C175AD"/>
    <w:rsid w:val="00C17F73"/>
    <w:rsid w:val="00C2045E"/>
    <w:rsid w:val="00C208E2"/>
    <w:rsid w:val="00C2197A"/>
    <w:rsid w:val="00C21D1D"/>
    <w:rsid w:val="00C22811"/>
    <w:rsid w:val="00C240D1"/>
    <w:rsid w:val="00C241F6"/>
    <w:rsid w:val="00C2439A"/>
    <w:rsid w:val="00C246BE"/>
    <w:rsid w:val="00C24D7B"/>
    <w:rsid w:val="00C26E30"/>
    <w:rsid w:val="00C27CC4"/>
    <w:rsid w:val="00C30238"/>
    <w:rsid w:val="00C30365"/>
    <w:rsid w:val="00C306CB"/>
    <w:rsid w:val="00C320E2"/>
    <w:rsid w:val="00C324E2"/>
    <w:rsid w:val="00C3405B"/>
    <w:rsid w:val="00C351BD"/>
    <w:rsid w:val="00C36064"/>
    <w:rsid w:val="00C37EB9"/>
    <w:rsid w:val="00C44762"/>
    <w:rsid w:val="00C46C0C"/>
    <w:rsid w:val="00C50097"/>
    <w:rsid w:val="00C552D2"/>
    <w:rsid w:val="00C56480"/>
    <w:rsid w:val="00C56857"/>
    <w:rsid w:val="00C56941"/>
    <w:rsid w:val="00C56A21"/>
    <w:rsid w:val="00C61049"/>
    <w:rsid w:val="00C61429"/>
    <w:rsid w:val="00C61BA0"/>
    <w:rsid w:val="00C62951"/>
    <w:rsid w:val="00C632DF"/>
    <w:rsid w:val="00C6354E"/>
    <w:rsid w:val="00C64FF7"/>
    <w:rsid w:val="00C70FED"/>
    <w:rsid w:val="00C718C9"/>
    <w:rsid w:val="00C74399"/>
    <w:rsid w:val="00C76D15"/>
    <w:rsid w:val="00C81D9C"/>
    <w:rsid w:val="00C83B47"/>
    <w:rsid w:val="00C857F8"/>
    <w:rsid w:val="00C85D01"/>
    <w:rsid w:val="00C874A7"/>
    <w:rsid w:val="00C87E0B"/>
    <w:rsid w:val="00C87FD7"/>
    <w:rsid w:val="00C917F0"/>
    <w:rsid w:val="00C9257B"/>
    <w:rsid w:val="00C93BB3"/>
    <w:rsid w:val="00C953B4"/>
    <w:rsid w:val="00C955D6"/>
    <w:rsid w:val="00C9689C"/>
    <w:rsid w:val="00C96CEB"/>
    <w:rsid w:val="00CA1C4E"/>
    <w:rsid w:val="00CA1EE6"/>
    <w:rsid w:val="00CA2D7E"/>
    <w:rsid w:val="00CA301B"/>
    <w:rsid w:val="00CA31C7"/>
    <w:rsid w:val="00CA5250"/>
    <w:rsid w:val="00CA55A8"/>
    <w:rsid w:val="00CA5686"/>
    <w:rsid w:val="00CA7B95"/>
    <w:rsid w:val="00CB0846"/>
    <w:rsid w:val="00CB0A66"/>
    <w:rsid w:val="00CB0CCF"/>
    <w:rsid w:val="00CB11F8"/>
    <w:rsid w:val="00CB2E33"/>
    <w:rsid w:val="00CB2EB9"/>
    <w:rsid w:val="00CB49B3"/>
    <w:rsid w:val="00CB6C9B"/>
    <w:rsid w:val="00CB7BBB"/>
    <w:rsid w:val="00CC08A0"/>
    <w:rsid w:val="00CC0AD8"/>
    <w:rsid w:val="00CC195D"/>
    <w:rsid w:val="00CC1AC3"/>
    <w:rsid w:val="00CC504D"/>
    <w:rsid w:val="00CC61C2"/>
    <w:rsid w:val="00CD00F5"/>
    <w:rsid w:val="00CD0AE1"/>
    <w:rsid w:val="00CD54FB"/>
    <w:rsid w:val="00CD5F71"/>
    <w:rsid w:val="00CD6827"/>
    <w:rsid w:val="00CD7F00"/>
    <w:rsid w:val="00CE009A"/>
    <w:rsid w:val="00CE20C3"/>
    <w:rsid w:val="00CE289D"/>
    <w:rsid w:val="00CE2C48"/>
    <w:rsid w:val="00CE37AF"/>
    <w:rsid w:val="00CE4AA3"/>
    <w:rsid w:val="00CE571B"/>
    <w:rsid w:val="00CE611C"/>
    <w:rsid w:val="00CE6505"/>
    <w:rsid w:val="00CE6633"/>
    <w:rsid w:val="00CE73C0"/>
    <w:rsid w:val="00CE74D3"/>
    <w:rsid w:val="00CE7946"/>
    <w:rsid w:val="00CF08EC"/>
    <w:rsid w:val="00CF1B23"/>
    <w:rsid w:val="00CF1D06"/>
    <w:rsid w:val="00CF2931"/>
    <w:rsid w:val="00CF2CF8"/>
    <w:rsid w:val="00CF3419"/>
    <w:rsid w:val="00CF366B"/>
    <w:rsid w:val="00CF438B"/>
    <w:rsid w:val="00CF5CD7"/>
    <w:rsid w:val="00CF64AB"/>
    <w:rsid w:val="00CF7445"/>
    <w:rsid w:val="00D014C5"/>
    <w:rsid w:val="00D01973"/>
    <w:rsid w:val="00D02EFF"/>
    <w:rsid w:val="00D04CCF"/>
    <w:rsid w:val="00D0554A"/>
    <w:rsid w:val="00D0602F"/>
    <w:rsid w:val="00D06D0C"/>
    <w:rsid w:val="00D0740C"/>
    <w:rsid w:val="00D07630"/>
    <w:rsid w:val="00D102C3"/>
    <w:rsid w:val="00D13328"/>
    <w:rsid w:val="00D148F8"/>
    <w:rsid w:val="00D20027"/>
    <w:rsid w:val="00D2081A"/>
    <w:rsid w:val="00D25835"/>
    <w:rsid w:val="00D27278"/>
    <w:rsid w:val="00D30F8C"/>
    <w:rsid w:val="00D3185D"/>
    <w:rsid w:val="00D33E52"/>
    <w:rsid w:val="00D342B6"/>
    <w:rsid w:val="00D34B35"/>
    <w:rsid w:val="00D35B98"/>
    <w:rsid w:val="00D35DE5"/>
    <w:rsid w:val="00D35EA8"/>
    <w:rsid w:val="00D379D5"/>
    <w:rsid w:val="00D41E02"/>
    <w:rsid w:val="00D424A9"/>
    <w:rsid w:val="00D43102"/>
    <w:rsid w:val="00D44BA1"/>
    <w:rsid w:val="00D477AE"/>
    <w:rsid w:val="00D543FA"/>
    <w:rsid w:val="00D54D77"/>
    <w:rsid w:val="00D5511E"/>
    <w:rsid w:val="00D57C66"/>
    <w:rsid w:val="00D623B8"/>
    <w:rsid w:val="00D651C7"/>
    <w:rsid w:val="00D7030B"/>
    <w:rsid w:val="00D70A58"/>
    <w:rsid w:val="00D710F6"/>
    <w:rsid w:val="00D716FB"/>
    <w:rsid w:val="00D71BB5"/>
    <w:rsid w:val="00D73974"/>
    <w:rsid w:val="00D76A76"/>
    <w:rsid w:val="00D80B9A"/>
    <w:rsid w:val="00D80EAA"/>
    <w:rsid w:val="00D82B0D"/>
    <w:rsid w:val="00D82FC1"/>
    <w:rsid w:val="00D850AA"/>
    <w:rsid w:val="00D87525"/>
    <w:rsid w:val="00D879BC"/>
    <w:rsid w:val="00D8B53B"/>
    <w:rsid w:val="00D91DBE"/>
    <w:rsid w:val="00D942F4"/>
    <w:rsid w:val="00D95759"/>
    <w:rsid w:val="00D95E49"/>
    <w:rsid w:val="00D96396"/>
    <w:rsid w:val="00D96B4B"/>
    <w:rsid w:val="00D976A2"/>
    <w:rsid w:val="00DA2A87"/>
    <w:rsid w:val="00DA2B05"/>
    <w:rsid w:val="00DA3C43"/>
    <w:rsid w:val="00DA3DFA"/>
    <w:rsid w:val="00DA45F5"/>
    <w:rsid w:val="00DA485F"/>
    <w:rsid w:val="00DA487C"/>
    <w:rsid w:val="00DA513A"/>
    <w:rsid w:val="00DA62F0"/>
    <w:rsid w:val="00DA65ED"/>
    <w:rsid w:val="00DA795E"/>
    <w:rsid w:val="00DB1FB7"/>
    <w:rsid w:val="00DB2A3F"/>
    <w:rsid w:val="00DB4387"/>
    <w:rsid w:val="00DC0DDF"/>
    <w:rsid w:val="00DC206C"/>
    <w:rsid w:val="00DC209C"/>
    <w:rsid w:val="00DC26D5"/>
    <w:rsid w:val="00DC330F"/>
    <w:rsid w:val="00DC3FAF"/>
    <w:rsid w:val="00DC4A75"/>
    <w:rsid w:val="00DC5222"/>
    <w:rsid w:val="00DC79DB"/>
    <w:rsid w:val="00DD0E7F"/>
    <w:rsid w:val="00DD4EDA"/>
    <w:rsid w:val="00DD6019"/>
    <w:rsid w:val="00DE07A3"/>
    <w:rsid w:val="00DE3486"/>
    <w:rsid w:val="00DE366E"/>
    <w:rsid w:val="00DE4101"/>
    <w:rsid w:val="00DE52DE"/>
    <w:rsid w:val="00DE557F"/>
    <w:rsid w:val="00DE5B72"/>
    <w:rsid w:val="00DE5C48"/>
    <w:rsid w:val="00DE684E"/>
    <w:rsid w:val="00DE6903"/>
    <w:rsid w:val="00DE7AD5"/>
    <w:rsid w:val="00DF1425"/>
    <w:rsid w:val="00DF1988"/>
    <w:rsid w:val="00DF2E01"/>
    <w:rsid w:val="00DF6991"/>
    <w:rsid w:val="00DF7F23"/>
    <w:rsid w:val="00E02865"/>
    <w:rsid w:val="00E03144"/>
    <w:rsid w:val="00E03E6B"/>
    <w:rsid w:val="00E051F6"/>
    <w:rsid w:val="00E06A33"/>
    <w:rsid w:val="00E07395"/>
    <w:rsid w:val="00E10509"/>
    <w:rsid w:val="00E1557D"/>
    <w:rsid w:val="00E15B95"/>
    <w:rsid w:val="00E25C5B"/>
    <w:rsid w:val="00E25D90"/>
    <w:rsid w:val="00E33A70"/>
    <w:rsid w:val="00E33E7A"/>
    <w:rsid w:val="00E358BA"/>
    <w:rsid w:val="00E36DC7"/>
    <w:rsid w:val="00E37B98"/>
    <w:rsid w:val="00E37E51"/>
    <w:rsid w:val="00E37F32"/>
    <w:rsid w:val="00E45572"/>
    <w:rsid w:val="00E53152"/>
    <w:rsid w:val="00E57DB1"/>
    <w:rsid w:val="00E60108"/>
    <w:rsid w:val="00E60B73"/>
    <w:rsid w:val="00E6241D"/>
    <w:rsid w:val="00E62E37"/>
    <w:rsid w:val="00E66DA0"/>
    <w:rsid w:val="00E66E27"/>
    <w:rsid w:val="00E7027E"/>
    <w:rsid w:val="00E713B4"/>
    <w:rsid w:val="00E713F1"/>
    <w:rsid w:val="00E71664"/>
    <w:rsid w:val="00E7185D"/>
    <w:rsid w:val="00E73D1C"/>
    <w:rsid w:val="00E755FA"/>
    <w:rsid w:val="00E75BE1"/>
    <w:rsid w:val="00E76B90"/>
    <w:rsid w:val="00E775A9"/>
    <w:rsid w:val="00E77841"/>
    <w:rsid w:val="00E808FC"/>
    <w:rsid w:val="00E848B4"/>
    <w:rsid w:val="00E84D94"/>
    <w:rsid w:val="00E865BC"/>
    <w:rsid w:val="00E8738B"/>
    <w:rsid w:val="00E878C8"/>
    <w:rsid w:val="00E8793F"/>
    <w:rsid w:val="00E92AB1"/>
    <w:rsid w:val="00E92B92"/>
    <w:rsid w:val="00E93747"/>
    <w:rsid w:val="00E960FD"/>
    <w:rsid w:val="00E97BCF"/>
    <w:rsid w:val="00E97E7E"/>
    <w:rsid w:val="00EA088C"/>
    <w:rsid w:val="00EA0939"/>
    <w:rsid w:val="00EA67D7"/>
    <w:rsid w:val="00EA6AAB"/>
    <w:rsid w:val="00EA6E8E"/>
    <w:rsid w:val="00EA76CC"/>
    <w:rsid w:val="00EA7EE6"/>
    <w:rsid w:val="00EB1ED0"/>
    <w:rsid w:val="00EB2674"/>
    <w:rsid w:val="00EC0512"/>
    <w:rsid w:val="00EC34F1"/>
    <w:rsid w:val="00EC3FE7"/>
    <w:rsid w:val="00EC6EC3"/>
    <w:rsid w:val="00ED1376"/>
    <w:rsid w:val="00ED140D"/>
    <w:rsid w:val="00ED1927"/>
    <w:rsid w:val="00ED20FE"/>
    <w:rsid w:val="00ED5967"/>
    <w:rsid w:val="00ED5C3E"/>
    <w:rsid w:val="00ED649B"/>
    <w:rsid w:val="00ED6CA8"/>
    <w:rsid w:val="00ED7683"/>
    <w:rsid w:val="00EE0ADC"/>
    <w:rsid w:val="00EE15F7"/>
    <w:rsid w:val="00EE19B1"/>
    <w:rsid w:val="00EE2104"/>
    <w:rsid w:val="00EE24CD"/>
    <w:rsid w:val="00EE2DCD"/>
    <w:rsid w:val="00EE44CB"/>
    <w:rsid w:val="00EE6DF0"/>
    <w:rsid w:val="00EF01CE"/>
    <w:rsid w:val="00EF0207"/>
    <w:rsid w:val="00EF42AA"/>
    <w:rsid w:val="00EF438B"/>
    <w:rsid w:val="00EF46D0"/>
    <w:rsid w:val="00EF6EE6"/>
    <w:rsid w:val="00F034CC"/>
    <w:rsid w:val="00F036FC"/>
    <w:rsid w:val="00F06163"/>
    <w:rsid w:val="00F074E8"/>
    <w:rsid w:val="00F077A7"/>
    <w:rsid w:val="00F124B2"/>
    <w:rsid w:val="00F1283E"/>
    <w:rsid w:val="00F13283"/>
    <w:rsid w:val="00F1581E"/>
    <w:rsid w:val="00F16A1A"/>
    <w:rsid w:val="00F16A42"/>
    <w:rsid w:val="00F2016E"/>
    <w:rsid w:val="00F20467"/>
    <w:rsid w:val="00F233DC"/>
    <w:rsid w:val="00F248CB"/>
    <w:rsid w:val="00F30EE0"/>
    <w:rsid w:val="00F3165A"/>
    <w:rsid w:val="00F32206"/>
    <w:rsid w:val="00F32A5F"/>
    <w:rsid w:val="00F32D2C"/>
    <w:rsid w:val="00F33186"/>
    <w:rsid w:val="00F36D75"/>
    <w:rsid w:val="00F36E06"/>
    <w:rsid w:val="00F37746"/>
    <w:rsid w:val="00F37752"/>
    <w:rsid w:val="00F40C90"/>
    <w:rsid w:val="00F41552"/>
    <w:rsid w:val="00F430C7"/>
    <w:rsid w:val="00F46811"/>
    <w:rsid w:val="00F4709B"/>
    <w:rsid w:val="00F47967"/>
    <w:rsid w:val="00F47C17"/>
    <w:rsid w:val="00F50BDD"/>
    <w:rsid w:val="00F50EF7"/>
    <w:rsid w:val="00F50F1C"/>
    <w:rsid w:val="00F55DF0"/>
    <w:rsid w:val="00F55F29"/>
    <w:rsid w:val="00F55FED"/>
    <w:rsid w:val="00F56281"/>
    <w:rsid w:val="00F56896"/>
    <w:rsid w:val="00F57B03"/>
    <w:rsid w:val="00F57CEA"/>
    <w:rsid w:val="00F61301"/>
    <w:rsid w:val="00F61AE3"/>
    <w:rsid w:val="00F62175"/>
    <w:rsid w:val="00F63B87"/>
    <w:rsid w:val="00F64363"/>
    <w:rsid w:val="00F66E88"/>
    <w:rsid w:val="00F6703D"/>
    <w:rsid w:val="00F7026F"/>
    <w:rsid w:val="00F71291"/>
    <w:rsid w:val="00F73255"/>
    <w:rsid w:val="00F73FAF"/>
    <w:rsid w:val="00F7467B"/>
    <w:rsid w:val="00F74A12"/>
    <w:rsid w:val="00F7626E"/>
    <w:rsid w:val="00F76BAD"/>
    <w:rsid w:val="00F820DA"/>
    <w:rsid w:val="00F822F9"/>
    <w:rsid w:val="00F84B91"/>
    <w:rsid w:val="00F87CB1"/>
    <w:rsid w:val="00F9107A"/>
    <w:rsid w:val="00F91CAF"/>
    <w:rsid w:val="00F94757"/>
    <w:rsid w:val="00F94939"/>
    <w:rsid w:val="00FA0458"/>
    <w:rsid w:val="00FA0E8B"/>
    <w:rsid w:val="00FA193F"/>
    <w:rsid w:val="00FA5009"/>
    <w:rsid w:val="00FA7078"/>
    <w:rsid w:val="00FB124C"/>
    <w:rsid w:val="00FB3442"/>
    <w:rsid w:val="00FB3FF3"/>
    <w:rsid w:val="00FB44B6"/>
    <w:rsid w:val="00FB58E6"/>
    <w:rsid w:val="00FB65CF"/>
    <w:rsid w:val="00FB6EA1"/>
    <w:rsid w:val="00FC28AC"/>
    <w:rsid w:val="00FC32C2"/>
    <w:rsid w:val="00FC59E4"/>
    <w:rsid w:val="00FC5A90"/>
    <w:rsid w:val="00FC5E5C"/>
    <w:rsid w:val="00FC68B7"/>
    <w:rsid w:val="00FC75B9"/>
    <w:rsid w:val="00FD3347"/>
    <w:rsid w:val="00FD3CE2"/>
    <w:rsid w:val="00FD41C2"/>
    <w:rsid w:val="00FD7B6C"/>
    <w:rsid w:val="00FE1C2E"/>
    <w:rsid w:val="00FE23CB"/>
    <w:rsid w:val="00FE2D85"/>
    <w:rsid w:val="00FE3487"/>
    <w:rsid w:val="00FE4643"/>
    <w:rsid w:val="00FE4BC1"/>
    <w:rsid w:val="00FE6A93"/>
    <w:rsid w:val="00FE7263"/>
    <w:rsid w:val="00FE7593"/>
    <w:rsid w:val="00FF09EB"/>
    <w:rsid w:val="00FF2861"/>
    <w:rsid w:val="00FF4529"/>
    <w:rsid w:val="00FF5B47"/>
    <w:rsid w:val="00FF6199"/>
    <w:rsid w:val="00FF693C"/>
    <w:rsid w:val="00FF789E"/>
    <w:rsid w:val="00FF7A29"/>
    <w:rsid w:val="01350F1C"/>
    <w:rsid w:val="013DD85A"/>
    <w:rsid w:val="0163DE00"/>
    <w:rsid w:val="016B9A4F"/>
    <w:rsid w:val="01839F2B"/>
    <w:rsid w:val="0183D7A2"/>
    <w:rsid w:val="01887F9D"/>
    <w:rsid w:val="019787DD"/>
    <w:rsid w:val="01A3C030"/>
    <w:rsid w:val="01AB8F58"/>
    <w:rsid w:val="01B9B7E1"/>
    <w:rsid w:val="01F1A3F4"/>
    <w:rsid w:val="01F250E2"/>
    <w:rsid w:val="02073A8C"/>
    <w:rsid w:val="02129F0B"/>
    <w:rsid w:val="022CF373"/>
    <w:rsid w:val="025600AF"/>
    <w:rsid w:val="025F5F9D"/>
    <w:rsid w:val="02604C1F"/>
    <w:rsid w:val="0260666F"/>
    <w:rsid w:val="028016A1"/>
    <w:rsid w:val="029875CC"/>
    <w:rsid w:val="02A08D5C"/>
    <w:rsid w:val="02A13C95"/>
    <w:rsid w:val="02BE7CA4"/>
    <w:rsid w:val="02DA0ADE"/>
    <w:rsid w:val="02F3A80B"/>
    <w:rsid w:val="02FB6C03"/>
    <w:rsid w:val="03016738"/>
    <w:rsid w:val="03117D3A"/>
    <w:rsid w:val="035ABA0F"/>
    <w:rsid w:val="036DA8D2"/>
    <w:rsid w:val="036EEA59"/>
    <w:rsid w:val="038CBFE0"/>
    <w:rsid w:val="0396108A"/>
    <w:rsid w:val="03CF6ABE"/>
    <w:rsid w:val="03D1962A"/>
    <w:rsid w:val="03D650D9"/>
    <w:rsid w:val="03E55260"/>
    <w:rsid w:val="03EA0C83"/>
    <w:rsid w:val="04003AB8"/>
    <w:rsid w:val="0406E05B"/>
    <w:rsid w:val="04070D64"/>
    <w:rsid w:val="040BC607"/>
    <w:rsid w:val="041355F6"/>
    <w:rsid w:val="04182FD0"/>
    <w:rsid w:val="0460E85B"/>
    <w:rsid w:val="04614B10"/>
    <w:rsid w:val="04874171"/>
    <w:rsid w:val="048E1DA3"/>
    <w:rsid w:val="049E5C5B"/>
    <w:rsid w:val="04B8E228"/>
    <w:rsid w:val="04C6CD66"/>
    <w:rsid w:val="04C8B403"/>
    <w:rsid w:val="04C90BA4"/>
    <w:rsid w:val="04CAD832"/>
    <w:rsid w:val="04CFDE88"/>
    <w:rsid w:val="04DD3757"/>
    <w:rsid w:val="04DE278C"/>
    <w:rsid w:val="04EA0B98"/>
    <w:rsid w:val="04ECE4C0"/>
    <w:rsid w:val="04F530DE"/>
    <w:rsid w:val="04F97ED1"/>
    <w:rsid w:val="05025DEE"/>
    <w:rsid w:val="0502BFC1"/>
    <w:rsid w:val="0511A592"/>
    <w:rsid w:val="051A11A9"/>
    <w:rsid w:val="055C2A59"/>
    <w:rsid w:val="05815007"/>
    <w:rsid w:val="05A57377"/>
    <w:rsid w:val="05C624FE"/>
    <w:rsid w:val="05CA78A4"/>
    <w:rsid w:val="05CDA4E7"/>
    <w:rsid w:val="05D92BE5"/>
    <w:rsid w:val="05E17269"/>
    <w:rsid w:val="05F66772"/>
    <w:rsid w:val="060269B2"/>
    <w:rsid w:val="06127550"/>
    <w:rsid w:val="062A8DD6"/>
    <w:rsid w:val="064D87EC"/>
    <w:rsid w:val="066145D1"/>
    <w:rsid w:val="0661E522"/>
    <w:rsid w:val="06B51125"/>
    <w:rsid w:val="06B6D9B9"/>
    <w:rsid w:val="06C1BDAD"/>
    <w:rsid w:val="06CC18A4"/>
    <w:rsid w:val="06E095F0"/>
    <w:rsid w:val="06E13E88"/>
    <w:rsid w:val="06EB76A4"/>
    <w:rsid w:val="070587AF"/>
    <w:rsid w:val="07086A74"/>
    <w:rsid w:val="0727BAE1"/>
    <w:rsid w:val="07474F40"/>
    <w:rsid w:val="074B94E0"/>
    <w:rsid w:val="075492DE"/>
    <w:rsid w:val="075EC9B2"/>
    <w:rsid w:val="079F7139"/>
    <w:rsid w:val="07AB057E"/>
    <w:rsid w:val="07BCFE39"/>
    <w:rsid w:val="07C351D5"/>
    <w:rsid w:val="07C42C7E"/>
    <w:rsid w:val="07DB4EE9"/>
    <w:rsid w:val="08129739"/>
    <w:rsid w:val="081314CF"/>
    <w:rsid w:val="081BE12D"/>
    <w:rsid w:val="083330D2"/>
    <w:rsid w:val="08441BAE"/>
    <w:rsid w:val="08536282"/>
    <w:rsid w:val="08A7457E"/>
    <w:rsid w:val="08BF44EC"/>
    <w:rsid w:val="08D162AB"/>
    <w:rsid w:val="08ED1655"/>
    <w:rsid w:val="091DF9E8"/>
    <w:rsid w:val="0955F6D8"/>
    <w:rsid w:val="0962D352"/>
    <w:rsid w:val="0963DBFD"/>
    <w:rsid w:val="09660E30"/>
    <w:rsid w:val="097746C4"/>
    <w:rsid w:val="0A15EB1B"/>
    <w:rsid w:val="0A30DC0A"/>
    <w:rsid w:val="0A4FC9E6"/>
    <w:rsid w:val="0A5D71F5"/>
    <w:rsid w:val="0A905FCC"/>
    <w:rsid w:val="0A9EAF47"/>
    <w:rsid w:val="0AA32252"/>
    <w:rsid w:val="0AACD772"/>
    <w:rsid w:val="0AAF8C2F"/>
    <w:rsid w:val="0AB7872F"/>
    <w:rsid w:val="0AC8F101"/>
    <w:rsid w:val="0ACE9274"/>
    <w:rsid w:val="0AEB3805"/>
    <w:rsid w:val="0AFB7E76"/>
    <w:rsid w:val="0AFFA1AC"/>
    <w:rsid w:val="0B106A21"/>
    <w:rsid w:val="0B1B560A"/>
    <w:rsid w:val="0B35DE84"/>
    <w:rsid w:val="0B4AAC02"/>
    <w:rsid w:val="0B538011"/>
    <w:rsid w:val="0B82AD5A"/>
    <w:rsid w:val="0B955B26"/>
    <w:rsid w:val="0B9B09C6"/>
    <w:rsid w:val="0B9C8092"/>
    <w:rsid w:val="0BAE9449"/>
    <w:rsid w:val="0BB43B87"/>
    <w:rsid w:val="0BC6AEBE"/>
    <w:rsid w:val="0BD32B1F"/>
    <w:rsid w:val="0BE2EB13"/>
    <w:rsid w:val="0BE8DD33"/>
    <w:rsid w:val="0BF13010"/>
    <w:rsid w:val="0C3665E9"/>
    <w:rsid w:val="0C6D789F"/>
    <w:rsid w:val="0C71FE6E"/>
    <w:rsid w:val="0C7AC7C0"/>
    <w:rsid w:val="0C8DC76D"/>
    <w:rsid w:val="0CAA2F1B"/>
    <w:rsid w:val="0CBA58F4"/>
    <w:rsid w:val="0CE532AE"/>
    <w:rsid w:val="0CE795EE"/>
    <w:rsid w:val="0CF4CC98"/>
    <w:rsid w:val="0D05A675"/>
    <w:rsid w:val="0D08D383"/>
    <w:rsid w:val="0D26AB70"/>
    <w:rsid w:val="0D35F387"/>
    <w:rsid w:val="0D49EF78"/>
    <w:rsid w:val="0D5AADBC"/>
    <w:rsid w:val="0DA45374"/>
    <w:rsid w:val="0DB35944"/>
    <w:rsid w:val="0DC711FE"/>
    <w:rsid w:val="0DC9758F"/>
    <w:rsid w:val="0DF212B3"/>
    <w:rsid w:val="0DF7FEF8"/>
    <w:rsid w:val="0E23ED39"/>
    <w:rsid w:val="0E296E72"/>
    <w:rsid w:val="0E443E26"/>
    <w:rsid w:val="0E5B5D49"/>
    <w:rsid w:val="0E6E6222"/>
    <w:rsid w:val="0E7A0642"/>
    <w:rsid w:val="0E96BD62"/>
    <w:rsid w:val="0EA6CE7D"/>
    <w:rsid w:val="0EB2D32E"/>
    <w:rsid w:val="0EC74097"/>
    <w:rsid w:val="0EDAD997"/>
    <w:rsid w:val="0EDF9606"/>
    <w:rsid w:val="0EDFD461"/>
    <w:rsid w:val="0F0CC58C"/>
    <w:rsid w:val="0F32CB33"/>
    <w:rsid w:val="0F36EE7A"/>
    <w:rsid w:val="0F4EA5C6"/>
    <w:rsid w:val="0F5B4531"/>
    <w:rsid w:val="0F7A92F8"/>
    <w:rsid w:val="0F7BEE53"/>
    <w:rsid w:val="0F90743B"/>
    <w:rsid w:val="0F915CD2"/>
    <w:rsid w:val="0F98DEF3"/>
    <w:rsid w:val="0FB3E7D1"/>
    <w:rsid w:val="0FCAB516"/>
    <w:rsid w:val="0FDA6A86"/>
    <w:rsid w:val="0FE6ABEF"/>
    <w:rsid w:val="1005FF0F"/>
    <w:rsid w:val="102EF52A"/>
    <w:rsid w:val="105B8CCB"/>
    <w:rsid w:val="105F3D7F"/>
    <w:rsid w:val="1062102E"/>
    <w:rsid w:val="1068308C"/>
    <w:rsid w:val="1088B280"/>
    <w:rsid w:val="10A38DCE"/>
    <w:rsid w:val="10B00BFD"/>
    <w:rsid w:val="10CAFE2D"/>
    <w:rsid w:val="10F9BDB3"/>
    <w:rsid w:val="1106490E"/>
    <w:rsid w:val="111C2205"/>
    <w:rsid w:val="1120E8E5"/>
    <w:rsid w:val="114BBB30"/>
    <w:rsid w:val="115B696C"/>
    <w:rsid w:val="11691329"/>
    <w:rsid w:val="1187980D"/>
    <w:rsid w:val="118C173F"/>
    <w:rsid w:val="11944763"/>
    <w:rsid w:val="11DE8F03"/>
    <w:rsid w:val="11DE9145"/>
    <w:rsid w:val="11E612A3"/>
    <w:rsid w:val="11EF5000"/>
    <w:rsid w:val="121A900A"/>
    <w:rsid w:val="1227F34A"/>
    <w:rsid w:val="12689B74"/>
    <w:rsid w:val="12690DB7"/>
    <w:rsid w:val="12933F8F"/>
    <w:rsid w:val="12A11A77"/>
    <w:rsid w:val="12B67FB5"/>
    <w:rsid w:val="13443D45"/>
    <w:rsid w:val="135F7443"/>
    <w:rsid w:val="138AF6B7"/>
    <w:rsid w:val="13E15B26"/>
    <w:rsid w:val="140238A8"/>
    <w:rsid w:val="140C975B"/>
    <w:rsid w:val="1426793F"/>
    <w:rsid w:val="14301261"/>
    <w:rsid w:val="143808A3"/>
    <w:rsid w:val="144D9971"/>
    <w:rsid w:val="144E6EE0"/>
    <w:rsid w:val="145AA09E"/>
    <w:rsid w:val="148AF15C"/>
    <w:rsid w:val="14FE8682"/>
    <w:rsid w:val="1505F287"/>
    <w:rsid w:val="1518586A"/>
    <w:rsid w:val="15259BEB"/>
    <w:rsid w:val="152C1CA9"/>
    <w:rsid w:val="153396D5"/>
    <w:rsid w:val="15584832"/>
    <w:rsid w:val="155996C3"/>
    <w:rsid w:val="1583F0A2"/>
    <w:rsid w:val="15C246E4"/>
    <w:rsid w:val="15DAA27C"/>
    <w:rsid w:val="15EFD0AD"/>
    <w:rsid w:val="1607F7B6"/>
    <w:rsid w:val="16147285"/>
    <w:rsid w:val="1637B53E"/>
    <w:rsid w:val="1647282A"/>
    <w:rsid w:val="16730EF8"/>
    <w:rsid w:val="1683B9B5"/>
    <w:rsid w:val="16840702"/>
    <w:rsid w:val="16847CD2"/>
    <w:rsid w:val="1685AC43"/>
    <w:rsid w:val="16A8A496"/>
    <w:rsid w:val="16B09B0F"/>
    <w:rsid w:val="16F53129"/>
    <w:rsid w:val="1709235F"/>
    <w:rsid w:val="170B7DDC"/>
    <w:rsid w:val="172B7618"/>
    <w:rsid w:val="17304688"/>
    <w:rsid w:val="1752AC44"/>
    <w:rsid w:val="1759A170"/>
    <w:rsid w:val="176F1914"/>
    <w:rsid w:val="179A01B8"/>
    <w:rsid w:val="17A2A564"/>
    <w:rsid w:val="17AA0605"/>
    <w:rsid w:val="17B1E419"/>
    <w:rsid w:val="17C06A84"/>
    <w:rsid w:val="180E5CB4"/>
    <w:rsid w:val="181E667B"/>
    <w:rsid w:val="1837E039"/>
    <w:rsid w:val="18479F80"/>
    <w:rsid w:val="1862873F"/>
    <w:rsid w:val="186DBF61"/>
    <w:rsid w:val="18746B8C"/>
    <w:rsid w:val="1879D100"/>
    <w:rsid w:val="187ECA7B"/>
    <w:rsid w:val="18BDE773"/>
    <w:rsid w:val="18D47D72"/>
    <w:rsid w:val="18E0406D"/>
    <w:rsid w:val="19097326"/>
    <w:rsid w:val="191B9887"/>
    <w:rsid w:val="191D469C"/>
    <w:rsid w:val="1936886B"/>
    <w:rsid w:val="19553EDB"/>
    <w:rsid w:val="19726EC8"/>
    <w:rsid w:val="19884949"/>
    <w:rsid w:val="19B0F469"/>
    <w:rsid w:val="19C5E259"/>
    <w:rsid w:val="19D5D8D2"/>
    <w:rsid w:val="19DF7A5A"/>
    <w:rsid w:val="19F6A368"/>
    <w:rsid w:val="19F9075D"/>
    <w:rsid w:val="1A144DFC"/>
    <w:rsid w:val="1A2548BF"/>
    <w:rsid w:val="1A455424"/>
    <w:rsid w:val="1A520124"/>
    <w:rsid w:val="1A6A9C84"/>
    <w:rsid w:val="1A6BB5D5"/>
    <w:rsid w:val="1A6FAEFC"/>
    <w:rsid w:val="1A884013"/>
    <w:rsid w:val="1A8BD87B"/>
    <w:rsid w:val="1A9EEA3E"/>
    <w:rsid w:val="1AA8EBAF"/>
    <w:rsid w:val="1AAFD713"/>
    <w:rsid w:val="1AFD32E1"/>
    <w:rsid w:val="1B019264"/>
    <w:rsid w:val="1B0933A6"/>
    <w:rsid w:val="1B1C5013"/>
    <w:rsid w:val="1B2BBACC"/>
    <w:rsid w:val="1B46248E"/>
    <w:rsid w:val="1B492198"/>
    <w:rsid w:val="1B4E559A"/>
    <w:rsid w:val="1B570D21"/>
    <w:rsid w:val="1B609BD8"/>
    <w:rsid w:val="1B70A747"/>
    <w:rsid w:val="1B7C8D1D"/>
    <w:rsid w:val="1BB4C711"/>
    <w:rsid w:val="1BC837F7"/>
    <w:rsid w:val="1BDB197B"/>
    <w:rsid w:val="1BEE8256"/>
    <w:rsid w:val="1BF15944"/>
    <w:rsid w:val="1C016B49"/>
    <w:rsid w:val="1C049B17"/>
    <w:rsid w:val="1C0EA92F"/>
    <w:rsid w:val="1C313DAC"/>
    <w:rsid w:val="1C40684E"/>
    <w:rsid w:val="1C431782"/>
    <w:rsid w:val="1C588257"/>
    <w:rsid w:val="1C5F9D17"/>
    <w:rsid w:val="1C6C9C01"/>
    <w:rsid w:val="1C7AD034"/>
    <w:rsid w:val="1C7B3A83"/>
    <w:rsid w:val="1C7C8B00"/>
    <w:rsid w:val="1C7EE1AA"/>
    <w:rsid w:val="1C802A1C"/>
    <w:rsid w:val="1C81C5FB"/>
    <w:rsid w:val="1CAEB930"/>
    <w:rsid w:val="1CC50C78"/>
    <w:rsid w:val="1CD0B5E8"/>
    <w:rsid w:val="1CFBC165"/>
    <w:rsid w:val="1D03FA99"/>
    <w:rsid w:val="1D44318D"/>
    <w:rsid w:val="1D6E9B28"/>
    <w:rsid w:val="1D72EC70"/>
    <w:rsid w:val="1D764E44"/>
    <w:rsid w:val="1D881E24"/>
    <w:rsid w:val="1D9491DF"/>
    <w:rsid w:val="1D972477"/>
    <w:rsid w:val="1DA37F2B"/>
    <w:rsid w:val="1DA4EC01"/>
    <w:rsid w:val="1DAA4332"/>
    <w:rsid w:val="1DE94A65"/>
    <w:rsid w:val="1DFBEA49"/>
    <w:rsid w:val="1E10D8DD"/>
    <w:rsid w:val="1E1F3062"/>
    <w:rsid w:val="1E58BA27"/>
    <w:rsid w:val="1E5B9158"/>
    <w:rsid w:val="1E6572E8"/>
    <w:rsid w:val="1E6CA3B3"/>
    <w:rsid w:val="1E711A4F"/>
    <w:rsid w:val="1EA0198C"/>
    <w:rsid w:val="1EBDF3A3"/>
    <w:rsid w:val="1ED21DFA"/>
    <w:rsid w:val="1EDE54F2"/>
    <w:rsid w:val="1EE33A51"/>
    <w:rsid w:val="1EEEB54F"/>
    <w:rsid w:val="1EEEDA32"/>
    <w:rsid w:val="1EFDA361"/>
    <w:rsid w:val="1F02F290"/>
    <w:rsid w:val="1F579924"/>
    <w:rsid w:val="1F637684"/>
    <w:rsid w:val="1F704178"/>
    <w:rsid w:val="1F7C74C8"/>
    <w:rsid w:val="1F829B9A"/>
    <w:rsid w:val="1F83DE60"/>
    <w:rsid w:val="1F8765FA"/>
    <w:rsid w:val="1FEB83FE"/>
    <w:rsid w:val="1FFBC07D"/>
    <w:rsid w:val="2030A220"/>
    <w:rsid w:val="20726AE9"/>
    <w:rsid w:val="207BC1FC"/>
    <w:rsid w:val="2089BB40"/>
    <w:rsid w:val="209986B3"/>
    <w:rsid w:val="20A15549"/>
    <w:rsid w:val="20A3C284"/>
    <w:rsid w:val="20A40AD4"/>
    <w:rsid w:val="20BD7C47"/>
    <w:rsid w:val="21124F88"/>
    <w:rsid w:val="2117302E"/>
    <w:rsid w:val="212D7976"/>
    <w:rsid w:val="214B677C"/>
    <w:rsid w:val="21603BF3"/>
    <w:rsid w:val="216BD981"/>
    <w:rsid w:val="217C0AF1"/>
    <w:rsid w:val="218956E9"/>
    <w:rsid w:val="21D24F67"/>
    <w:rsid w:val="21F8792D"/>
    <w:rsid w:val="2222F893"/>
    <w:rsid w:val="222F8029"/>
    <w:rsid w:val="222FACE1"/>
    <w:rsid w:val="226C1CB9"/>
    <w:rsid w:val="22926BE3"/>
    <w:rsid w:val="2294AA92"/>
    <w:rsid w:val="22A13B3B"/>
    <w:rsid w:val="22A2D64F"/>
    <w:rsid w:val="22CEFEA0"/>
    <w:rsid w:val="22DEA291"/>
    <w:rsid w:val="22FFF2DD"/>
    <w:rsid w:val="2351F210"/>
    <w:rsid w:val="236BCCF9"/>
    <w:rsid w:val="2373DA51"/>
    <w:rsid w:val="2377B68E"/>
    <w:rsid w:val="2390211B"/>
    <w:rsid w:val="2390E211"/>
    <w:rsid w:val="23A7AE99"/>
    <w:rsid w:val="23AE4D18"/>
    <w:rsid w:val="23C6E44A"/>
    <w:rsid w:val="23D7F6AD"/>
    <w:rsid w:val="23E21157"/>
    <w:rsid w:val="2436A155"/>
    <w:rsid w:val="243C51AA"/>
    <w:rsid w:val="2453E552"/>
    <w:rsid w:val="245CD169"/>
    <w:rsid w:val="2461C109"/>
    <w:rsid w:val="2468D2B6"/>
    <w:rsid w:val="2469CE08"/>
    <w:rsid w:val="248AC7E5"/>
    <w:rsid w:val="249113C7"/>
    <w:rsid w:val="24AB2792"/>
    <w:rsid w:val="24B414B0"/>
    <w:rsid w:val="24BA4AB7"/>
    <w:rsid w:val="24E754A3"/>
    <w:rsid w:val="24F4F1F8"/>
    <w:rsid w:val="24FBAF68"/>
    <w:rsid w:val="2504EC7E"/>
    <w:rsid w:val="250800BC"/>
    <w:rsid w:val="2533C892"/>
    <w:rsid w:val="2551CF47"/>
    <w:rsid w:val="2579382A"/>
    <w:rsid w:val="257BAE04"/>
    <w:rsid w:val="257FAD0C"/>
    <w:rsid w:val="260722B9"/>
    <w:rsid w:val="260DC1B5"/>
    <w:rsid w:val="2610B83F"/>
    <w:rsid w:val="2642C563"/>
    <w:rsid w:val="26585509"/>
    <w:rsid w:val="2671685F"/>
    <w:rsid w:val="2684480F"/>
    <w:rsid w:val="2687AFDF"/>
    <w:rsid w:val="26950B6D"/>
    <w:rsid w:val="269CFE86"/>
    <w:rsid w:val="26BB2438"/>
    <w:rsid w:val="26C5155C"/>
    <w:rsid w:val="26C97BF0"/>
    <w:rsid w:val="26CD6BFA"/>
    <w:rsid w:val="26DC7817"/>
    <w:rsid w:val="271BD289"/>
    <w:rsid w:val="27207F2D"/>
    <w:rsid w:val="27224D1C"/>
    <w:rsid w:val="272E0B0A"/>
    <w:rsid w:val="2730BE0B"/>
    <w:rsid w:val="273C559D"/>
    <w:rsid w:val="27506FFC"/>
    <w:rsid w:val="2762C616"/>
    <w:rsid w:val="27645076"/>
    <w:rsid w:val="27886506"/>
    <w:rsid w:val="27A0A551"/>
    <w:rsid w:val="27A0BBDB"/>
    <w:rsid w:val="27A696CB"/>
    <w:rsid w:val="27AB5044"/>
    <w:rsid w:val="27B0EA72"/>
    <w:rsid w:val="27B59025"/>
    <w:rsid w:val="27BA9393"/>
    <w:rsid w:val="27DCEBFC"/>
    <w:rsid w:val="280AE3BE"/>
    <w:rsid w:val="2812BEDF"/>
    <w:rsid w:val="2821542E"/>
    <w:rsid w:val="2881A2F7"/>
    <w:rsid w:val="2882B3CF"/>
    <w:rsid w:val="28B2D517"/>
    <w:rsid w:val="28B5CA4E"/>
    <w:rsid w:val="28FED0E3"/>
    <w:rsid w:val="2903F6BB"/>
    <w:rsid w:val="291947A2"/>
    <w:rsid w:val="29204868"/>
    <w:rsid w:val="293241D2"/>
    <w:rsid w:val="2935322C"/>
    <w:rsid w:val="29445640"/>
    <w:rsid w:val="2945A7E3"/>
    <w:rsid w:val="2947E938"/>
    <w:rsid w:val="294BB8AD"/>
    <w:rsid w:val="297E6AD0"/>
    <w:rsid w:val="2999BCBA"/>
    <w:rsid w:val="299A247F"/>
    <w:rsid w:val="29A36E49"/>
    <w:rsid w:val="29A9B4C8"/>
    <w:rsid w:val="29C2EC5D"/>
    <w:rsid w:val="29C778C4"/>
    <w:rsid w:val="29D97CC5"/>
    <w:rsid w:val="29DB6C56"/>
    <w:rsid w:val="2A01547C"/>
    <w:rsid w:val="2A29E1F7"/>
    <w:rsid w:val="2A53EA87"/>
    <w:rsid w:val="2A55B710"/>
    <w:rsid w:val="2A872702"/>
    <w:rsid w:val="2AA6B9AB"/>
    <w:rsid w:val="2ABA1154"/>
    <w:rsid w:val="2ABB05ED"/>
    <w:rsid w:val="2AF445EB"/>
    <w:rsid w:val="2B0B19AE"/>
    <w:rsid w:val="2B2EDF16"/>
    <w:rsid w:val="2B4849E5"/>
    <w:rsid w:val="2B5E0006"/>
    <w:rsid w:val="2B6D01A4"/>
    <w:rsid w:val="2B915830"/>
    <w:rsid w:val="2B9F5AE4"/>
    <w:rsid w:val="2C2B8004"/>
    <w:rsid w:val="2C41738E"/>
    <w:rsid w:val="2C699494"/>
    <w:rsid w:val="2C6FFD16"/>
    <w:rsid w:val="2C70AC9F"/>
    <w:rsid w:val="2CAB1016"/>
    <w:rsid w:val="2CB0A6FB"/>
    <w:rsid w:val="2CB2CD4B"/>
    <w:rsid w:val="2CBE5635"/>
    <w:rsid w:val="2CC9DF5B"/>
    <w:rsid w:val="2CE24DC5"/>
    <w:rsid w:val="2CE46A21"/>
    <w:rsid w:val="2CFF3306"/>
    <w:rsid w:val="2D06135E"/>
    <w:rsid w:val="2D0FFA07"/>
    <w:rsid w:val="2D1BB910"/>
    <w:rsid w:val="2D1ED6D2"/>
    <w:rsid w:val="2D2406B2"/>
    <w:rsid w:val="2D282804"/>
    <w:rsid w:val="2D29BAA1"/>
    <w:rsid w:val="2D2E1488"/>
    <w:rsid w:val="2D305B0D"/>
    <w:rsid w:val="2D36FCB6"/>
    <w:rsid w:val="2D47C4C0"/>
    <w:rsid w:val="2D66A50B"/>
    <w:rsid w:val="2D6DF932"/>
    <w:rsid w:val="2DC11E38"/>
    <w:rsid w:val="2DD93B84"/>
    <w:rsid w:val="2DE5BB10"/>
    <w:rsid w:val="2DF8C820"/>
    <w:rsid w:val="2DFAF0E7"/>
    <w:rsid w:val="2E0969F1"/>
    <w:rsid w:val="2E0AFC6C"/>
    <w:rsid w:val="2E119C78"/>
    <w:rsid w:val="2E18EFC5"/>
    <w:rsid w:val="2E20D74A"/>
    <w:rsid w:val="2E316D42"/>
    <w:rsid w:val="2E7C57CB"/>
    <w:rsid w:val="2E961684"/>
    <w:rsid w:val="2EB25F05"/>
    <w:rsid w:val="2EB40625"/>
    <w:rsid w:val="2EBC7744"/>
    <w:rsid w:val="2EC69208"/>
    <w:rsid w:val="2F099ECF"/>
    <w:rsid w:val="2F14EA7A"/>
    <w:rsid w:val="2F19CC6D"/>
    <w:rsid w:val="2F41CC91"/>
    <w:rsid w:val="2F4E5AFE"/>
    <w:rsid w:val="2F589091"/>
    <w:rsid w:val="2F61854A"/>
    <w:rsid w:val="2F6A3A7D"/>
    <w:rsid w:val="2F6B3035"/>
    <w:rsid w:val="2F6BAAC9"/>
    <w:rsid w:val="2F80AD60"/>
    <w:rsid w:val="2FA18E77"/>
    <w:rsid w:val="2FD0B43F"/>
    <w:rsid w:val="2FE2766A"/>
    <w:rsid w:val="2FE696AA"/>
    <w:rsid w:val="3006DC43"/>
    <w:rsid w:val="3014141E"/>
    <w:rsid w:val="302BB08C"/>
    <w:rsid w:val="303CF541"/>
    <w:rsid w:val="3097AD82"/>
    <w:rsid w:val="309E0D20"/>
    <w:rsid w:val="30BD2CBB"/>
    <w:rsid w:val="30C0AD2E"/>
    <w:rsid w:val="30CAC7AA"/>
    <w:rsid w:val="30D4089C"/>
    <w:rsid w:val="30F493D2"/>
    <w:rsid w:val="31120ADE"/>
    <w:rsid w:val="3155FAE3"/>
    <w:rsid w:val="315C382D"/>
    <w:rsid w:val="3175B8B7"/>
    <w:rsid w:val="318704E3"/>
    <w:rsid w:val="31A798A4"/>
    <w:rsid w:val="31AA43D7"/>
    <w:rsid w:val="31AF8CDD"/>
    <w:rsid w:val="31B47247"/>
    <w:rsid w:val="31D0E154"/>
    <w:rsid w:val="31ED7BC1"/>
    <w:rsid w:val="322611FE"/>
    <w:rsid w:val="3235E1F3"/>
    <w:rsid w:val="324DE2B9"/>
    <w:rsid w:val="3252C041"/>
    <w:rsid w:val="32609DA6"/>
    <w:rsid w:val="3273889F"/>
    <w:rsid w:val="32813CDC"/>
    <w:rsid w:val="3289DC91"/>
    <w:rsid w:val="32962AFE"/>
    <w:rsid w:val="32992A77"/>
    <w:rsid w:val="32AA18BC"/>
    <w:rsid w:val="32C86D6F"/>
    <w:rsid w:val="32DBA03D"/>
    <w:rsid w:val="32DCDF64"/>
    <w:rsid w:val="32E953E9"/>
    <w:rsid w:val="32F2A4DC"/>
    <w:rsid w:val="331B751C"/>
    <w:rsid w:val="3322E77C"/>
    <w:rsid w:val="33255DD0"/>
    <w:rsid w:val="3343BAE6"/>
    <w:rsid w:val="3356C6B8"/>
    <w:rsid w:val="336FDFAA"/>
    <w:rsid w:val="337610AB"/>
    <w:rsid w:val="338A3DC4"/>
    <w:rsid w:val="338C0E4B"/>
    <w:rsid w:val="338F2BF3"/>
    <w:rsid w:val="339F7651"/>
    <w:rsid w:val="33B6C1EF"/>
    <w:rsid w:val="33D7C9C7"/>
    <w:rsid w:val="33E3C7E9"/>
    <w:rsid w:val="34508750"/>
    <w:rsid w:val="345C698F"/>
    <w:rsid w:val="3470F64F"/>
    <w:rsid w:val="3477EB61"/>
    <w:rsid w:val="3486080C"/>
    <w:rsid w:val="3495A1BB"/>
    <w:rsid w:val="34A67035"/>
    <w:rsid w:val="34BDE0EF"/>
    <w:rsid w:val="34BE9755"/>
    <w:rsid w:val="34D30A4A"/>
    <w:rsid w:val="34D86C2C"/>
    <w:rsid w:val="3507EED3"/>
    <w:rsid w:val="350927C2"/>
    <w:rsid w:val="351B04A5"/>
    <w:rsid w:val="352790A5"/>
    <w:rsid w:val="3532EC79"/>
    <w:rsid w:val="3562665B"/>
    <w:rsid w:val="35989EC0"/>
    <w:rsid w:val="35A63B5B"/>
    <w:rsid w:val="35A6D02A"/>
    <w:rsid w:val="35C32BBE"/>
    <w:rsid w:val="35D15828"/>
    <w:rsid w:val="35D88E40"/>
    <w:rsid w:val="3605C41F"/>
    <w:rsid w:val="360967C0"/>
    <w:rsid w:val="36143FF3"/>
    <w:rsid w:val="3620D5C9"/>
    <w:rsid w:val="3620FFAB"/>
    <w:rsid w:val="36655169"/>
    <w:rsid w:val="366AC3C5"/>
    <w:rsid w:val="366DE444"/>
    <w:rsid w:val="36738EFB"/>
    <w:rsid w:val="3675EFA0"/>
    <w:rsid w:val="36974AED"/>
    <w:rsid w:val="3697D39B"/>
    <w:rsid w:val="36B41AA7"/>
    <w:rsid w:val="36BD20FF"/>
    <w:rsid w:val="36C32B38"/>
    <w:rsid w:val="37141DA4"/>
    <w:rsid w:val="3737D8A6"/>
    <w:rsid w:val="3749B19B"/>
    <w:rsid w:val="375B8C0E"/>
    <w:rsid w:val="37B04D5C"/>
    <w:rsid w:val="37B46289"/>
    <w:rsid w:val="37DFF154"/>
    <w:rsid w:val="37E6A5F8"/>
    <w:rsid w:val="3810D066"/>
    <w:rsid w:val="381382F5"/>
    <w:rsid w:val="382503B2"/>
    <w:rsid w:val="38456FD1"/>
    <w:rsid w:val="384B9AEF"/>
    <w:rsid w:val="38524687"/>
    <w:rsid w:val="38996BED"/>
    <w:rsid w:val="39115208"/>
    <w:rsid w:val="393D2122"/>
    <w:rsid w:val="3955C001"/>
    <w:rsid w:val="395E26F4"/>
    <w:rsid w:val="396D8E0B"/>
    <w:rsid w:val="396D8E74"/>
    <w:rsid w:val="39714FF8"/>
    <w:rsid w:val="3981ACEC"/>
    <w:rsid w:val="3984DD6A"/>
    <w:rsid w:val="398ADF00"/>
    <w:rsid w:val="398D717F"/>
    <w:rsid w:val="398E263A"/>
    <w:rsid w:val="399A46DE"/>
    <w:rsid w:val="39B3EBB0"/>
    <w:rsid w:val="39BD54DC"/>
    <w:rsid w:val="39C964F7"/>
    <w:rsid w:val="39D1F23D"/>
    <w:rsid w:val="39D7995C"/>
    <w:rsid w:val="39EF19CE"/>
    <w:rsid w:val="3A0DF393"/>
    <w:rsid w:val="3A3CB3AA"/>
    <w:rsid w:val="3A5E0AAB"/>
    <w:rsid w:val="3A72E37C"/>
    <w:rsid w:val="3A7A39D0"/>
    <w:rsid w:val="3A900D81"/>
    <w:rsid w:val="3AA3E7B1"/>
    <w:rsid w:val="3AAC735C"/>
    <w:rsid w:val="3B05B6EF"/>
    <w:rsid w:val="3B07C336"/>
    <w:rsid w:val="3B36987C"/>
    <w:rsid w:val="3B3F43EB"/>
    <w:rsid w:val="3B4B3220"/>
    <w:rsid w:val="3B579FA8"/>
    <w:rsid w:val="3B856653"/>
    <w:rsid w:val="3B98489A"/>
    <w:rsid w:val="3B9D54FA"/>
    <w:rsid w:val="3BAA4770"/>
    <w:rsid w:val="3BB2EA9E"/>
    <w:rsid w:val="3BB6986B"/>
    <w:rsid w:val="3BC8D202"/>
    <w:rsid w:val="3C0F326C"/>
    <w:rsid w:val="3C213727"/>
    <w:rsid w:val="3C2163F9"/>
    <w:rsid w:val="3C370109"/>
    <w:rsid w:val="3C6883DA"/>
    <w:rsid w:val="3C7975AC"/>
    <w:rsid w:val="3C7FE869"/>
    <w:rsid w:val="3C85D4CC"/>
    <w:rsid w:val="3C8F784B"/>
    <w:rsid w:val="3CB2A6ED"/>
    <w:rsid w:val="3CBF6A82"/>
    <w:rsid w:val="3CC04855"/>
    <w:rsid w:val="3CCC3514"/>
    <w:rsid w:val="3CCF8D00"/>
    <w:rsid w:val="3CE89C9B"/>
    <w:rsid w:val="3CF51745"/>
    <w:rsid w:val="3CFE48F0"/>
    <w:rsid w:val="3D22003E"/>
    <w:rsid w:val="3D2E7EFB"/>
    <w:rsid w:val="3D83ECF9"/>
    <w:rsid w:val="3D85679E"/>
    <w:rsid w:val="3D90721D"/>
    <w:rsid w:val="3DCD9D7B"/>
    <w:rsid w:val="3DD2783D"/>
    <w:rsid w:val="3DE12C84"/>
    <w:rsid w:val="3DE2209A"/>
    <w:rsid w:val="3DE30FBF"/>
    <w:rsid w:val="3DEA24E3"/>
    <w:rsid w:val="3DF2D0CB"/>
    <w:rsid w:val="3E00A6AC"/>
    <w:rsid w:val="3E2117D1"/>
    <w:rsid w:val="3E237878"/>
    <w:rsid w:val="3E23FADB"/>
    <w:rsid w:val="3E4257BF"/>
    <w:rsid w:val="3E438323"/>
    <w:rsid w:val="3E4FFD1A"/>
    <w:rsid w:val="3E5D0E23"/>
    <w:rsid w:val="3E6FD742"/>
    <w:rsid w:val="3E84325C"/>
    <w:rsid w:val="3E8F2540"/>
    <w:rsid w:val="3EB3F7BB"/>
    <w:rsid w:val="3EBC6C70"/>
    <w:rsid w:val="3EBF8F4A"/>
    <w:rsid w:val="3EDDF782"/>
    <w:rsid w:val="3F0CFB5E"/>
    <w:rsid w:val="3F189F66"/>
    <w:rsid w:val="3F281CDB"/>
    <w:rsid w:val="3F7571BA"/>
    <w:rsid w:val="3F8EA00D"/>
    <w:rsid w:val="3FA2CDD9"/>
    <w:rsid w:val="3FB7AA78"/>
    <w:rsid w:val="3FE64D70"/>
    <w:rsid w:val="400B135E"/>
    <w:rsid w:val="401A4025"/>
    <w:rsid w:val="4020D922"/>
    <w:rsid w:val="40608C5D"/>
    <w:rsid w:val="4079914F"/>
    <w:rsid w:val="4094B72C"/>
    <w:rsid w:val="409A3C45"/>
    <w:rsid w:val="40A5BF53"/>
    <w:rsid w:val="40D2DD18"/>
    <w:rsid w:val="40DB218A"/>
    <w:rsid w:val="40DCBEB8"/>
    <w:rsid w:val="40F0BD05"/>
    <w:rsid w:val="411E0819"/>
    <w:rsid w:val="4139138C"/>
    <w:rsid w:val="414E8866"/>
    <w:rsid w:val="415D1D3F"/>
    <w:rsid w:val="415DB090"/>
    <w:rsid w:val="4178FEAE"/>
    <w:rsid w:val="41D27C72"/>
    <w:rsid w:val="41E27F2B"/>
    <w:rsid w:val="41F61ECE"/>
    <w:rsid w:val="421C4C0C"/>
    <w:rsid w:val="422BBA54"/>
    <w:rsid w:val="42444FB9"/>
    <w:rsid w:val="424B1E0E"/>
    <w:rsid w:val="4260E1F6"/>
    <w:rsid w:val="4276956A"/>
    <w:rsid w:val="427E9446"/>
    <w:rsid w:val="428581B9"/>
    <w:rsid w:val="428C2D4D"/>
    <w:rsid w:val="42A7FD05"/>
    <w:rsid w:val="42ACD195"/>
    <w:rsid w:val="42D1A189"/>
    <w:rsid w:val="42FB2EA8"/>
    <w:rsid w:val="430A284D"/>
    <w:rsid w:val="43181A13"/>
    <w:rsid w:val="433CC076"/>
    <w:rsid w:val="433F9F0D"/>
    <w:rsid w:val="435993BF"/>
    <w:rsid w:val="435E3797"/>
    <w:rsid w:val="43722BBB"/>
    <w:rsid w:val="4380AC43"/>
    <w:rsid w:val="43879545"/>
    <w:rsid w:val="43BB3776"/>
    <w:rsid w:val="43BFF48D"/>
    <w:rsid w:val="43E29BF9"/>
    <w:rsid w:val="4436AAA2"/>
    <w:rsid w:val="443EB2C2"/>
    <w:rsid w:val="44811925"/>
    <w:rsid w:val="449B8683"/>
    <w:rsid w:val="44DF27D8"/>
    <w:rsid w:val="44E61E3C"/>
    <w:rsid w:val="44E84C2D"/>
    <w:rsid w:val="44F8388A"/>
    <w:rsid w:val="451961FE"/>
    <w:rsid w:val="451CEAC7"/>
    <w:rsid w:val="451DBA6C"/>
    <w:rsid w:val="4529A73A"/>
    <w:rsid w:val="45334DAF"/>
    <w:rsid w:val="4560A09A"/>
    <w:rsid w:val="45727A3B"/>
    <w:rsid w:val="45B0FE74"/>
    <w:rsid w:val="45B861E7"/>
    <w:rsid w:val="45C29EEB"/>
    <w:rsid w:val="45C82D75"/>
    <w:rsid w:val="45DF2272"/>
    <w:rsid w:val="46134EED"/>
    <w:rsid w:val="461AB3D1"/>
    <w:rsid w:val="462A8E3F"/>
    <w:rsid w:val="469861F3"/>
    <w:rsid w:val="46AE1F1A"/>
    <w:rsid w:val="46C09F3E"/>
    <w:rsid w:val="46E6400A"/>
    <w:rsid w:val="46EB12F9"/>
    <w:rsid w:val="46FBD3B6"/>
    <w:rsid w:val="470F61E3"/>
    <w:rsid w:val="47314BD7"/>
    <w:rsid w:val="4740162F"/>
    <w:rsid w:val="47435CDD"/>
    <w:rsid w:val="477CAC6B"/>
    <w:rsid w:val="478B4512"/>
    <w:rsid w:val="478E5E0F"/>
    <w:rsid w:val="4793DC11"/>
    <w:rsid w:val="47A40F61"/>
    <w:rsid w:val="47BC98BA"/>
    <w:rsid w:val="47D18A48"/>
    <w:rsid w:val="47D276AF"/>
    <w:rsid w:val="47E6263E"/>
    <w:rsid w:val="4820168B"/>
    <w:rsid w:val="4852A8EE"/>
    <w:rsid w:val="485D1B3B"/>
    <w:rsid w:val="48742AAE"/>
    <w:rsid w:val="487E1776"/>
    <w:rsid w:val="487FA539"/>
    <w:rsid w:val="48888FB5"/>
    <w:rsid w:val="488DA437"/>
    <w:rsid w:val="48971850"/>
    <w:rsid w:val="4899F845"/>
    <w:rsid w:val="489E812F"/>
    <w:rsid w:val="48A3A94B"/>
    <w:rsid w:val="48AFD1D2"/>
    <w:rsid w:val="48E9635A"/>
    <w:rsid w:val="48EA0505"/>
    <w:rsid w:val="48F039A0"/>
    <w:rsid w:val="48F3B53F"/>
    <w:rsid w:val="48FA56B4"/>
    <w:rsid w:val="4908CA4E"/>
    <w:rsid w:val="490AF933"/>
    <w:rsid w:val="491A84B2"/>
    <w:rsid w:val="4926B28A"/>
    <w:rsid w:val="492811FD"/>
    <w:rsid w:val="493165AD"/>
    <w:rsid w:val="493A78BC"/>
    <w:rsid w:val="49561761"/>
    <w:rsid w:val="495F0999"/>
    <w:rsid w:val="4960C5F6"/>
    <w:rsid w:val="496C635C"/>
    <w:rsid w:val="4984931D"/>
    <w:rsid w:val="498A9E00"/>
    <w:rsid w:val="498F9F4C"/>
    <w:rsid w:val="49ACAA16"/>
    <w:rsid w:val="49B9B55E"/>
    <w:rsid w:val="49C2DF72"/>
    <w:rsid w:val="49E79768"/>
    <w:rsid w:val="4A11E1D9"/>
    <w:rsid w:val="4A1CBFA8"/>
    <w:rsid w:val="4A2032A2"/>
    <w:rsid w:val="4A3E6EA5"/>
    <w:rsid w:val="4A446B22"/>
    <w:rsid w:val="4A534266"/>
    <w:rsid w:val="4A733981"/>
    <w:rsid w:val="4A90208A"/>
    <w:rsid w:val="4A99722F"/>
    <w:rsid w:val="4A99FDE5"/>
    <w:rsid w:val="4AA07159"/>
    <w:rsid w:val="4AAB37E0"/>
    <w:rsid w:val="4AACED93"/>
    <w:rsid w:val="4ABD8A66"/>
    <w:rsid w:val="4B032E42"/>
    <w:rsid w:val="4B2408AB"/>
    <w:rsid w:val="4B2A741D"/>
    <w:rsid w:val="4B2B52B5"/>
    <w:rsid w:val="4B34FC4A"/>
    <w:rsid w:val="4B35A609"/>
    <w:rsid w:val="4B387FAE"/>
    <w:rsid w:val="4B51A998"/>
    <w:rsid w:val="4B640A52"/>
    <w:rsid w:val="4B6FAB53"/>
    <w:rsid w:val="4B84E77C"/>
    <w:rsid w:val="4BC88E55"/>
    <w:rsid w:val="4BD06D1E"/>
    <w:rsid w:val="4BE91841"/>
    <w:rsid w:val="4BFAC8AE"/>
    <w:rsid w:val="4BFD42B3"/>
    <w:rsid w:val="4C02120C"/>
    <w:rsid w:val="4C0F7D66"/>
    <w:rsid w:val="4C15FB29"/>
    <w:rsid w:val="4C28C50C"/>
    <w:rsid w:val="4C6156EA"/>
    <w:rsid w:val="4C6AF739"/>
    <w:rsid w:val="4C712D54"/>
    <w:rsid w:val="4C84CBC5"/>
    <w:rsid w:val="4CA08F85"/>
    <w:rsid w:val="4CAA0053"/>
    <w:rsid w:val="4CC31E13"/>
    <w:rsid w:val="4CD2E559"/>
    <w:rsid w:val="4CE6CF09"/>
    <w:rsid w:val="4D0024E0"/>
    <w:rsid w:val="4D087377"/>
    <w:rsid w:val="4D1B7342"/>
    <w:rsid w:val="4D2063A7"/>
    <w:rsid w:val="4D3D4B92"/>
    <w:rsid w:val="4D4186DD"/>
    <w:rsid w:val="4D505816"/>
    <w:rsid w:val="4D602498"/>
    <w:rsid w:val="4D68A64B"/>
    <w:rsid w:val="4D78BC47"/>
    <w:rsid w:val="4D840C9C"/>
    <w:rsid w:val="4DAA9D26"/>
    <w:rsid w:val="4DB4DEF8"/>
    <w:rsid w:val="4DB54601"/>
    <w:rsid w:val="4DC4315C"/>
    <w:rsid w:val="4DC928D9"/>
    <w:rsid w:val="4DD3A9BA"/>
    <w:rsid w:val="4DD9FBAC"/>
    <w:rsid w:val="4DF98DFE"/>
    <w:rsid w:val="4E1D032B"/>
    <w:rsid w:val="4E44227F"/>
    <w:rsid w:val="4E572121"/>
    <w:rsid w:val="4E73AC9B"/>
    <w:rsid w:val="4E8E37D0"/>
    <w:rsid w:val="4EA5706C"/>
    <w:rsid w:val="4EAAE268"/>
    <w:rsid w:val="4EAD5EE2"/>
    <w:rsid w:val="4ED8AEF8"/>
    <w:rsid w:val="4EDD2EE3"/>
    <w:rsid w:val="4EE867E0"/>
    <w:rsid w:val="4EFC93F8"/>
    <w:rsid w:val="4F0D49E6"/>
    <w:rsid w:val="4F25C6F9"/>
    <w:rsid w:val="4F291613"/>
    <w:rsid w:val="4F3F36AC"/>
    <w:rsid w:val="4F4168CC"/>
    <w:rsid w:val="4F4360E5"/>
    <w:rsid w:val="4F5FB194"/>
    <w:rsid w:val="4FA00653"/>
    <w:rsid w:val="4FC12C20"/>
    <w:rsid w:val="4FD82D49"/>
    <w:rsid w:val="4FDD770B"/>
    <w:rsid w:val="4FE17980"/>
    <w:rsid w:val="4FE26743"/>
    <w:rsid w:val="4FF0F401"/>
    <w:rsid w:val="4FFA4C62"/>
    <w:rsid w:val="4FFD221A"/>
    <w:rsid w:val="50293C46"/>
    <w:rsid w:val="5032724F"/>
    <w:rsid w:val="505FE749"/>
    <w:rsid w:val="506E70E1"/>
    <w:rsid w:val="5075FFCB"/>
    <w:rsid w:val="508736A9"/>
    <w:rsid w:val="509AA291"/>
    <w:rsid w:val="50A17FC4"/>
    <w:rsid w:val="50C520E8"/>
    <w:rsid w:val="50C7632F"/>
    <w:rsid w:val="50CDF7C2"/>
    <w:rsid w:val="50CED813"/>
    <w:rsid w:val="50E781C7"/>
    <w:rsid w:val="510CCFB9"/>
    <w:rsid w:val="510F41A6"/>
    <w:rsid w:val="512D6546"/>
    <w:rsid w:val="5143C662"/>
    <w:rsid w:val="5144D628"/>
    <w:rsid w:val="5169D0C3"/>
    <w:rsid w:val="51817B41"/>
    <w:rsid w:val="51A66D01"/>
    <w:rsid w:val="51B26FC2"/>
    <w:rsid w:val="51C32881"/>
    <w:rsid w:val="51DE4C25"/>
    <w:rsid w:val="51F88860"/>
    <w:rsid w:val="51FF7A6B"/>
    <w:rsid w:val="52190137"/>
    <w:rsid w:val="52223342"/>
    <w:rsid w:val="523B6516"/>
    <w:rsid w:val="523E42A5"/>
    <w:rsid w:val="52695BF5"/>
    <w:rsid w:val="5277ABBA"/>
    <w:rsid w:val="52CCF7BB"/>
    <w:rsid w:val="52DF531F"/>
    <w:rsid w:val="52EEC3E5"/>
    <w:rsid w:val="52F39608"/>
    <w:rsid w:val="52FD25B4"/>
    <w:rsid w:val="5301BAD7"/>
    <w:rsid w:val="533CD7AE"/>
    <w:rsid w:val="536A03E4"/>
    <w:rsid w:val="536FF977"/>
    <w:rsid w:val="537ADAD7"/>
    <w:rsid w:val="539855B9"/>
    <w:rsid w:val="53D84BBB"/>
    <w:rsid w:val="53F099CB"/>
    <w:rsid w:val="53F1824B"/>
    <w:rsid w:val="53F5FD4D"/>
    <w:rsid w:val="5401C8B5"/>
    <w:rsid w:val="54199F78"/>
    <w:rsid w:val="5420AA06"/>
    <w:rsid w:val="542327A3"/>
    <w:rsid w:val="5459CAFF"/>
    <w:rsid w:val="547245FF"/>
    <w:rsid w:val="547F17BA"/>
    <w:rsid w:val="548BD5A7"/>
    <w:rsid w:val="54D4E5D3"/>
    <w:rsid w:val="54DCA947"/>
    <w:rsid w:val="54EAEF8A"/>
    <w:rsid w:val="54EF127C"/>
    <w:rsid w:val="5509D38F"/>
    <w:rsid w:val="552DCCC5"/>
    <w:rsid w:val="5552E35B"/>
    <w:rsid w:val="558AB191"/>
    <w:rsid w:val="55910712"/>
    <w:rsid w:val="559C7DD3"/>
    <w:rsid w:val="55AB1D11"/>
    <w:rsid w:val="55AF02AA"/>
    <w:rsid w:val="55DC35EC"/>
    <w:rsid w:val="55F55560"/>
    <w:rsid w:val="55F89A8D"/>
    <w:rsid w:val="5601014E"/>
    <w:rsid w:val="56451286"/>
    <w:rsid w:val="5646D536"/>
    <w:rsid w:val="5671E9A4"/>
    <w:rsid w:val="568C83F5"/>
    <w:rsid w:val="56CE6B7D"/>
    <w:rsid w:val="56EDAC2C"/>
    <w:rsid w:val="570CAD75"/>
    <w:rsid w:val="5719CD82"/>
    <w:rsid w:val="573CE6EF"/>
    <w:rsid w:val="5750BC39"/>
    <w:rsid w:val="57510838"/>
    <w:rsid w:val="575112AC"/>
    <w:rsid w:val="577FF74F"/>
    <w:rsid w:val="578E67E7"/>
    <w:rsid w:val="5792633C"/>
    <w:rsid w:val="57B8F276"/>
    <w:rsid w:val="57CC1069"/>
    <w:rsid w:val="57D18AC9"/>
    <w:rsid w:val="57DE7AA1"/>
    <w:rsid w:val="57E190CA"/>
    <w:rsid w:val="57ED7649"/>
    <w:rsid w:val="57FEFA89"/>
    <w:rsid w:val="5824C443"/>
    <w:rsid w:val="583631C8"/>
    <w:rsid w:val="5863EB2C"/>
    <w:rsid w:val="58677318"/>
    <w:rsid w:val="587914BD"/>
    <w:rsid w:val="587BFE7B"/>
    <w:rsid w:val="58D82335"/>
    <w:rsid w:val="58EE7868"/>
    <w:rsid w:val="59056DEA"/>
    <w:rsid w:val="59217DF9"/>
    <w:rsid w:val="59291C72"/>
    <w:rsid w:val="592CC9A7"/>
    <w:rsid w:val="597FB503"/>
    <w:rsid w:val="5997995F"/>
    <w:rsid w:val="59AFAECE"/>
    <w:rsid w:val="59B634C2"/>
    <w:rsid w:val="59C13473"/>
    <w:rsid w:val="59C52A30"/>
    <w:rsid w:val="59CEA632"/>
    <w:rsid w:val="59DCC8AC"/>
    <w:rsid w:val="59E95665"/>
    <w:rsid w:val="59EC91B3"/>
    <w:rsid w:val="5A016EB0"/>
    <w:rsid w:val="5A23AEFC"/>
    <w:rsid w:val="5A2F5F12"/>
    <w:rsid w:val="5A47A31B"/>
    <w:rsid w:val="5A733CC9"/>
    <w:rsid w:val="5A8791A3"/>
    <w:rsid w:val="5A9B9EA7"/>
    <w:rsid w:val="5AAA1722"/>
    <w:rsid w:val="5AAB5C51"/>
    <w:rsid w:val="5AAD2B63"/>
    <w:rsid w:val="5ADBC1BF"/>
    <w:rsid w:val="5ADE30B1"/>
    <w:rsid w:val="5B1DA0E1"/>
    <w:rsid w:val="5B2202A4"/>
    <w:rsid w:val="5B35BC9D"/>
    <w:rsid w:val="5B48FA94"/>
    <w:rsid w:val="5B867DD7"/>
    <w:rsid w:val="5B86EA0E"/>
    <w:rsid w:val="5B979E44"/>
    <w:rsid w:val="5BAD523A"/>
    <w:rsid w:val="5BB48E66"/>
    <w:rsid w:val="5BDC1A22"/>
    <w:rsid w:val="5BF71538"/>
    <w:rsid w:val="5BFAFD31"/>
    <w:rsid w:val="5C4D683E"/>
    <w:rsid w:val="5C58C372"/>
    <w:rsid w:val="5C614548"/>
    <w:rsid w:val="5C7363C5"/>
    <w:rsid w:val="5C972DBC"/>
    <w:rsid w:val="5C989574"/>
    <w:rsid w:val="5C9FEBD6"/>
    <w:rsid w:val="5CB89386"/>
    <w:rsid w:val="5CCE3AA3"/>
    <w:rsid w:val="5CDB2AD2"/>
    <w:rsid w:val="5CDEC146"/>
    <w:rsid w:val="5CDFEBA8"/>
    <w:rsid w:val="5CF20B61"/>
    <w:rsid w:val="5D11E9BF"/>
    <w:rsid w:val="5D12F910"/>
    <w:rsid w:val="5D1453E2"/>
    <w:rsid w:val="5D172739"/>
    <w:rsid w:val="5D22729F"/>
    <w:rsid w:val="5D3021D7"/>
    <w:rsid w:val="5D32E73B"/>
    <w:rsid w:val="5D509D5F"/>
    <w:rsid w:val="5D775A10"/>
    <w:rsid w:val="5D7E2B79"/>
    <w:rsid w:val="5DA55BE7"/>
    <w:rsid w:val="5DAC90BB"/>
    <w:rsid w:val="5DAFC4D4"/>
    <w:rsid w:val="5DB17218"/>
    <w:rsid w:val="5DC380E3"/>
    <w:rsid w:val="5DFBCA67"/>
    <w:rsid w:val="5DFFE29F"/>
    <w:rsid w:val="5E097B6E"/>
    <w:rsid w:val="5E0C2531"/>
    <w:rsid w:val="5E172D9A"/>
    <w:rsid w:val="5E32655B"/>
    <w:rsid w:val="5E3B52CD"/>
    <w:rsid w:val="5E484DEF"/>
    <w:rsid w:val="5E5064C6"/>
    <w:rsid w:val="5E5202FB"/>
    <w:rsid w:val="5E534295"/>
    <w:rsid w:val="5EB48821"/>
    <w:rsid w:val="5ED48AD6"/>
    <w:rsid w:val="5ED800AD"/>
    <w:rsid w:val="5ED98FE9"/>
    <w:rsid w:val="5EF294CC"/>
    <w:rsid w:val="5F1F4BED"/>
    <w:rsid w:val="5F226954"/>
    <w:rsid w:val="5F453902"/>
    <w:rsid w:val="5F82FB15"/>
    <w:rsid w:val="5F9207CD"/>
    <w:rsid w:val="5F934A52"/>
    <w:rsid w:val="5F962980"/>
    <w:rsid w:val="5FB80D32"/>
    <w:rsid w:val="5FC60F65"/>
    <w:rsid w:val="5FD0705B"/>
    <w:rsid w:val="5FD29044"/>
    <w:rsid w:val="5FFC704D"/>
    <w:rsid w:val="60007612"/>
    <w:rsid w:val="601092B9"/>
    <w:rsid w:val="6015FC99"/>
    <w:rsid w:val="602D6D8D"/>
    <w:rsid w:val="603E873F"/>
    <w:rsid w:val="60403821"/>
    <w:rsid w:val="60683FCC"/>
    <w:rsid w:val="607C7D95"/>
    <w:rsid w:val="608042AF"/>
    <w:rsid w:val="608A2781"/>
    <w:rsid w:val="60B3B31F"/>
    <w:rsid w:val="60D38C45"/>
    <w:rsid w:val="60E80042"/>
    <w:rsid w:val="610B5868"/>
    <w:rsid w:val="61230614"/>
    <w:rsid w:val="6132D2ED"/>
    <w:rsid w:val="6162087F"/>
    <w:rsid w:val="617EB4FF"/>
    <w:rsid w:val="61964FB8"/>
    <w:rsid w:val="619CB057"/>
    <w:rsid w:val="61A7976D"/>
    <w:rsid w:val="61D36250"/>
    <w:rsid w:val="61DED9E1"/>
    <w:rsid w:val="62025DEA"/>
    <w:rsid w:val="621C73A4"/>
    <w:rsid w:val="622F2831"/>
    <w:rsid w:val="622F41FB"/>
    <w:rsid w:val="62345FA4"/>
    <w:rsid w:val="62798C8B"/>
    <w:rsid w:val="628D6098"/>
    <w:rsid w:val="62996827"/>
    <w:rsid w:val="629AB6F1"/>
    <w:rsid w:val="62A1C543"/>
    <w:rsid w:val="62E01501"/>
    <w:rsid w:val="62E8F905"/>
    <w:rsid w:val="630BF00F"/>
    <w:rsid w:val="6325A5B1"/>
    <w:rsid w:val="634A8781"/>
    <w:rsid w:val="636A5F7B"/>
    <w:rsid w:val="6374C2D7"/>
    <w:rsid w:val="638F38A6"/>
    <w:rsid w:val="63941525"/>
    <w:rsid w:val="63A232D2"/>
    <w:rsid w:val="63B60474"/>
    <w:rsid w:val="63E6B852"/>
    <w:rsid w:val="640047AF"/>
    <w:rsid w:val="64028E4A"/>
    <w:rsid w:val="6404A371"/>
    <w:rsid w:val="641BC982"/>
    <w:rsid w:val="643DC541"/>
    <w:rsid w:val="64535A30"/>
    <w:rsid w:val="6474C257"/>
    <w:rsid w:val="64828D4C"/>
    <w:rsid w:val="64AAE73C"/>
    <w:rsid w:val="64C6D03F"/>
    <w:rsid w:val="64CFC3DE"/>
    <w:rsid w:val="64DCD6BC"/>
    <w:rsid w:val="64E10C08"/>
    <w:rsid w:val="64EC2F65"/>
    <w:rsid w:val="64EE97A9"/>
    <w:rsid w:val="64FED451"/>
    <w:rsid w:val="656DB994"/>
    <w:rsid w:val="65944056"/>
    <w:rsid w:val="6594AA53"/>
    <w:rsid w:val="65CAF919"/>
    <w:rsid w:val="65CB0AF5"/>
    <w:rsid w:val="65CF4BA7"/>
    <w:rsid w:val="65FB74C9"/>
    <w:rsid w:val="6600FBBB"/>
    <w:rsid w:val="6619D7BE"/>
    <w:rsid w:val="66226D37"/>
    <w:rsid w:val="662638D9"/>
    <w:rsid w:val="662AFA8B"/>
    <w:rsid w:val="66355E34"/>
    <w:rsid w:val="663F88BC"/>
    <w:rsid w:val="664014BB"/>
    <w:rsid w:val="6651B0C8"/>
    <w:rsid w:val="6654DE90"/>
    <w:rsid w:val="665F84BA"/>
    <w:rsid w:val="666D5396"/>
    <w:rsid w:val="66751874"/>
    <w:rsid w:val="668D6748"/>
    <w:rsid w:val="66C5C5BA"/>
    <w:rsid w:val="66E3BC85"/>
    <w:rsid w:val="66E47A23"/>
    <w:rsid w:val="6704CF1B"/>
    <w:rsid w:val="672168DC"/>
    <w:rsid w:val="674F64F4"/>
    <w:rsid w:val="67500D53"/>
    <w:rsid w:val="67518B0D"/>
    <w:rsid w:val="675DB079"/>
    <w:rsid w:val="6784EF1F"/>
    <w:rsid w:val="67912D43"/>
    <w:rsid w:val="67A1B017"/>
    <w:rsid w:val="67A928B4"/>
    <w:rsid w:val="67CCB5E5"/>
    <w:rsid w:val="68073036"/>
    <w:rsid w:val="68164C51"/>
    <w:rsid w:val="6825BCE2"/>
    <w:rsid w:val="68D9B15D"/>
    <w:rsid w:val="6924D6D3"/>
    <w:rsid w:val="693CA0B2"/>
    <w:rsid w:val="6952A7C3"/>
    <w:rsid w:val="6972D354"/>
    <w:rsid w:val="697F53DA"/>
    <w:rsid w:val="6980F2DA"/>
    <w:rsid w:val="698AEC90"/>
    <w:rsid w:val="699140F2"/>
    <w:rsid w:val="69AEFCDA"/>
    <w:rsid w:val="69B25E94"/>
    <w:rsid w:val="69BF9378"/>
    <w:rsid w:val="6A0B4A89"/>
    <w:rsid w:val="6A2826DE"/>
    <w:rsid w:val="6A2BC480"/>
    <w:rsid w:val="6A30598B"/>
    <w:rsid w:val="6A50A325"/>
    <w:rsid w:val="6A61C832"/>
    <w:rsid w:val="6A68854E"/>
    <w:rsid w:val="6A6A5AB6"/>
    <w:rsid w:val="6A7385C7"/>
    <w:rsid w:val="6A9D60BF"/>
    <w:rsid w:val="6AA34E46"/>
    <w:rsid w:val="6AB727DA"/>
    <w:rsid w:val="6AE0454F"/>
    <w:rsid w:val="6AE62F6E"/>
    <w:rsid w:val="6B43477A"/>
    <w:rsid w:val="6B5DE9CF"/>
    <w:rsid w:val="6B64DE8B"/>
    <w:rsid w:val="6B65D62B"/>
    <w:rsid w:val="6B66F082"/>
    <w:rsid w:val="6BA9047D"/>
    <w:rsid w:val="6BB9369A"/>
    <w:rsid w:val="6BBE39AE"/>
    <w:rsid w:val="6BEB1BC6"/>
    <w:rsid w:val="6C3A9484"/>
    <w:rsid w:val="6C469D09"/>
    <w:rsid w:val="6C4948AC"/>
    <w:rsid w:val="6C7F87F6"/>
    <w:rsid w:val="6C87589B"/>
    <w:rsid w:val="6C96A492"/>
    <w:rsid w:val="6C989C50"/>
    <w:rsid w:val="6CA2C745"/>
    <w:rsid w:val="6CADA54A"/>
    <w:rsid w:val="6CAFA5DC"/>
    <w:rsid w:val="6CCB39CA"/>
    <w:rsid w:val="6CD28FFF"/>
    <w:rsid w:val="6CDE34BF"/>
    <w:rsid w:val="6CF5233B"/>
    <w:rsid w:val="6D08BFDA"/>
    <w:rsid w:val="6D0F0993"/>
    <w:rsid w:val="6D246722"/>
    <w:rsid w:val="6D3CB47B"/>
    <w:rsid w:val="6D5BD1EA"/>
    <w:rsid w:val="6D5C39E9"/>
    <w:rsid w:val="6D5F97B4"/>
    <w:rsid w:val="6DA576E2"/>
    <w:rsid w:val="6DBEE6B8"/>
    <w:rsid w:val="6DC22E27"/>
    <w:rsid w:val="6DE87597"/>
    <w:rsid w:val="6E098A12"/>
    <w:rsid w:val="6E4A5FED"/>
    <w:rsid w:val="6E4C9DD9"/>
    <w:rsid w:val="6ED934CF"/>
    <w:rsid w:val="6EDA510E"/>
    <w:rsid w:val="6EE87B5A"/>
    <w:rsid w:val="6EF3B479"/>
    <w:rsid w:val="6F068A52"/>
    <w:rsid w:val="6F1390BE"/>
    <w:rsid w:val="6F1C52F3"/>
    <w:rsid w:val="6F202155"/>
    <w:rsid w:val="6F2D67D0"/>
    <w:rsid w:val="6F39470B"/>
    <w:rsid w:val="6F629668"/>
    <w:rsid w:val="6F636FC5"/>
    <w:rsid w:val="6F6989E2"/>
    <w:rsid w:val="6F73EC20"/>
    <w:rsid w:val="6F751588"/>
    <w:rsid w:val="6F799FDF"/>
    <w:rsid w:val="6F7D757A"/>
    <w:rsid w:val="6F9846AE"/>
    <w:rsid w:val="6FC5756A"/>
    <w:rsid w:val="6FF35E3A"/>
    <w:rsid w:val="6FFF61B4"/>
    <w:rsid w:val="70118129"/>
    <w:rsid w:val="703A30F7"/>
    <w:rsid w:val="704FC334"/>
    <w:rsid w:val="706B5462"/>
    <w:rsid w:val="70700FFE"/>
    <w:rsid w:val="708D05C6"/>
    <w:rsid w:val="70995C34"/>
    <w:rsid w:val="70AE3873"/>
    <w:rsid w:val="70EC2F39"/>
    <w:rsid w:val="71118F85"/>
    <w:rsid w:val="711929F3"/>
    <w:rsid w:val="712CF609"/>
    <w:rsid w:val="7132EFD5"/>
    <w:rsid w:val="7133AC58"/>
    <w:rsid w:val="71343019"/>
    <w:rsid w:val="7148ECBF"/>
    <w:rsid w:val="715C452D"/>
    <w:rsid w:val="717C935B"/>
    <w:rsid w:val="7191B177"/>
    <w:rsid w:val="71CD863A"/>
    <w:rsid w:val="71F515B6"/>
    <w:rsid w:val="720FFE1D"/>
    <w:rsid w:val="722002EE"/>
    <w:rsid w:val="722B6050"/>
    <w:rsid w:val="7249BA41"/>
    <w:rsid w:val="7255DDD1"/>
    <w:rsid w:val="72596E85"/>
    <w:rsid w:val="725E105B"/>
    <w:rsid w:val="726584E5"/>
    <w:rsid w:val="726A2DE6"/>
    <w:rsid w:val="726EEC5F"/>
    <w:rsid w:val="7273B942"/>
    <w:rsid w:val="72B50DA0"/>
    <w:rsid w:val="72C1201B"/>
    <w:rsid w:val="72C69654"/>
    <w:rsid w:val="72E8775E"/>
    <w:rsid w:val="72E93258"/>
    <w:rsid w:val="73002E44"/>
    <w:rsid w:val="732B95D2"/>
    <w:rsid w:val="73454E51"/>
    <w:rsid w:val="7366D01A"/>
    <w:rsid w:val="736FC5C4"/>
    <w:rsid w:val="7377D0E3"/>
    <w:rsid w:val="738C1520"/>
    <w:rsid w:val="73992F6A"/>
    <w:rsid w:val="73A3F1BC"/>
    <w:rsid w:val="73B211B5"/>
    <w:rsid w:val="73D0D9D9"/>
    <w:rsid w:val="73D98FEA"/>
    <w:rsid w:val="73EB0697"/>
    <w:rsid w:val="73F524A4"/>
    <w:rsid w:val="7414D838"/>
    <w:rsid w:val="746EB318"/>
    <w:rsid w:val="7487A522"/>
    <w:rsid w:val="748C6F82"/>
    <w:rsid w:val="749F9FE7"/>
    <w:rsid w:val="74BCCA0A"/>
    <w:rsid w:val="74CABB13"/>
    <w:rsid w:val="74CDDB03"/>
    <w:rsid w:val="74D8B275"/>
    <w:rsid w:val="74DB9BDB"/>
    <w:rsid w:val="74F0368B"/>
    <w:rsid w:val="74F370FC"/>
    <w:rsid w:val="74F385B9"/>
    <w:rsid w:val="74F78D4B"/>
    <w:rsid w:val="75100478"/>
    <w:rsid w:val="752748E7"/>
    <w:rsid w:val="75286147"/>
    <w:rsid w:val="756C28A9"/>
    <w:rsid w:val="756E6A22"/>
    <w:rsid w:val="7577958A"/>
    <w:rsid w:val="757CADE1"/>
    <w:rsid w:val="7599D083"/>
    <w:rsid w:val="75D2559C"/>
    <w:rsid w:val="75D41775"/>
    <w:rsid w:val="75D7F5BD"/>
    <w:rsid w:val="75DED187"/>
    <w:rsid w:val="75E45B2A"/>
    <w:rsid w:val="75F62B90"/>
    <w:rsid w:val="7611BB82"/>
    <w:rsid w:val="7617D5E1"/>
    <w:rsid w:val="763D978D"/>
    <w:rsid w:val="765B9CE4"/>
    <w:rsid w:val="765D5CD6"/>
    <w:rsid w:val="766444C0"/>
    <w:rsid w:val="76853ACB"/>
    <w:rsid w:val="768F638A"/>
    <w:rsid w:val="7695CE70"/>
    <w:rsid w:val="76ABBECD"/>
    <w:rsid w:val="76C7969A"/>
    <w:rsid w:val="76CB842D"/>
    <w:rsid w:val="771CD586"/>
    <w:rsid w:val="771DF6FD"/>
    <w:rsid w:val="77200D92"/>
    <w:rsid w:val="773A3825"/>
    <w:rsid w:val="77579152"/>
    <w:rsid w:val="777D8216"/>
    <w:rsid w:val="77AE36B3"/>
    <w:rsid w:val="77EC54E5"/>
    <w:rsid w:val="780DA0B4"/>
    <w:rsid w:val="780DB17F"/>
    <w:rsid w:val="78181A49"/>
    <w:rsid w:val="781AEA9D"/>
    <w:rsid w:val="781C2B1B"/>
    <w:rsid w:val="783BFAF4"/>
    <w:rsid w:val="784547C1"/>
    <w:rsid w:val="784609AC"/>
    <w:rsid w:val="78534182"/>
    <w:rsid w:val="78607E5A"/>
    <w:rsid w:val="7898AAFA"/>
    <w:rsid w:val="789BAC40"/>
    <w:rsid w:val="78CEF4BB"/>
    <w:rsid w:val="78F3F5FA"/>
    <w:rsid w:val="79273F5D"/>
    <w:rsid w:val="794C9B82"/>
    <w:rsid w:val="79609EB3"/>
    <w:rsid w:val="79816327"/>
    <w:rsid w:val="7983EF04"/>
    <w:rsid w:val="79A60F58"/>
    <w:rsid w:val="79A75188"/>
    <w:rsid w:val="79B35247"/>
    <w:rsid w:val="79E0BDE7"/>
    <w:rsid w:val="79F8DEA0"/>
    <w:rsid w:val="7A0AED20"/>
    <w:rsid w:val="7A30A83D"/>
    <w:rsid w:val="7A391010"/>
    <w:rsid w:val="7A3B4095"/>
    <w:rsid w:val="7A3E221B"/>
    <w:rsid w:val="7A653ADF"/>
    <w:rsid w:val="7A751251"/>
    <w:rsid w:val="7A791600"/>
    <w:rsid w:val="7A896EBE"/>
    <w:rsid w:val="7A8BB089"/>
    <w:rsid w:val="7A8FF056"/>
    <w:rsid w:val="7A9EA7E4"/>
    <w:rsid w:val="7AA0AD5C"/>
    <w:rsid w:val="7AA2A5EA"/>
    <w:rsid w:val="7AAE33B7"/>
    <w:rsid w:val="7AD7A76A"/>
    <w:rsid w:val="7B25B1C0"/>
    <w:rsid w:val="7B2A7ED0"/>
    <w:rsid w:val="7B4F5FD4"/>
    <w:rsid w:val="7B4F609E"/>
    <w:rsid w:val="7B507C54"/>
    <w:rsid w:val="7B6C84DF"/>
    <w:rsid w:val="7B807C3A"/>
    <w:rsid w:val="7BA722BE"/>
    <w:rsid w:val="7BB3A5B3"/>
    <w:rsid w:val="7BC42B84"/>
    <w:rsid w:val="7BD3530B"/>
    <w:rsid w:val="7BE85B2B"/>
    <w:rsid w:val="7BEABE57"/>
    <w:rsid w:val="7BFEAC5E"/>
    <w:rsid w:val="7C0CE18D"/>
    <w:rsid w:val="7C1B0C9D"/>
    <w:rsid w:val="7C4220BE"/>
    <w:rsid w:val="7C6351A6"/>
    <w:rsid w:val="7C968A6C"/>
    <w:rsid w:val="7CC2E632"/>
    <w:rsid w:val="7CCAA0A9"/>
    <w:rsid w:val="7CD961DB"/>
    <w:rsid w:val="7CF68520"/>
    <w:rsid w:val="7CF82A94"/>
    <w:rsid w:val="7D25A290"/>
    <w:rsid w:val="7D3AB0BE"/>
    <w:rsid w:val="7D3C46EF"/>
    <w:rsid w:val="7D3DDB7F"/>
    <w:rsid w:val="7D72E142"/>
    <w:rsid w:val="7D763CA4"/>
    <w:rsid w:val="7D7F294C"/>
    <w:rsid w:val="7E144B35"/>
    <w:rsid w:val="7E185761"/>
    <w:rsid w:val="7E4E87D6"/>
    <w:rsid w:val="7EAA32F7"/>
    <w:rsid w:val="7EADB944"/>
    <w:rsid w:val="7EAE89A4"/>
    <w:rsid w:val="7EC4C240"/>
    <w:rsid w:val="7EF5FEC7"/>
    <w:rsid w:val="7F04170E"/>
    <w:rsid w:val="7F18490B"/>
    <w:rsid w:val="7F195EA1"/>
    <w:rsid w:val="7F260E83"/>
    <w:rsid w:val="7F3291F1"/>
    <w:rsid w:val="7F34516E"/>
    <w:rsid w:val="7F349B84"/>
    <w:rsid w:val="7F4F7CCB"/>
    <w:rsid w:val="7F79D0AD"/>
    <w:rsid w:val="7F9C1DE0"/>
    <w:rsid w:val="7FA9513B"/>
    <w:rsid w:val="7FABBD5C"/>
    <w:rsid w:val="7FE9E347"/>
    <w:rsid w:val="7FF3FE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687C14"/>
  <w15:chartTrackingRefBased/>
  <w15:docId w15:val="{E217CFF1-EA2D-4752-8525-364ADAB7B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5EF294CC"/>
    <w:pPr>
      <w:spacing w:after="120"/>
      <w:jc w:val="both"/>
    </w:pPr>
    <w:rPr>
      <w:sz w:val="24"/>
      <w:szCs w:val="24"/>
    </w:rPr>
  </w:style>
  <w:style w:type="paragraph" w:styleId="Heading1">
    <w:name w:val="heading 1"/>
    <w:basedOn w:val="Normal"/>
    <w:next w:val="Normal"/>
    <w:link w:val="Heading1Char"/>
    <w:uiPriority w:val="9"/>
    <w:qFormat/>
    <w:rsid w:val="5EF294CC"/>
    <w:pPr>
      <w:keepNext/>
      <w:keepLines/>
      <w:spacing w:before="400" w:after="40" w:line="240" w:lineRule="auto"/>
      <w:outlineLvl w:val="0"/>
    </w:pPr>
    <w:rPr>
      <w:rFonts w:asciiTheme="majorHAnsi" w:eastAsiaTheme="majorEastAsia" w:hAnsiTheme="majorHAnsi" w:cstheme="majorBidi"/>
      <w:color w:val="204559" w:themeColor="accent1" w:themeShade="80"/>
      <w:sz w:val="40"/>
      <w:szCs w:val="40"/>
    </w:rPr>
  </w:style>
  <w:style w:type="paragraph" w:styleId="Heading2">
    <w:name w:val="heading 2"/>
    <w:basedOn w:val="Normal"/>
    <w:next w:val="Normal"/>
    <w:link w:val="Heading2Char"/>
    <w:uiPriority w:val="9"/>
    <w:unhideWhenUsed/>
    <w:qFormat/>
    <w:rsid w:val="5EF294CC"/>
    <w:pPr>
      <w:keepNext/>
      <w:keepLines/>
      <w:spacing w:before="360" w:after="40" w:line="240" w:lineRule="auto"/>
      <w:outlineLvl w:val="1"/>
    </w:pPr>
    <w:rPr>
      <w:rFonts w:asciiTheme="majorHAnsi" w:eastAsiaTheme="majorEastAsia" w:hAnsiTheme="majorHAnsi" w:cstheme="majorBidi"/>
      <w:color w:val="AA3B19" w:themeColor="accent6" w:themeShade="BF"/>
      <w:sz w:val="32"/>
      <w:szCs w:val="32"/>
    </w:rPr>
  </w:style>
  <w:style w:type="paragraph" w:styleId="Heading3">
    <w:name w:val="heading 3"/>
    <w:basedOn w:val="Normal"/>
    <w:next w:val="Normal"/>
    <w:link w:val="Heading3Char"/>
    <w:uiPriority w:val="9"/>
    <w:unhideWhenUsed/>
    <w:qFormat/>
    <w:rsid w:val="5EF294CC"/>
    <w:pPr>
      <w:spacing w:before="240"/>
      <w:jc w:val="left"/>
      <w:outlineLvl w:val="2"/>
    </w:pPr>
    <w:rPr>
      <w:b/>
      <w:bCs/>
      <w:i/>
      <w:iCs/>
      <w:sz w:val="28"/>
      <w:szCs w:val="28"/>
    </w:rPr>
  </w:style>
  <w:style w:type="paragraph" w:styleId="Heading4">
    <w:name w:val="heading 4"/>
    <w:basedOn w:val="Heading3"/>
    <w:next w:val="Normal"/>
    <w:link w:val="Heading4Char"/>
    <w:uiPriority w:val="9"/>
    <w:unhideWhenUsed/>
    <w:qFormat/>
    <w:rsid w:val="00201A66"/>
    <w:pPr>
      <w:spacing w:after="60"/>
      <w:outlineLvl w:val="3"/>
    </w:pPr>
    <w:rPr>
      <w:i w:val="0"/>
      <w:sz w:val="24"/>
    </w:rPr>
  </w:style>
  <w:style w:type="paragraph" w:styleId="Heading5">
    <w:name w:val="heading 5"/>
    <w:basedOn w:val="Normal"/>
    <w:next w:val="Normal"/>
    <w:link w:val="Heading5Char"/>
    <w:uiPriority w:val="9"/>
    <w:semiHidden/>
    <w:unhideWhenUsed/>
    <w:qFormat/>
    <w:rsid w:val="5EF294CC"/>
    <w:pPr>
      <w:keepNext/>
      <w:keepLines/>
      <w:spacing w:before="40" w:after="0"/>
      <w:outlineLvl w:val="4"/>
    </w:pPr>
    <w:rPr>
      <w:rFonts w:asciiTheme="majorHAnsi" w:eastAsiaTheme="majorEastAsia" w:hAnsiTheme="majorHAnsi" w:cstheme="majorBidi"/>
      <w:caps/>
      <w:color w:val="306785" w:themeColor="accent1" w:themeShade="BF"/>
    </w:rPr>
  </w:style>
  <w:style w:type="paragraph" w:styleId="Heading6">
    <w:name w:val="heading 6"/>
    <w:basedOn w:val="Normal"/>
    <w:next w:val="Normal"/>
    <w:link w:val="Heading6Char"/>
    <w:uiPriority w:val="9"/>
    <w:semiHidden/>
    <w:unhideWhenUsed/>
    <w:qFormat/>
    <w:rsid w:val="5EF294CC"/>
    <w:pPr>
      <w:keepNext/>
      <w:keepLines/>
      <w:spacing w:before="40" w:after="0"/>
      <w:outlineLvl w:val="5"/>
    </w:pPr>
    <w:rPr>
      <w:rFonts w:asciiTheme="majorHAnsi" w:eastAsiaTheme="majorEastAsia" w:hAnsiTheme="majorHAnsi" w:cstheme="majorBidi"/>
      <w:i/>
      <w:iCs/>
      <w:caps/>
      <w:color w:val="204559" w:themeColor="accent1" w:themeShade="80"/>
    </w:rPr>
  </w:style>
  <w:style w:type="paragraph" w:styleId="Heading7">
    <w:name w:val="heading 7"/>
    <w:basedOn w:val="Normal"/>
    <w:next w:val="Normal"/>
    <w:link w:val="Heading7Char"/>
    <w:uiPriority w:val="9"/>
    <w:semiHidden/>
    <w:unhideWhenUsed/>
    <w:qFormat/>
    <w:rsid w:val="5EF294CC"/>
    <w:pPr>
      <w:keepNext/>
      <w:keepLines/>
      <w:spacing w:before="40" w:after="0"/>
      <w:outlineLvl w:val="6"/>
    </w:pPr>
    <w:rPr>
      <w:rFonts w:asciiTheme="majorHAnsi" w:eastAsiaTheme="majorEastAsia" w:hAnsiTheme="majorHAnsi" w:cstheme="majorBidi"/>
      <w:b/>
      <w:bCs/>
      <w:color w:val="204559" w:themeColor="accent1" w:themeShade="80"/>
    </w:rPr>
  </w:style>
  <w:style w:type="paragraph" w:styleId="Heading8">
    <w:name w:val="heading 8"/>
    <w:basedOn w:val="Normal"/>
    <w:next w:val="Normal"/>
    <w:link w:val="Heading8Char"/>
    <w:uiPriority w:val="9"/>
    <w:semiHidden/>
    <w:unhideWhenUsed/>
    <w:qFormat/>
    <w:rsid w:val="5EF294CC"/>
    <w:pPr>
      <w:keepNext/>
      <w:keepLines/>
      <w:spacing w:before="40" w:after="0"/>
      <w:outlineLvl w:val="7"/>
    </w:pPr>
    <w:rPr>
      <w:rFonts w:asciiTheme="majorHAnsi" w:eastAsiaTheme="majorEastAsia" w:hAnsiTheme="majorHAnsi" w:cstheme="majorBidi"/>
      <w:b/>
      <w:bCs/>
      <w:i/>
      <w:iCs/>
      <w:color w:val="204559" w:themeColor="accent1" w:themeShade="80"/>
    </w:rPr>
  </w:style>
  <w:style w:type="paragraph" w:styleId="Heading9">
    <w:name w:val="heading 9"/>
    <w:basedOn w:val="Normal"/>
    <w:next w:val="Normal"/>
    <w:link w:val="Heading9Char"/>
    <w:uiPriority w:val="9"/>
    <w:semiHidden/>
    <w:unhideWhenUsed/>
    <w:qFormat/>
    <w:rsid w:val="5EF294CC"/>
    <w:pPr>
      <w:keepNext/>
      <w:keepLines/>
      <w:spacing w:before="40" w:after="0"/>
      <w:outlineLvl w:val="8"/>
    </w:pPr>
    <w:rPr>
      <w:rFonts w:asciiTheme="majorHAnsi" w:eastAsiaTheme="majorEastAsia" w:hAnsiTheme="majorHAnsi" w:cstheme="majorBidi"/>
      <w:i/>
      <w:iCs/>
      <w:color w:val="204559"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Agenda">
    <w:name w:val="Agenda"/>
    <w:uiPriority w:val="99"/>
    <w:rsid w:val="00375F07"/>
    <w:pPr>
      <w:numPr>
        <w:numId w:val="22"/>
      </w:numPr>
    </w:pPr>
  </w:style>
  <w:style w:type="paragraph" w:styleId="NoSpacing">
    <w:name w:val="No Spacing"/>
    <w:link w:val="NoSpacingChar"/>
    <w:uiPriority w:val="1"/>
    <w:qFormat/>
    <w:rsid w:val="00400D7E"/>
    <w:pPr>
      <w:spacing w:after="0" w:line="240" w:lineRule="auto"/>
    </w:pPr>
  </w:style>
  <w:style w:type="character" w:customStyle="1" w:styleId="NoSpacingChar">
    <w:name w:val="No Spacing Char"/>
    <w:basedOn w:val="DefaultParagraphFont"/>
    <w:link w:val="NoSpacing"/>
    <w:uiPriority w:val="1"/>
    <w:rsid w:val="00400D7E"/>
  </w:style>
  <w:style w:type="character" w:customStyle="1" w:styleId="Heading1Char">
    <w:name w:val="Heading 1 Char"/>
    <w:basedOn w:val="DefaultParagraphFont"/>
    <w:link w:val="Heading1"/>
    <w:uiPriority w:val="9"/>
    <w:rsid w:val="00FC5A90"/>
    <w:rPr>
      <w:rFonts w:asciiTheme="majorHAnsi" w:eastAsiaTheme="majorEastAsia" w:hAnsiTheme="majorHAnsi" w:cstheme="majorBidi"/>
      <w:color w:val="204559" w:themeColor="accent1" w:themeShade="80"/>
      <w:sz w:val="40"/>
      <w:szCs w:val="36"/>
    </w:rPr>
  </w:style>
  <w:style w:type="character" w:customStyle="1" w:styleId="Heading2Char">
    <w:name w:val="Heading 2 Char"/>
    <w:basedOn w:val="DefaultParagraphFont"/>
    <w:link w:val="Heading2"/>
    <w:uiPriority w:val="9"/>
    <w:rsid w:val="000C2E4C"/>
    <w:rPr>
      <w:rFonts w:asciiTheme="majorHAnsi" w:eastAsiaTheme="majorEastAsia" w:hAnsiTheme="majorHAnsi" w:cstheme="majorBidi"/>
      <w:color w:val="AA3B19" w:themeColor="accent6" w:themeShade="BF"/>
      <w:sz w:val="32"/>
      <w:szCs w:val="32"/>
    </w:rPr>
  </w:style>
  <w:style w:type="character" w:customStyle="1" w:styleId="Heading3Char">
    <w:name w:val="Heading 3 Char"/>
    <w:basedOn w:val="DefaultParagraphFont"/>
    <w:link w:val="Heading3"/>
    <w:uiPriority w:val="9"/>
    <w:rsid w:val="00FC5A90"/>
    <w:rPr>
      <w:b/>
      <w:bCs/>
      <w:i/>
      <w:sz w:val="28"/>
    </w:rPr>
  </w:style>
  <w:style w:type="character" w:customStyle="1" w:styleId="Heading4Char">
    <w:name w:val="Heading 4 Char"/>
    <w:basedOn w:val="DefaultParagraphFont"/>
    <w:link w:val="Heading4"/>
    <w:uiPriority w:val="9"/>
    <w:rsid w:val="00201A66"/>
    <w:rPr>
      <w:b/>
      <w:bCs/>
      <w:sz w:val="24"/>
    </w:rPr>
  </w:style>
  <w:style w:type="character" w:customStyle="1" w:styleId="Heading5Char">
    <w:name w:val="Heading 5 Char"/>
    <w:basedOn w:val="DefaultParagraphFont"/>
    <w:link w:val="Heading5"/>
    <w:uiPriority w:val="9"/>
    <w:semiHidden/>
    <w:rsid w:val="00400D7E"/>
    <w:rPr>
      <w:rFonts w:asciiTheme="majorHAnsi" w:eastAsiaTheme="majorEastAsia" w:hAnsiTheme="majorHAnsi" w:cstheme="majorBidi"/>
      <w:caps/>
      <w:color w:val="306785" w:themeColor="accent1" w:themeShade="BF"/>
    </w:rPr>
  </w:style>
  <w:style w:type="character" w:customStyle="1" w:styleId="Heading6Char">
    <w:name w:val="Heading 6 Char"/>
    <w:basedOn w:val="DefaultParagraphFont"/>
    <w:link w:val="Heading6"/>
    <w:uiPriority w:val="9"/>
    <w:semiHidden/>
    <w:rsid w:val="00400D7E"/>
    <w:rPr>
      <w:rFonts w:asciiTheme="majorHAnsi" w:eastAsiaTheme="majorEastAsia" w:hAnsiTheme="majorHAnsi" w:cstheme="majorBidi"/>
      <w:i/>
      <w:iCs/>
      <w:caps/>
      <w:color w:val="204559" w:themeColor="accent1" w:themeShade="80"/>
    </w:rPr>
  </w:style>
  <w:style w:type="character" w:customStyle="1" w:styleId="Heading7Char">
    <w:name w:val="Heading 7 Char"/>
    <w:basedOn w:val="DefaultParagraphFont"/>
    <w:link w:val="Heading7"/>
    <w:uiPriority w:val="9"/>
    <w:semiHidden/>
    <w:rsid w:val="00400D7E"/>
    <w:rPr>
      <w:rFonts w:asciiTheme="majorHAnsi" w:eastAsiaTheme="majorEastAsia" w:hAnsiTheme="majorHAnsi" w:cstheme="majorBidi"/>
      <w:b/>
      <w:bCs/>
      <w:color w:val="204559" w:themeColor="accent1" w:themeShade="80"/>
    </w:rPr>
  </w:style>
  <w:style w:type="character" w:customStyle="1" w:styleId="Heading8Char">
    <w:name w:val="Heading 8 Char"/>
    <w:basedOn w:val="DefaultParagraphFont"/>
    <w:link w:val="Heading8"/>
    <w:uiPriority w:val="9"/>
    <w:semiHidden/>
    <w:rsid w:val="00400D7E"/>
    <w:rPr>
      <w:rFonts w:asciiTheme="majorHAnsi" w:eastAsiaTheme="majorEastAsia" w:hAnsiTheme="majorHAnsi" w:cstheme="majorBidi"/>
      <w:b/>
      <w:bCs/>
      <w:i/>
      <w:iCs/>
      <w:color w:val="204559" w:themeColor="accent1" w:themeShade="80"/>
    </w:rPr>
  </w:style>
  <w:style w:type="character" w:customStyle="1" w:styleId="Heading9Char">
    <w:name w:val="Heading 9 Char"/>
    <w:basedOn w:val="DefaultParagraphFont"/>
    <w:link w:val="Heading9"/>
    <w:uiPriority w:val="9"/>
    <w:semiHidden/>
    <w:rsid w:val="00400D7E"/>
    <w:rPr>
      <w:rFonts w:asciiTheme="majorHAnsi" w:eastAsiaTheme="majorEastAsia" w:hAnsiTheme="majorHAnsi" w:cstheme="majorBidi"/>
      <w:i/>
      <w:iCs/>
      <w:color w:val="204559" w:themeColor="accent1" w:themeShade="80"/>
    </w:rPr>
  </w:style>
  <w:style w:type="paragraph" w:styleId="Caption">
    <w:name w:val="caption"/>
    <w:basedOn w:val="Normal"/>
    <w:next w:val="Normal"/>
    <w:uiPriority w:val="35"/>
    <w:semiHidden/>
    <w:unhideWhenUsed/>
    <w:qFormat/>
    <w:rsid w:val="5EF294CC"/>
    <w:pPr>
      <w:spacing w:line="240" w:lineRule="auto"/>
    </w:pPr>
    <w:rPr>
      <w:b/>
      <w:bCs/>
      <w:smallCaps/>
      <w:color w:val="5E5E5E" w:themeColor="text2"/>
    </w:rPr>
  </w:style>
  <w:style w:type="paragraph" w:styleId="Title">
    <w:name w:val="Title"/>
    <w:basedOn w:val="Normal"/>
    <w:next w:val="Normal"/>
    <w:link w:val="TitleChar"/>
    <w:uiPriority w:val="10"/>
    <w:qFormat/>
    <w:rsid w:val="5EF294CC"/>
    <w:pPr>
      <w:spacing w:after="0" w:line="204" w:lineRule="auto"/>
      <w:contextualSpacing/>
    </w:pPr>
    <w:rPr>
      <w:rFonts w:asciiTheme="majorHAnsi" w:eastAsiaTheme="majorEastAsia" w:hAnsiTheme="majorHAnsi" w:cstheme="majorBidi"/>
      <w:caps/>
      <w:color w:val="5E5E5E" w:themeColor="text2"/>
      <w:sz w:val="72"/>
      <w:szCs w:val="72"/>
    </w:rPr>
  </w:style>
  <w:style w:type="character" w:customStyle="1" w:styleId="TitleChar">
    <w:name w:val="Title Char"/>
    <w:basedOn w:val="DefaultParagraphFont"/>
    <w:link w:val="Title"/>
    <w:uiPriority w:val="10"/>
    <w:rsid w:val="00400D7E"/>
    <w:rPr>
      <w:rFonts w:asciiTheme="majorHAnsi" w:eastAsiaTheme="majorEastAsia" w:hAnsiTheme="majorHAnsi" w:cstheme="majorBidi"/>
      <w:caps/>
      <w:color w:val="5E5E5E" w:themeColor="text2"/>
      <w:spacing w:val="-15"/>
      <w:sz w:val="72"/>
      <w:szCs w:val="72"/>
    </w:rPr>
  </w:style>
  <w:style w:type="paragraph" w:styleId="Subtitle">
    <w:name w:val="Subtitle"/>
    <w:basedOn w:val="Normal"/>
    <w:next w:val="Normal"/>
    <w:link w:val="SubtitleChar"/>
    <w:uiPriority w:val="11"/>
    <w:qFormat/>
    <w:rsid w:val="5EF294CC"/>
    <w:pPr>
      <w:spacing w:after="240" w:line="240" w:lineRule="auto"/>
      <w:ind w:firstLine="360"/>
    </w:pPr>
    <w:rPr>
      <w:rFonts w:asciiTheme="majorHAnsi" w:eastAsiaTheme="majorEastAsia" w:hAnsiTheme="majorHAnsi" w:cstheme="majorBidi"/>
      <w:color w:val="418AB3" w:themeColor="accent1"/>
      <w:sz w:val="28"/>
      <w:szCs w:val="28"/>
    </w:rPr>
  </w:style>
  <w:style w:type="character" w:customStyle="1" w:styleId="SubtitleChar">
    <w:name w:val="Subtitle Char"/>
    <w:basedOn w:val="DefaultParagraphFont"/>
    <w:link w:val="Subtitle"/>
    <w:uiPriority w:val="11"/>
    <w:rsid w:val="00400D7E"/>
    <w:rPr>
      <w:rFonts w:asciiTheme="majorHAnsi" w:eastAsiaTheme="majorEastAsia" w:hAnsiTheme="majorHAnsi" w:cstheme="majorBidi"/>
      <w:color w:val="418AB3" w:themeColor="accent1"/>
      <w:sz w:val="28"/>
      <w:szCs w:val="28"/>
    </w:rPr>
  </w:style>
  <w:style w:type="character" w:styleId="Strong">
    <w:name w:val="Strong"/>
    <w:basedOn w:val="DefaultParagraphFont"/>
    <w:uiPriority w:val="22"/>
    <w:qFormat/>
    <w:rsid w:val="00400D7E"/>
    <w:rPr>
      <w:b/>
      <w:bCs/>
    </w:rPr>
  </w:style>
  <w:style w:type="character" w:styleId="Emphasis">
    <w:name w:val="Emphasis"/>
    <w:basedOn w:val="DefaultParagraphFont"/>
    <w:uiPriority w:val="20"/>
    <w:qFormat/>
    <w:rsid w:val="00400D7E"/>
    <w:rPr>
      <w:i/>
      <w:iCs/>
    </w:rPr>
  </w:style>
  <w:style w:type="paragraph" w:styleId="Quote">
    <w:name w:val="Quote"/>
    <w:basedOn w:val="Normal"/>
    <w:next w:val="Normal"/>
    <w:link w:val="QuoteChar"/>
    <w:uiPriority w:val="29"/>
    <w:qFormat/>
    <w:rsid w:val="5EF294CC"/>
    <w:pPr>
      <w:spacing w:before="120"/>
      <w:ind w:left="720"/>
    </w:pPr>
    <w:rPr>
      <w:color w:val="5E5E5E" w:themeColor="text2"/>
    </w:rPr>
  </w:style>
  <w:style w:type="character" w:customStyle="1" w:styleId="QuoteChar">
    <w:name w:val="Quote Char"/>
    <w:basedOn w:val="DefaultParagraphFont"/>
    <w:link w:val="Quote"/>
    <w:uiPriority w:val="29"/>
    <w:rsid w:val="00400D7E"/>
    <w:rPr>
      <w:color w:val="5E5E5E" w:themeColor="text2"/>
      <w:sz w:val="24"/>
      <w:szCs w:val="24"/>
    </w:rPr>
  </w:style>
  <w:style w:type="paragraph" w:styleId="IntenseQuote">
    <w:name w:val="Intense Quote"/>
    <w:basedOn w:val="Normal"/>
    <w:next w:val="Normal"/>
    <w:link w:val="IntenseQuoteChar"/>
    <w:uiPriority w:val="30"/>
    <w:qFormat/>
    <w:rsid w:val="5EF294CC"/>
    <w:pPr>
      <w:spacing w:beforeAutospacing="1" w:after="240" w:line="240" w:lineRule="auto"/>
      <w:ind w:left="720"/>
      <w:jc w:val="center"/>
    </w:pPr>
    <w:rPr>
      <w:rFonts w:asciiTheme="majorHAnsi" w:eastAsiaTheme="majorEastAsia" w:hAnsiTheme="majorHAnsi" w:cstheme="majorBidi"/>
      <w:color w:val="5E5E5E" w:themeColor="text2"/>
      <w:sz w:val="32"/>
      <w:szCs w:val="32"/>
    </w:rPr>
  </w:style>
  <w:style w:type="character" w:customStyle="1" w:styleId="IntenseQuoteChar">
    <w:name w:val="Intense Quote Char"/>
    <w:basedOn w:val="DefaultParagraphFont"/>
    <w:link w:val="IntenseQuote"/>
    <w:uiPriority w:val="30"/>
    <w:rsid w:val="00400D7E"/>
    <w:rPr>
      <w:rFonts w:asciiTheme="majorHAnsi" w:eastAsiaTheme="majorEastAsia" w:hAnsiTheme="majorHAnsi" w:cstheme="majorBidi"/>
      <w:color w:val="5E5E5E" w:themeColor="text2"/>
      <w:spacing w:val="-6"/>
      <w:sz w:val="32"/>
      <w:szCs w:val="32"/>
    </w:rPr>
  </w:style>
  <w:style w:type="character" w:styleId="SubtleEmphasis">
    <w:name w:val="Subtle Emphasis"/>
    <w:basedOn w:val="DefaultParagraphFont"/>
    <w:uiPriority w:val="19"/>
    <w:qFormat/>
    <w:rsid w:val="00400D7E"/>
    <w:rPr>
      <w:i/>
      <w:iCs/>
      <w:color w:val="595959" w:themeColor="text1" w:themeTint="A6"/>
    </w:rPr>
  </w:style>
  <w:style w:type="character" w:styleId="IntenseEmphasis">
    <w:name w:val="Intense Emphasis"/>
    <w:basedOn w:val="DefaultParagraphFont"/>
    <w:uiPriority w:val="21"/>
    <w:qFormat/>
    <w:rsid w:val="00400D7E"/>
    <w:rPr>
      <w:b/>
      <w:bCs/>
      <w:i/>
      <w:iCs/>
    </w:rPr>
  </w:style>
  <w:style w:type="character" w:styleId="SubtleReference">
    <w:name w:val="Subtle Reference"/>
    <w:basedOn w:val="DefaultParagraphFont"/>
    <w:uiPriority w:val="31"/>
    <w:qFormat/>
    <w:rsid w:val="00400D7E"/>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400D7E"/>
    <w:rPr>
      <w:b/>
      <w:bCs/>
      <w:smallCaps/>
      <w:color w:val="5E5E5E" w:themeColor="text2"/>
      <w:u w:val="single"/>
    </w:rPr>
  </w:style>
  <w:style w:type="character" w:styleId="BookTitle">
    <w:name w:val="Book Title"/>
    <w:basedOn w:val="DefaultParagraphFont"/>
    <w:uiPriority w:val="33"/>
    <w:qFormat/>
    <w:rsid w:val="00400D7E"/>
    <w:rPr>
      <w:b/>
      <w:bCs/>
      <w:smallCaps/>
      <w:spacing w:val="10"/>
    </w:rPr>
  </w:style>
  <w:style w:type="paragraph" w:styleId="TOCHeading">
    <w:name w:val="TOC Heading"/>
    <w:basedOn w:val="Heading1"/>
    <w:next w:val="Normal"/>
    <w:uiPriority w:val="39"/>
    <w:unhideWhenUsed/>
    <w:qFormat/>
    <w:rsid w:val="00400D7E"/>
    <w:pPr>
      <w:outlineLvl w:val="9"/>
    </w:pPr>
  </w:style>
  <w:style w:type="character" w:styleId="Hyperlink">
    <w:name w:val="Hyperlink"/>
    <w:basedOn w:val="DefaultParagraphFont"/>
    <w:uiPriority w:val="99"/>
    <w:unhideWhenUsed/>
    <w:rsid w:val="003376BD"/>
    <w:rPr>
      <w:color w:val="F59E00" w:themeColor="hyperlink"/>
      <w:u w:val="single"/>
    </w:rPr>
  </w:style>
  <w:style w:type="character" w:styleId="PlaceholderText">
    <w:name w:val="Placeholder Text"/>
    <w:basedOn w:val="DefaultParagraphFont"/>
    <w:uiPriority w:val="99"/>
    <w:semiHidden/>
    <w:rsid w:val="0008434E"/>
    <w:rPr>
      <w:color w:val="808080"/>
    </w:rPr>
  </w:style>
  <w:style w:type="paragraph" w:styleId="BalloonText">
    <w:name w:val="Balloon Text"/>
    <w:basedOn w:val="Normal"/>
    <w:link w:val="BalloonTextChar"/>
    <w:uiPriority w:val="99"/>
    <w:semiHidden/>
    <w:unhideWhenUsed/>
    <w:rsid w:val="5EF294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434E"/>
    <w:rPr>
      <w:rFonts w:ascii="Segoe UI" w:hAnsi="Segoe UI" w:cs="Segoe UI"/>
      <w:sz w:val="18"/>
      <w:szCs w:val="18"/>
    </w:rPr>
  </w:style>
  <w:style w:type="table" w:customStyle="1" w:styleId="GridTable4-Accent11">
    <w:name w:val="Grid Table 4 - Accent 11"/>
    <w:basedOn w:val="TableNormal"/>
    <w:next w:val="GridTable4-Accent1"/>
    <w:uiPriority w:val="49"/>
    <w:rsid w:val="00822E7D"/>
    <w:pPr>
      <w:spacing w:after="0" w:line="240" w:lineRule="auto"/>
    </w:pPr>
    <w:rPr>
      <w:rFonts w:eastAsia="Calibri"/>
    </w:rPr>
    <w:tblPr>
      <w:tblStyleRowBandSize w:val="1"/>
      <w:tblStyleColBandSize w:val="1"/>
      <w:tblBorders>
        <w:top w:val="single" w:sz="4" w:space="0" w:color="89B9D4"/>
        <w:left w:val="single" w:sz="4" w:space="0" w:color="89B9D4"/>
        <w:bottom w:val="single" w:sz="4" w:space="0" w:color="89B9D4"/>
        <w:right w:val="single" w:sz="4" w:space="0" w:color="89B9D4"/>
        <w:insideH w:val="single" w:sz="4" w:space="0" w:color="89B9D4"/>
        <w:insideV w:val="single" w:sz="4" w:space="0" w:color="89B9D4"/>
      </w:tblBorders>
    </w:tblPr>
    <w:tblStylePr w:type="firstRow">
      <w:rPr>
        <w:b/>
        <w:bCs/>
        <w:color w:val="FFFFFF"/>
      </w:rPr>
      <w:tblPr/>
      <w:tcPr>
        <w:tcBorders>
          <w:top w:val="single" w:sz="4" w:space="0" w:color="418AB3"/>
          <w:left w:val="single" w:sz="4" w:space="0" w:color="418AB3"/>
          <w:bottom w:val="single" w:sz="4" w:space="0" w:color="418AB3"/>
          <w:right w:val="single" w:sz="4" w:space="0" w:color="418AB3"/>
          <w:insideH w:val="nil"/>
          <w:insideV w:val="nil"/>
        </w:tcBorders>
        <w:shd w:val="clear" w:color="auto" w:fill="418AB3"/>
      </w:tcPr>
    </w:tblStylePr>
    <w:tblStylePr w:type="lastRow">
      <w:rPr>
        <w:b/>
        <w:bCs/>
      </w:rPr>
      <w:tblPr/>
      <w:tcPr>
        <w:tcBorders>
          <w:top w:val="double" w:sz="4" w:space="0" w:color="418AB3"/>
        </w:tcBorders>
      </w:tcPr>
    </w:tblStylePr>
    <w:tblStylePr w:type="firstCol">
      <w:rPr>
        <w:b/>
        <w:bCs/>
      </w:rPr>
    </w:tblStylePr>
    <w:tblStylePr w:type="lastCol">
      <w:rPr>
        <w:b/>
        <w:bCs/>
      </w:rPr>
    </w:tblStylePr>
    <w:tblStylePr w:type="band1Vert">
      <w:tblPr/>
      <w:tcPr>
        <w:shd w:val="clear" w:color="auto" w:fill="D7E7F0"/>
      </w:tcPr>
    </w:tblStylePr>
    <w:tblStylePr w:type="band1Horz">
      <w:tblPr/>
      <w:tcPr>
        <w:shd w:val="clear" w:color="auto" w:fill="D7E7F0"/>
      </w:tcPr>
    </w:tblStylePr>
  </w:style>
  <w:style w:type="table" w:styleId="GridTable4-Accent1">
    <w:name w:val="Grid Table 4 Accent 1"/>
    <w:basedOn w:val="TableNormal"/>
    <w:uiPriority w:val="49"/>
    <w:rsid w:val="00822E7D"/>
    <w:pPr>
      <w:spacing w:after="0" w:line="240" w:lineRule="auto"/>
    </w:pPr>
    <w:tblPr>
      <w:tblStyleRowBandSize w:val="1"/>
      <w:tblStyleColBandSize w:val="1"/>
      <w:tblBorders>
        <w:top w:val="single" w:sz="4" w:space="0" w:color="89B9D4" w:themeColor="accent1" w:themeTint="99"/>
        <w:left w:val="single" w:sz="4" w:space="0" w:color="89B9D4" w:themeColor="accent1" w:themeTint="99"/>
        <w:bottom w:val="single" w:sz="4" w:space="0" w:color="89B9D4" w:themeColor="accent1" w:themeTint="99"/>
        <w:right w:val="single" w:sz="4" w:space="0" w:color="89B9D4" w:themeColor="accent1" w:themeTint="99"/>
        <w:insideH w:val="single" w:sz="4" w:space="0" w:color="89B9D4" w:themeColor="accent1" w:themeTint="99"/>
        <w:insideV w:val="single" w:sz="4" w:space="0" w:color="89B9D4" w:themeColor="accent1" w:themeTint="99"/>
      </w:tblBorders>
    </w:tblPr>
    <w:tblStylePr w:type="firstRow">
      <w:rPr>
        <w:b/>
        <w:bCs/>
        <w:color w:val="FFFFFF" w:themeColor="background1"/>
      </w:rPr>
      <w:tblPr/>
      <w:tcPr>
        <w:tcBorders>
          <w:top w:val="single" w:sz="4" w:space="0" w:color="418AB3" w:themeColor="accent1"/>
          <w:left w:val="single" w:sz="4" w:space="0" w:color="418AB3" w:themeColor="accent1"/>
          <w:bottom w:val="single" w:sz="4" w:space="0" w:color="418AB3" w:themeColor="accent1"/>
          <w:right w:val="single" w:sz="4" w:space="0" w:color="418AB3" w:themeColor="accent1"/>
          <w:insideH w:val="nil"/>
          <w:insideV w:val="nil"/>
        </w:tcBorders>
        <w:shd w:val="clear" w:color="auto" w:fill="418AB3" w:themeFill="accent1"/>
      </w:tcPr>
    </w:tblStylePr>
    <w:tblStylePr w:type="lastRow">
      <w:rPr>
        <w:b/>
        <w:bCs/>
      </w:rPr>
      <w:tblPr/>
      <w:tcPr>
        <w:tcBorders>
          <w:top w:val="double" w:sz="4" w:space="0" w:color="418AB3" w:themeColor="accent1"/>
        </w:tcBorders>
      </w:tcPr>
    </w:tblStylePr>
    <w:tblStylePr w:type="firstCol">
      <w:rPr>
        <w:b/>
        <w:bCs/>
      </w:rPr>
    </w:tblStylePr>
    <w:tblStylePr w:type="lastCol">
      <w:rPr>
        <w:b/>
        <w:bCs/>
      </w:rPr>
    </w:tblStylePr>
    <w:tblStylePr w:type="band1Vert">
      <w:tblPr/>
      <w:tcPr>
        <w:shd w:val="clear" w:color="auto" w:fill="D7E7F0" w:themeFill="accent1" w:themeFillTint="33"/>
      </w:tcPr>
    </w:tblStylePr>
    <w:tblStylePr w:type="band1Horz">
      <w:tblPr/>
      <w:tcPr>
        <w:shd w:val="clear" w:color="auto" w:fill="D7E7F0" w:themeFill="accent1" w:themeFillTint="33"/>
      </w:tcPr>
    </w:tblStylePr>
  </w:style>
  <w:style w:type="paragraph" w:styleId="Header">
    <w:name w:val="header"/>
    <w:basedOn w:val="Normal"/>
    <w:link w:val="HeaderChar"/>
    <w:uiPriority w:val="99"/>
    <w:unhideWhenUsed/>
    <w:rsid w:val="5EF29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BBC"/>
    <w:rPr>
      <w:sz w:val="24"/>
    </w:rPr>
  </w:style>
  <w:style w:type="paragraph" w:styleId="Footer">
    <w:name w:val="footer"/>
    <w:basedOn w:val="Normal"/>
    <w:link w:val="FooterChar"/>
    <w:uiPriority w:val="99"/>
    <w:unhideWhenUsed/>
    <w:rsid w:val="5EF29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BBC"/>
    <w:rPr>
      <w:sz w:val="24"/>
    </w:rPr>
  </w:style>
  <w:style w:type="table" w:styleId="LightList-Accent1">
    <w:name w:val="Light List Accent 1"/>
    <w:basedOn w:val="TableNormal"/>
    <w:uiPriority w:val="61"/>
    <w:semiHidden/>
    <w:unhideWhenUsed/>
    <w:rsid w:val="004D2525"/>
    <w:pPr>
      <w:spacing w:after="0" w:line="240" w:lineRule="auto"/>
    </w:pPr>
    <w:tblPr>
      <w:tblStyleRowBandSize w:val="1"/>
      <w:tblStyleColBandSize w:val="1"/>
      <w:tblBorders>
        <w:top w:val="single" w:sz="8" w:space="0" w:color="418AB3" w:themeColor="accent1"/>
        <w:left w:val="single" w:sz="8" w:space="0" w:color="418AB3" w:themeColor="accent1"/>
        <w:bottom w:val="single" w:sz="8" w:space="0" w:color="418AB3" w:themeColor="accent1"/>
        <w:right w:val="single" w:sz="8" w:space="0" w:color="418AB3" w:themeColor="accent1"/>
      </w:tblBorders>
    </w:tblPr>
    <w:tblStylePr w:type="firstRow">
      <w:pPr>
        <w:spacing w:before="0" w:after="0" w:line="240" w:lineRule="auto"/>
      </w:pPr>
      <w:rPr>
        <w:b/>
        <w:bCs/>
        <w:color w:val="FFFFFF" w:themeColor="background1"/>
      </w:rPr>
      <w:tblPr/>
      <w:tcPr>
        <w:shd w:val="clear" w:color="auto" w:fill="418AB3" w:themeFill="accent1"/>
      </w:tcPr>
    </w:tblStylePr>
    <w:tblStylePr w:type="lastRow">
      <w:pPr>
        <w:spacing w:before="0" w:after="0" w:line="240" w:lineRule="auto"/>
      </w:pPr>
      <w:rPr>
        <w:b/>
        <w:bCs/>
      </w:rPr>
      <w:tblPr/>
      <w:tcPr>
        <w:tcBorders>
          <w:top w:val="double" w:sz="6" w:space="0" w:color="418AB3" w:themeColor="accent1"/>
          <w:left w:val="single" w:sz="8" w:space="0" w:color="418AB3" w:themeColor="accent1"/>
          <w:bottom w:val="single" w:sz="8" w:space="0" w:color="418AB3" w:themeColor="accent1"/>
          <w:right w:val="single" w:sz="8" w:space="0" w:color="418AB3" w:themeColor="accent1"/>
        </w:tcBorders>
      </w:tcPr>
    </w:tblStylePr>
    <w:tblStylePr w:type="firstCol">
      <w:rPr>
        <w:b/>
        <w:bCs/>
      </w:rPr>
    </w:tblStylePr>
    <w:tblStylePr w:type="lastCol">
      <w:rPr>
        <w:b/>
        <w:bCs/>
      </w:rPr>
    </w:tblStylePr>
    <w:tblStylePr w:type="band1Vert">
      <w:tblPr/>
      <w:tcPr>
        <w:tcBorders>
          <w:top w:val="single" w:sz="8" w:space="0" w:color="418AB3" w:themeColor="accent1"/>
          <w:left w:val="single" w:sz="8" w:space="0" w:color="418AB3" w:themeColor="accent1"/>
          <w:bottom w:val="single" w:sz="8" w:space="0" w:color="418AB3" w:themeColor="accent1"/>
          <w:right w:val="single" w:sz="8" w:space="0" w:color="418AB3" w:themeColor="accent1"/>
        </w:tcBorders>
      </w:tcPr>
    </w:tblStylePr>
    <w:tblStylePr w:type="band1Horz">
      <w:tblPr/>
      <w:tcPr>
        <w:tcBorders>
          <w:top w:val="single" w:sz="8" w:space="0" w:color="418AB3" w:themeColor="accent1"/>
          <w:left w:val="single" w:sz="8" w:space="0" w:color="418AB3" w:themeColor="accent1"/>
          <w:bottom w:val="single" w:sz="8" w:space="0" w:color="418AB3" w:themeColor="accent1"/>
          <w:right w:val="single" w:sz="8" w:space="0" w:color="418AB3" w:themeColor="accent1"/>
        </w:tcBorders>
      </w:tcPr>
    </w:tblStylePr>
  </w:style>
  <w:style w:type="table" w:styleId="GridTable4-Accent2">
    <w:name w:val="Grid Table 4 Accent 2"/>
    <w:basedOn w:val="TableNormal"/>
    <w:uiPriority w:val="49"/>
    <w:rsid w:val="004A4D54"/>
    <w:pPr>
      <w:spacing w:after="0" w:line="240" w:lineRule="auto"/>
    </w:pPr>
    <w:tblPr>
      <w:tblStyleRowBandSize w:val="1"/>
      <w:tblStyleColBandSize w:val="1"/>
      <w:tblBorders>
        <w:top w:val="single" w:sz="4" w:space="0" w:color="D3E070" w:themeColor="accent2" w:themeTint="99"/>
        <w:left w:val="single" w:sz="4" w:space="0" w:color="D3E070" w:themeColor="accent2" w:themeTint="99"/>
        <w:bottom w:val="single" w:sz="4" w:space="0" w:color="D3E070" w:themeColor="accent2" w:themeTint="99"/>
        <w:right w:val="single" w:sz="4" w:space="0" w:color="D3E070" w:themeColor="accent2" w:themeTint="99"/>
        <w:insideH w:val="single" w:sz="4" w:space="0" w:color="D3E070" w:themeColor="accent2" w:themeTint="99"/>
        <w:insideV w:val="single" w:sz="4" w:space="0" w:color="D3E070" w:themeColor="accent2" w:themeTint="99"/>
      </w:tblBorders>
    </w:tblPr>
    <w:tblStylePr w:type="firstRow">
      <w:rPr>
        <w:b/>
        <w:bCs/>
        <w:color w:val="FFFFFF" w:themeColor="background1"/>
      </w:rPr>
      <w:tblPr/>
      <w:tcPr>
        <w:tcBorders>
          <w:top w:val="single" w:sz="4" w:space="0" w:color="A6B727" w:themeColor="accent2"/>
          <w:left w:val="single" w:sz="4" w:space="0" w:color="A6B727" w:themeColor="accent2"/>
          <w:bottom w:val="single" w:sz="4" w:space="0" w:color="A6B727" w:themeColor="accent2"/>
          <w:right w:val="single" w:sz="4" w:space="0" w:color="A6B727" w:themeColor="accent2"/>
          <w:insideH w:val="nil"/>
          <w:insideV w:val="nil"/>
        </w:tcBorders>
        <w:shd w:val="clear" w:color="auto" w:fill="A6B727" w:themeFill="accent2"/>
      </w:tcPr>
    </w:tblStylePr>
    <w:tblStylePr w:type="lastRow">
      <w:rPr>
        <w:b/>
        <w:bCs/>
      </w:rPr>
      <w:tblPr/>
      <w:tcPr>
        <w:tcBorders>
          <w:top w:val="double" w:sz="4" w:space="0" w:color="A6B727" w:themeColor="accent2"/>
        </w:tcBorders>
      </w:tcPr>
    </w:tblStylePr>
    <w:tblStylePr w:type="firstCol">
      <w:rPr>
        <w:b/>
        <w:bCs/>
      </w:rPr>
    </w:tblStylePr>
    <w:tblStylePr w:type="lastCol">
      <w:rPr>
        <w:b/>
        <w:bCs/>
      </w:rPr>
    </w:tblStylePr>
    <w:tblStylePr w:type="band1Vert">
      <w:tblPr/>
      <w:tcPr>
        <w:shd w:val="clear" w:color="auto" w:fill="F0F5CF" w:themeFill="accent2" w:themeFillTint="33"/>
      </w:tcPr>
    </w:tblStylePr>
    <w:tblStylePr w:type="band1Horz">
      <w:tblPr/>
      <w:tcPr>
        <w:shd w:val="clear" w:color="auto" w:fill="F0F5CF" w:themeFill="accent2" w:themeFillTint="33"/>
      </w:tcPr>
    </w:tblStylePr>
  </w:style>
  <w:style w:type="paragraph" w:styleId="TOC1">
    <w:name w:val="toc 1"/>
    <w:basedOn w:val="Normal"/>
    <w:next w:val="Normal"/>
    <w:uiPriority w:val="39"/>
    <w:unhideWhenUsed/>
    <w:rsid w:val="5EF294CC"/>
    <w:pPr>
      <w:tabs>
        <w:tab w:val="right" w:leader="dot" w:pos="9350"/>
      </w:tabs>
      <w:spacing w:after="0" w:line="240" w:lineRule="auto"/>
    </w:pPr>
    <w:rPr>
      <w:b/>
      <w:bCs/>
      <w:noProof/>
    </w:rPr>
  </w:style>
  <w:style w:type="paragraph" w:styleId="TOC2">
    <w:name w:val="toc 2"/>
    <w:basedOn w:val="Normal"/>
    <w:next w:val="Normal"/>
    <w:uiPriority w:val="39"/>
    <w:unhideWhenUsed/>
    <w:rsid w:val="5EF294CC"/>
    <w:pPr>
      <w:tabs>
        <w:tab w:val="right" w:leader="dot" w:pos="9350"/>
      </w:tabs>
      <w:spacing w:after="0" w:line="240" w:lineRule="auto"/>
      <w:ind w:left="240"/>
    </w:pPr>
    <w:rPr>
      <w:b/>
      <w:bCs/>
      <w:noProof/>
    </w:rPr>
  </w:style>
  <w:style w:type="paragraph" w:styleId="TOC3">
    <w:name w:val="toc 3"/>
    <w:basedOn w:val="Normal"/>
    <w:next w:val="Normal"/>
    <w:uiPriority w:val="39"/>
    <w:unhideWhenUsed/>
    <w:rsid w:val="5EF294CC"/>
    <w:pPr>
      <w:tabs>
        <w:tab w:val="left" w:pos="720"/>
        <w:tab w:val="left" w:pos="900"/>
        <w:tab w:val="right" w:leader="dot" w:pos="9350"/>
      </w:tabs>
      <w:spacing w:before="20" w:after="0" w:line="240" w:lineRule="auto"/>
      <w:ind w:left="450"/>
    </w:pPr>
  </w:style>
  <w:style w:type="table" w:styleId="TableGrid">
    <w:name w:val="Table Grid"/>
    <w:basedOn w:val="TableNormal"/>
    <w:uiPriority w:val="39"/>
    <w:rsid w:val="00761B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761B5F"/>
    <w:pPr>
      <w:spacing w:after="0" w:line="240" w:lineRule="auto"/>
    </w:pPr>
    <w:tblPr>
      <w:tblStyleRowBandSize w:val="1"/>
      <w:tblStyleColBandSize w:val="1"/>
      <w:tblBorders>
        <w:top w:val="single" w:sz="4" w:space="0" w:color="EB977D" w:themeColor="accent6" w:themeTint="99"/>
        <w:left w:val="single" w:sz="4" w:space="0" w:color="EB977D" w:themeColor="accent6" w:themeTint="99"/>
        <w:bottom w:val="single" w:sz="4" w:space="0" w:color="EB977D" w:themeColor="accent6" w:themeTint="99"/>
        <w:right w:val="single" w:sz="4" w:space="0" w:color="EB977D" w:themeColor="accent6" w:themeTint="99"/>
        <w:insideH w:val="single" w:sz="4" w:space="0" w:color="EB977D" w:themeColor="accent6" w:themeTint="99"/>
        <w:insideV w:val="single" w:sz="4" w:space="0" w:color="EB977D" w:themeColor="accent6" w:themeTint="99"/>
      </w:tblBorders>
    </w:tblPr>
    <w:tblStylePr w:type="firstRow">
      <w:rPr>
        <w:b/>
        <w:bCs/>
        <w:color w:val="FFFFFF" w:themeColor="background1"/>
      </w:rPr>
      <w:tblPr/>
      <w:tcPr>
        <w:tcBorders>
          <w:top w:val="single" w:sz="4" w:space="0" w:color="DF5327" w:themeColor="accent6"/>
          <w:left w:val="single" w:sz="4" w:space="0" w:color="DF5327" w:themeColor="accent6"/>
          <w:bottom w:val="single" w:sz="4" w:space="0" w:color="DF5327" w:themeColor="accent6"/>
          <w:right w:val="single" w:sz="4" w:space="0" w:color="DF5327" w:themeColor="accent6"/>
          <w:insideH w:val="nil"/>
          <w:insideV w:val="nil"/>
        </w:tcBorders>
        <w:shd w:val="clear" w:color="auto" w:fill="DF5327" w:themeFill="accent6"/>
      </w:tcPr>
    </w:tblStylePr>
    <w:tblStylePr w:type="lastRow">
      <w:rPr>
        <w:b/>
        <w:bCs/>
      </w:rPr>
      <w:tblPr/>
      <w:tcPr>
        <w:tcBorders>
          <w:top w:val="double" w:sz="4" w:space="0" w:color="DF5327" w:themeColor="accent6"/>
        </w:tcBorders>
      </w:tcPr>
    </w:tblStylePr>
    <w:tblStylePr w:type="firstCol">
      <w:rPr>
        <w:b/>
        <w:bCs/>
      </w:rPr>
    </w:tblStylePr>
    <w:tblStylePr w:type="lastCol">
      <w:rPr>
        <w:b/>
        <w:bCs/>
      </w:rPr>
    </w:tblStylePr>
    <w:tblStylePr w:type="band1Vert">
      <w:tblPr/>
      <w:tcPr>
        <w:shd w:val="clear" w:color="auto" w:fill="F8DCD3" w:themeFill="accent6" w:themeFillTint="33"/>
      </w:tcPr>
    </w:tblStylePr>
    <w:tblStylePr w:type="band1Horz">
      <w:tblPr/>
      <w:tcPr>
        <w:shd w:val="clear" w:color="auto" w:fill="F8DCD3" w:themeFill="accent6" w:themeFillTint="33"/>
      </w:tcPr>
    </w:tblStylePr>
  </w:style>
  <w:style w:type="table" w:styleId="GridTable4-Accent3">
    <w:name w:val="Grid Table 4 Accent 3"/>
    <w:basedOn w:val="TableNormal"/>
    <w:uiPriority w:val="49"/>
    <w:rsid w:val="00D82FC1"/>
    <w:pPr>
      <w:spacing w:after="0" w:line="240" w:lineRule="auto"/>
    </w:pPr>
    <w:tblPr>
      <w:tblStyleRowBandSize w:val="1"/>
      <w:tblStyleColBandSize w:val="1"/>
      <w:tblBorders>
        <w:top w:val="single" w:sz="4" w:space="0" w:color="FFBE60" w:themeColor="accent3" w:themeTint="99"/>
        <w:left w:val="single" w:sz="4" w:space="0" w:color="FFBE60" w:themeColor="accent3" w:themeTint="99"/>
        <w:bottom w:val="single" w:sz="4" w:space="0" w:color="FFBE60" w:themeColor="accent3" w:themeTint="99"/>
        <w:right w:val="single" w:sz="4" w:space="0" w:color="FFBE60" w:themeColor="accent3" w:themeTint="99"/>
        <w:insideH w:val="single" w:sz="4" w:space="0" w:color="FFBE60" w:themeColor="accent3" w:themeTint="99"/>
        <w:insideV w:val="single" w:sz="4" w:space="0" w:color="FFBE60" w:themeColor="accent3" w:themeTint="99"/>
      </w:tblBorders>
    </w:tblPr>
    <w:tblStylePr w:type="firstRow">
      <w:rPr>
        <w:b/>
        <w:bCs/>
        <w:color w:val="FFFFFF" w:themeColor="background1"/>
      </w:rPr>
      <w:tblPr/>
      <w:tcPr>
        <w:tcBorders>
          <w:top w:val="single" w:sz="4" w:space="0" w:color="F69200" w:themeColor="accent3"/>
          <w:left w:val="single" w:sz="4" w:space="0" w:color="F69200" w:themeColor="accent3"/>
          <w:bottom w:val="single" w:sz="4" w:space="0" w:color="F69200" w:themeColor="accent3"/>
          <w:right w:val="single" w:sz="4" w:space="0" w:color="F69200" w:themeColor="accent3"/>
          <w:insideH w:val="nil"/>
          <w:insideV w:val="nil"/>
        </w:tcBorders>
        <w:shd w:val="clear" w:color="auto" w:fill="F69200" w:themeFill="accent3"/>
      </w:tcPr>
    </w:tblStylePr>
    <w:tblStylePr w:type="lastRow">
      <w:rPr>
        <w:b/>
        <w:bCs/>
      </w:rPr>
      <w:tblPr/>
      <w:tcPr>
        <w:tcBorders>
          <w:top w:val="double" w:sz="4" w:space="0" w:color="F69200" w:themeColor="accent3"/>
        </w:tcBorders>
      </w:tcPr>
    </w:tblStylePr>
    <w:tblStylePr w:type="firstCol">
      <w:rPr>
        <w:b/>
        <w:bCs/>
      </w:rPr>
    </w:tblStylePr>
    <w:tblStylePr w:type="lastCol">
      <w:rPr>
        <w:b/>
        <w:bCs/>
      </w:rPr>
    </w:tblStylePr>
    <w:tblStylePr w:type="band1Vert">
      <w:tblPr/>
      <w:tcPr>
        <w:shd w:val="clear" w:color="auto" w:fill="FFE9CA" w:themeFill="accent3" w:themeFillTint="33"/>
      </w:tcPr>
    </w:tblStylePr>
    <w:tblStylePr w:type="band1Horz">
      <w:tblPr/>
      <w:tcPr>
        <w:shd w:val="clear" w:color="auto" w:fill="FFE9CA" w:themeFill="accent3" w:themeFillTint="33"/>
      </w:tcPr>
    </w:tblStylePr>
  </w:style>
  <w:style w:type="table" w:styleId="GridTable7Colorful-Accent1">
    <w:name w:val="Grid Table 7 Colorful Accent 1"/>
    <w:basedOn w:val="TableNormal"/>
    <w:uiPriority w:val="52"/>
    <w:rsid w:val="008D0638"/>
    <w:pPr>
      <w:spacing w:after="0" w:line="240" w:lineRule="auto"/>
    </w:pPr>
    <w:rPr>
      <w:color w:val="306785" w:themeColor="accent1" w:themeShade="BF"/>
    </w:rPr>
    <w:tblPr>
      <w:tblStyleRowBandSize w:val="1"/>
      <w:tblStyleColBandSize w:val="1"/>
      <w:tblBorders>
        <w:top w:val="single" w:sz="4" w:space="0" w:color="89B9D4" w:themeColor="accent1" w:themeTint="99"/>
        <w:left w:val="single" w:sz="4" w:space="0" w:color="89B9D4" w:themeColor="accent1" w:themeTint="99"/>
        <w:bottom w:val="single" w:sz="4" w:space="0" w:color="89B9D4" w:themeColor="accent1" w:themeTint="99"/>
        <w:right w:val="single" w:sz="4" w:space="0" w:color="89B9D4" w:themeColor="accent1" w:themeTint="99"/>
        <w:insideH w:val="single" w:sz="4" w:space="0" w:color="89B9D4" w:themeColor="accent1" w:themeTint="99"/>
        <w:insideV w:val="single" w:sz="4" w:space="0" w:color="89B9D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7F0" w:themeFill="accent1" w:themeFillTint="33"/>
      </w:tcPr>
    </w:tblStylePr>
    <w:tblStylePr w:type="band1Horz">
      <w:tblPr/>
      <w:tcPr>
        <w:shd w:val="clear" w:color="auto" w:fill="D7E7F0" w:themeFill="accent1" w:themeFillTint="33"/>
      </w:tcPr>
    </w:tblStylePr>
    <w:tblStylePr w:type="neCell">
      <w:tblPr/>
      <w:tcPr>
        <w:tcBorders>
          <w:bottom w:val="single" w:sz="4" w:space="0" w:color="89B9D4" w:themeColor="accent1" w:themeTint="99"/>
        </w:tcBorders>
      </w:tcPr>
    </w:tblStylePr>
    <w:tblStylePr w:type="nwCell">
      <w:tblPr/>
      <w:tcPr>
        <w:tcBorders>
          <w:bottom w:val="single" w:sz="4" w:space="0" w:color="89B9D4" w:themeColor="accent1" w:themeTint="99"/>
        </w:tcBorders>
      </w:tcPr>
    </w:tblStylePr>
    <w:tblStylePr w:type="seCell">
      <w:tblPr/>
      <w:tcPr>
        <w:tcBorders>
          <w:top w:val="single" w:sz="4" w:space="0" w:color="89B9D4" w:themeColor="accent1" w:themeTint="99"/>
        </w:tcBorders>
      </w:tcPr>
    </w:tblStylePr>
    <w:tblStylePr w:type="swCell">
      <w:tblPr/>
      <w:tcPr>
        <w:tcBorders>
          <w:top w:val="single" w:sz="4" w:space="0" w:color="89B9D4" w:themeColor="accent1" w:themeTint="99"/>
        </w:tcBorders>
      </w:tcPr>
    </w:tblStylePr>
  </w:style>
  <w:style w:type="paragraph" w:styleId="ListParagraph">
    <w:name w:val="List Paragraph"/>
    <w:basedOn w:val="Normal"/>
    <w:uiPriority w:val="34"/>
    <w:qFormat/>
    <w:rsid w:val="5EF294CC"/>
    <w:pPr>
      <w:ind w:left="720"/>
      <w:contextualSpacing/>
    </w:pPr>
  </w:style>
  <w:style w:type="table" w:styleId="ListTable4-Accent5">
    <w:name w:val="List Table 4 Accent 5"/>
    <w:basedOn w:val="TableNormal"/>
    <w:uiPriority w:val="49"/>
    <w:rsid w:val="00E713F1"/>
    <w:pPr>
      <w:spacing w:after="0" w:line="240" w:lineRule="auto"/>
    </w:pPr>
    <w:tblPr>
      <w:tblStyleRowBandSize w:val="1"/>
      <w:tblStyleColBandSize w:val="1"/>
      <w:tblBorders>
        <w:top w:val="single" w:sz="4" w:space="0" w:color="FEDA69" w:themeColor="accent5" w:themeTint="99"/>
        <w:left w:val="single" w:sz="4" w:space="0" w:color="FEDA69" w:themeColor="accent5" w:themeTint="99"/>
        <w:bottom w:val="single" w:sz="4" w:space="0" w:color="FEDA69" w:themeColor="accent5" w:themeTint="99"/>
        <w:right w:val="single" w:sz="4" w:space="0" w:color="FEDA69" w:themeColor="accent5" w:themeTint="99"/>
        <w:insideH w:val="single" w:sz="4" w:space="0" w:color="FEDA69" w:themeColor="accent5" w:themeTint="99"/>
      </w:tblBorders>
    </w:tblPr>
    <w:tblStylePr w:type="firstRow">
      <w:rPr>
        <w:b/>
        <w:bCs/>
        <w:color w:val="FFFFFF" w:themeColor="background1"/>
      </w:rPr>
      <w:tblPr/>
      <w:tcPr>
        <w:tcBorders>
          <w:top w:val="single" w:sz="4" w:space="0" w:color="FEC306" w:themeColor="accent5"/>
          <w:left w:val="single" w:sz="4" w:space="0" w:color="FEC306" w:themeColor="accent5"/>
          <w:bottom w:val="single" w:sz="4" w:space="0" w:color="FEC306" w:themeColor="accent5"/>
          <w:right w:val="single" w:sz="4" w:space="0" w:color="FEC306" w:themeColor="accent5"/>
          <w:insideH w:val="nil"/>
        </w:tcBorders>
        <w:shd w:val="clear" w:color="auto" w:fill="FEC306" w:themeFill="accent5"/>
      </w:tcPr>
    </w:tblStylePr>
    <w:tblStylePr w:type="lastRow">
      <w:rPr>
        <w:b/>
        <w:bCs/>
      </w:rPr>
      <w:tblPr/>
      <w:tcPr>
        <w:tcBorders>
          <w:top w:val="double" w:sz="4" w:space="0" w:color="FEDA69" w:themeColor="accent5" w:themeTint="99"/>
        </w:tcBorders>
      </w:tcPr>
    </w:tblStylePr>
    <w:tblStylePr w:type="firstCol">
      <w:rPr>
        <w:b/>
        <w:bCs/>
      </w:rPr>
    </w:tblStylePr>
    <w:tblStylePr w:type="lastCol">
      <w:rPr>
        <w:b/>
        <w:bCs/>
      </w:rPr>
    </w:tblStylePr>
    <w:tblStylePr w:type="band1Vert">
      <w:tblPr/>
      <w:tcPr>
        <w:shd w:val="clear" w:color="auto" w:fill="FEF2CD" w:themeFill="accent5" w:themeFillTint="33"/>
      </w:tcPr>
    </w:tblStylePr>
    <w:tblStylePr w:type="band1Horz">
      <w:tblPr/>
      <w:tcPr>
        <w:shd w:val="clear" w:color="auto" w:fill="FEF2CD" w:themeFill="accent5" w:themeFillTint="33"/>
      </w:tcPr>
    </w:tblStylePr>
  </w:style>
  <w:style w:type="table" w:styleId="ListTable4-Accent6">
    <w:name w:val="List Table 4 Accent 6"/>
    <w:basedOn w:val="TableNormal"/>
    <w:uiPriority w:val="49"/>
    <w:rsid w:val="00C62951"/>
    <w:pPr>
      <w:spacing w:after="0" w:line="240" w:lineRule="auto"/>
    </w:pPr>
    <w:tblPr>
      <w:tblStyleRowBandSize w:val="1"/>
      <w:tblStyleColBandSize w:val="1"/>
      <w:tblBorders>
        <w:top w:val="single" w:sz="4" w:space="0" w:color="EB977D" w:themeColor="accent6" w:themeTint="99"/>
        <w:left w:val="single" w:sz="4" w:space="0" w:color="EB977D" w:themeColor="accent6" w:themeTint="99"/>
        <w:bottom w:val="single" w:sz="4" w:space="0" w:color="EB977D" w:themeColor="accent6" w:themeTint="99"/>
        <w:right w:val="single" w:sz="4" w:space="0" w:color="EB977D" w:themeColor="accent6" w:themeTint="99"/>
        <w:insideH w:val="single" w:sz="4" w:space="0" w:color="EB977D" w:themeColor="accent6" w:themeTint="99"/>
      </w:tblBorders>
    </w:tblPr>
    <w:tblStylePr w:type="firstRow">
      <w:rPr>
        <w:b/>
        <w:bCs/>
        <w:color w:val="FFFFFF" w:themeColor="background1"/>
      </w:rPr>
      <w:tblPr/>
      <w:tcPr>
        <w:tcBorders>
          <w:top w:val="single" w:sz="4" w:space="0" w:color="DF5327" w:themeColor="accent6"/>
          <w:left w:val="single" w:sz="4" w:space="0" w:color="DF5327" w:themeColor="accent6"/>
          <w:bottom w:val="single" w:sz="4" w:space="0" w:color="DF5327" w:themeColor="accent6"/>
          <w:right w:val="single" w:sz="4" w:space="0" w:color="DF5327" w:themeColor="accent6"/>
          <w:insideH w:val="nil"/>
        </w:tcBorders>
        <w:shd w:val="clear" w:color="auto" w:fill="DF5327" w:themeFill="accent6"/>
      </w:tcPr>
    </w:tblStylePr>
    <w:tblStylePr w:type="lastRow">
      <w:rPr>
        <w:b/>
        <w:bCs/>
      </w:rPr>
      <w:tblPr/>
      <w:tcPr>
        <w:tcBorders>
          <w:top w:val="double" w:sz="4" w:space="0" w:color="EB977D" w:themeColor="accent6" w:themeTint="99"/>
        </w:tcBorders>
      </w:tcPr>
    </w:tblStylePr>
    <w:tblStylePr w:type="firstCol">
      <w:rPr>
        <w:b/>
        <w:bCs/>
      </w:rPr>
    </w:tblStylePr>
    <w:tblStylePr w:type="lastCol">
      <w:rPr>
        <w:b/>
        <w:bCs/>
      </w:rPr>
    </w:tblStylePr>
    <w:tblStylePr w:type="band1Vert">
      <w:tblPr/>
      <w:tcPr>
        <w:shd w:val="clear" w:color="auto" w:fill="F8DCD3" w:themeFill="accent6" w:themeFillTint="33"/>
      </w:tcPr>
    </w:tblStylePr>
    <w:tblStylePr w:type="band1Horz">
      <w:tblPr/>
      <w:tcPr>
        <w:shd w:val="clear" w:color="auto" w:fill="F8DCD3" w:themeFill="accent6" w:themeFillTint="33"/>
      </w:tcPr>
    </w:tblStylePr>
  </w:style>
  <w:style w:type="character" w:styleId="FollowedHyperlink">
    <w:name w:val="FollowedHyperlink"/>
    <w:basedOn w:val="DefaultParagraphFont"/>
    <w:uiPriority w:val="99"/>
    <w:semiHidden/>
    <w:unhideWhenUsed/>
    <w:rsid w:val="009135D0"/>
    <w:rPr>
      <w:color w:val="B2B2B2" w:themeColor="followedHyperlink"/>
      <w:u w:val="single"/>
    </w:rPr>
  </w:style>
  <w:style w:type="paragraph" w:styleId="TOC4">
    <w:name w:val="toc 4"/>
    <w:basedOn w:val="Normal"/>
    <w:next w:val="Normal"/>
    <w:uiPriority w:val="39"/>
    <w:unhideWhenUsed/>
    <w:rsid w:val="5EF294CC"/>
    <w:pPr>
      <w:spacing w:after="100"/>
      <w:ind w:left="720"/>
    </w:pPr>
  </w:style>
  <w:style w:type="paragraph" w:styleId="NormalWeb">
    <w:name w:val="Normal (Web)"/>
    <w:basedOn w:val="Normal"/>
    <w:uiPriority w:val="99"/>
    <w:semiHidden/>
    <w:unhideWhenUsed/>
    <w:rsid w:val="5EF294CC"/>
    <w:pPr>
      <w:spacing w:beforeAutospacing="1" w:afterAutospacing="1" w:line="240" w:lineRule="auto"/>
      <w:jc w:val="left"/>
    </w:pPr>
    <w:rPr>
      <w:rFonts w:ascii="Times New Roman" w:eastAsia="Times New Roman" w:hAnsi="Times New Roman" w:cs="Times New Roman"/>
    </w:rPr>
  </w:style>
  <w:style w:type="table" w:styleId="GridTable3-Accent6">
    <w:name w:val="Grid Table 3 Accent 6"/>
    <w:basedOn w:val="TableNormal"/>
    <w:uiPriority w:val="48"/>
    <w:rsid w:val="00B67E30"/>
    <w:pPr>
      <w:spacing w:after="0" w:line="240" w:lineRule="auto"/>
    </w:pPr>
    <w:tblPr>
      <w:tblStyleRowBandSize w:val="1"/>
      <w:tblStyleColBandSize w:val="1"/>
      <w:tblBorders>
        <w:top w:val="single" w:sz="4" w:space="0" w:color="EB977D" w:themeColor="accent6" w:themeTint="99"/>
        <w:left w:val="single" w:sz="4" w:space="0" w:color="EB977D" w:themeColor="accent6" w:themeTint="99"/>
        <w:bottom w:val="single" w:sz="4" w:space="0" w:color="EB977D" w:themeColor="accent6" w:themeTint="99"/>
        <w:right w:val="single" w:sz="4" w:space="0" w:color="EB977D" w:themeColor="accent6" w:themeTint="99"/>
        <w:insideH w:val="single" w:sz="4" w:space="0" w:color="EB977D" w:themeColor="accent6" w:themeTint="99"/>
        <w:insideV w:val="single" w:sz="4" w:space="0" w:color="EB977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CD3" w:themeFill="accent6" w:themeFillTint="33"/>
      </w:tcPr>
    </w:tblStylePr>
    <w:tblStylePr w:type="band1Horz">
      <w:tblPr/>
      <w:tcPr>
        <w:shd w:val="clear" w:color="auto" w:fill="F8DCD3" w:themeFill="accent6" w:themeFillTint="33"/>
      </w:tcPr>
    </w:tblStylePr>
    <w:tblStylePr w:type="neCell">
      <w:tblPr/>
      <w:tcPr>
        <w:tcBorders>
          <w:bottom w:val="single" w:sz="4" w:space="0" w:color="EB977D" w:themeColor="accent6" w:themeTint="99"/>
        </w:tcBorders>
      </w:tcPr>
    </w:tblStylePr>
    <w:tblStylePr w:type="nwCell">
      <w:tblPr/>
      <w:tcPr>
        <w:tcBorders>
          <w:bottom w:val="single" w:sz="4" w:space="0" w:color="EB977D" w:themeColor="accent6" w:themeTint="99"/>
        </w:tcBorders>
      </w:tcPr>
    </w:tblStylePr>
    <w:tblStylePr w:type="seCell">
      <w:tblPr/>
      <w:tcPr>
        <w:tcBorders>
          <w:top w:val="single" w:sz="4" w:space="0" w:color="EB977D" w:themeColor="accent6" w:themeTint="99"/>
        </w:tcBorders>
      </w:tcPr>
    </w:tblStylePr>
    <w:tblStylePr w:type="swCell">
      <w:tblPr/>
      <w:tcPr>
        <w:tcBorders>
          <w:top w:val="single" w:sz="4" w:space="0" w:color="EB977D" w:themeColor="accent6" w:themeTint="99"/>
        </w:tcBorders>
      </w:tcPr>
    </w:tblStylePr>
  </w:style>
  <w:style w:type="table" w:styleId="GridTable4-Accent5">
    <w:name w:val="Grid Table 4 Accent 5"/>
    <w:basedOn w:val="TableNormal"/>
    <w:uiPriority w:val="49"/>
    <w:rsid w:val="006909A7"/>
    <w:pPr>
      <w:spacing w:after="0" w:line="240" w:lineRule="auto"/>
    </w:pPr>
    <w:tblPr>
      <w:tblStyleRowBandSize w:val="1"/>
      <w:tblStyleColBandSize w:val="1"/>
      <w:tblBorders>
        <w:top w:val="single" w:sz="4" w:space="0" w:color="FEDA69" w:themeColor="accent5" w:themeTint="99"/>
        <w:left w:val="single" w:sz="4" w:space="0" w:color="FEDA69" w:themeColor="accent5" w:themeTint="99"/>
        <w:bottom w:val="single" w:sz="4" w:space="0" w:color="FEDA69" w:themeColor="accent5" w:themeTint="99"/>
        <w:right w:val="single" w:sz="4" w:space="0" w:color="FEDA69" w:themeColor="accent5" w:themeTint="99"/>
        <w:insideH w:val="single" w:sz="4" w:space="0" w:color="FEDA69" w:themeColor="accent5" w:themeTint="99"/>
        <w:insideV w:val="single" w:sz="4" w:space="0" w:color="FEDA69" w:themeColor="accent5" w:themeTint="99"/>
      </w:tblBorders>
    </w:tblPr>
    <w:tblStylePr w:type="firstRow">
      <w:rPr>
        <w:b/>
        <w:bCs/>
        <w:color w:val="FFFFFF" w:themeColor="background1"/>
      </w:rPr>
      <w:tblPr/>
      <w:tcPr>
        <w:tcBorders>
          <w:top w:val="single" w:sz="4" w:space="0" w:color="FEC306" w:themeColor="accent5"/>
          <w:left w:val="single" w:sz="4" w:space="0" w:color="FEC306" w:themeColor="accent5"/>
          <w:bottom w:val="single" w:sz="4" w:space="0" w:color="FEC306" w:themeColor="accent5"/>
          <w:right w:val="single" w:sz="4" w:space="0" w:color="FEC306" w:themeColor="accent5"/>
          <w:insideH w:val="nil"/>
          <w:insideV w:val="nil"/>
        </w:tcBorders>
        <w:shd w:val="clear" w:color="auto" w:fill="FEC306" w:themeFill="accent5"/>
      </w:tcPr>
    </w:tblStylePr>
    <w:tblStylePr w:type="lastRow">
      <w:rPr>
        <w:b/>
        <w:bCs/>
      </w:rPr>
      <w:tblPr/>
      <w:tcPr>
        <w:tcBorders>
          <w:top w:val="double" w:sz="4" w:space="0" w:color="FEC306" w:themeColor="accent5"/>
        </w:tcBorders>
      </w:tcPr>
    </w:tblStylePr>
    <w:tblStylePr w:type="firstCol">
      <w:rPr>
        <w:b/>
        <w:bCs/>
      </w:rPr>
    </w:tblStylePr>
    <w:tblStylePr w:type="lastCol">
      <w:rPr>
        <w:b/>
        <w:bCs/>
      </w:rPr>
    </w:tblStylePr>
    <w:tblStylePr w:type="band1Vert">
      <w:tblPr/>
      <w:tcPr>
        <w:shd w:val="clear" w:color="auto" w:fill="FEF2CD" w:themeFill="accent5" w:themeFillTint="33"/>
      </w:tcPr>
    </w:tblStylePr>
    <w:tblStylePr w:type="band1Horz">
      <w:tblPr/>
      <w:tcPr>
        <w:shd w:val="clear" w:color="auto" w:fill="FEF2CD" w:themeFill="accent5" w:themeFillTint="33"/>
      </w:tcPr>
    </w:tblStylePr>
  </w:style>
  <w:style w:type="table" w:styleId="GridTable5Dark-Accent4">
    <w:name w:val="Grid Table 5 Dark Accent 4"/>
    <w:basedOn w:val="TableNormal"/>
    <w:uiPriority w:val="50"/>
    <w:rsid w:val="006909A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E6E6"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3838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3838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3838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38383" w:themeFill="accent4"/>
      </w:tcPr>
    </w:tblStylePr>
    <w:tblStylePr w:type="band1Vert">
      <w:tblPr/>
      <w:tcPr>
        <w:shd w:val="clear" w:color="auto" w:fill="CDCDCD" w:themeFill="accent4" w:themeFillTint="66"/>
      </w:tcPr>
    </w:tblStylePr>
    <w:tblStylePr w:type="band1Horz">
      <w:tblPr/>
      <w:tcPr>
        <w:shd w:val="clear" w:color="auto" w:fill="CDCDCD" w:themeFill="accent4" w:themeFillTint="66"/>
      </w:tcPr>
    </w:tblStylePr>
  </w:style>
  <w:style w:type="table" w:styleId="GridTable4-Accent4">
    <w:name w:val="Grid Table 4 Accent 4"/>
    <w:basedOn w:val="TableNormal"/>
    <w:uiPriority w:val="49"/>
    <w:rsid w:val="006909A7"/>
    <w:pPr>
      <w:spacing w:after="0" w:line="240" w:lineRule="auto"/>
    </w:pPr>
    <w:tblPr>
      <w:tblStyleRowBandSize w:val="1"/>
      <w:tblStyleColBandSize w:val="1"/>
      <w:tblBorders>
        <w:top w:val="single" w:sz="4" w:space="0" w:color="B4B4B4" w:themeColor="accent4" w:themeTint="99"/>
        <w:left w:val="single" w:sz="4" w:space="0" w:color="B4B4B4" w:themeColor="accent4" w:themeTint="99"/>
        <w:bottom w:val="single" w:sz="4" w:space="0" w:color="B4B4B4" w:themeColor="accent4" w:themeTint="99"/>
        <w:right w:val="single" w:sz="4" w:space="0" w:color="B4B4B4" w:themeColor="accent4" w:themeTint="99"/>
        <w:insideH w:val="single" w:sz="4" w:space="0" w:color="B4B4B4" w:themeColor="accent4" w:themeTint="99"/>
        <w:insideV w:val="single" w:sz="4" w:space="0" w:color="B4B4B4" w:themeColor="accent4" w:themeTint="99"/>
      </w:tblBorders>
    </w:tblPr>
    <w:tblStylePr w:type="firstRow">
      <w:rPr>
        <w:b/>
        <w:bCs/>
        <w:color w:val="FFFFFF" w:themeColor="background1"/>
      </w:rPr>
      <w:tblPr/>
      <w:tcPr>
        <w:tcBorders>
          <w:top w:val="single" w:sz="4" w:space="0" w:color="838383" w:themeColor="accent4"/>
          <w:left w:val="single" w:sz="4" w:space="0" w:color="838383" w:themeColor="accent4"/>
          <w:bottom w:val="single" w:sz="4" w:space="0" w:color="838383" w:themeColor="accent4"/>
          <w:right w:val="single" w:sz="4" w:space="0" w:color="838383" w:themeColor="accent4"/>
          <w:insideH w:val="nil"/>
          <w:insideV w:val="nil"/>
        </w:tcBorders>
        <w:shd w:val="clear" w:color="auto" w:fill="838383" w:themeFill="accent4"/>
      </w:tcPr>
    </w:tblStylePr>
    <w:tblStylePr w:type="lastRow">
      <w:rPr>
        <w:b/>
        <w:bCs/>
      </w:rPr>
      <w:tblPr/>
      <w:tcPr>
        <w:tcBorders>
          <w:top w:val="double" w:sz="4" w:space="0" w:color="838383" w:themeColor="accent4"/>
        </w:tcBorders>
      </w:tcPr>
    </w:tblStylePr>
    <w:tblStylePr w:type="firstCol">
      <w:rPr>
        <w:b/>
        <w:bCs/>
      </w:rPr>
    </w:tblStylePr>
    <w:tblStylePr w:type="lastCol">
      <w:rPr>
        <w:b/>
        <w:bCs/>
      </w:rPr>
    </w:tblStylePr>
    <w:tblStylePr w:type="band1Vert">
      <w:tblPr/>
      <w:tcPr>
        <w:shd w:val="clear" w:color="auto" w:fill="E6E6E6" w:themeFill="accent4" w:themeFillTint="33"/>
      </w:tcPr>
    </w:tblStylePr>
    <w:tblStylePr w:type="band1Horz">
      <w:tblPr/>
      <w:tcPr>
        <w:shd w:val="clear" w:color="auto" w:fill="E6E6E6" w:themeFill="accent4" w:themeFillTint="33"/>
      </w:tcPr>
    </w:tblStylePr>
  </w:style>
  <w:style w:type="table" w:styleId="GridTable2-Accent3">
    <w:name w:val="Grid Table 2 Accent 3"/>
    <w:basedOn w:val="TableNormal"/>
    <w:uiPriority w:val="47"/>
    <w:rsid w:val="001C3203"/>
    <w:pPr>
      <w:spacing w:after="0" w:line="240" w:lineRule="auto"/>
    </w:pPr>
    <w:tblPr>
      <w:tblStyleRowBandSize w:val="1"/>
      <w:tblStyleColBandSize w:val="1"/>
      <w:tblBorders>
        <w:top w:val="single" w:sz="2" w:space="0" w:color="FFBE60" w:themeColor="accent3" w:themeTint="99"/>
        <w:bottom w:val="single" w:sz="2" w:space="0" w:color="FFBE60" w:themeColor="accent3" w:themeTint="99"/>
        <w:insideH w:val="single" w:sz="2" w:space="0" w:color="FFBE60" w:themeColor="accent3" w:themeTint="99"/>
        <w:insideV w:val="single" w:sz="2" w:space="0" w:color="FFBE60" w:themeColor="accent3" w:themeTint="99"/>
      </w:tblBorders>
    </w:tblPr>
    <w:tblStylePr w:type="firstRow">
      <w:rPr>
        <w:b/>
        <w:bCs/>
      </w:rPr>
      <w:tblPr/>
      <w:tcPr>
        <w:tcBorders>
          <w:top w:val="nil"/>
          <w:bottom w:val="single" w:sz="12" w:space="0" w:color="FFBE60" w:themeColor="accent3" w:themeTint="99"/>
          <w:insideH w:val="nil"/>
          <w:insideV w:val="nil"/>
        </w:tcBorders>
        <w:shd w:val="clear" w:color="auto" w:fill="FFFFFF" w:themeFill="background1"/>
      </w:tcPr>
    </w:tblStylePr>
    <w:tblStylePr w:type="lastRow">
      <w:rPr>
        <w:b/>
        <w:bCs/>
      </w:rPr>
      <w:tblPr/>
      <w:tcPr>
        <w:tcBorders>
          <w:top w:val="double" w:sz="2" w:space="0" w:color="FFBE6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9CA" w:themeFill="accent3" w:themeFillTint="33"/>
      </w:tcPr>
    </w:tblStylePr>
    <w:tblStylePr w:type="band1Horz">
      <w:tblPr/>
      <w:tcPr>
        <w:shd w:val="clear" w:color="auto" w:fill="FFE9CA" w:themeFill="accent3" w:themeFillTint="33"/>
      </w:tcPr>
    </w:tblStylePr>
  </w:style>
  <w:style w:type="paragraph" w:styleId="Revision">
    <w:name w:val="Revision"/>
    <w:hidden/>
    <w:uiPriority w:val="99"/>
    <w:semiHidden/>
    <w:rsid w:val="00106C9F"/>
    <w:pPr>
      <w:spacing w:after="0" w:line="240" w:lineRule="auto"/>
    </w:pPr>
    <w:rPr>
      <w:sz w:val="24"/>
    </w:rPr>
  </w:style>
  <w:style w:type="paragraph" w:styleId="CommentText">
    <w:name w:val="annotation text"/>
    <w:basedOn w:val="Normal"/>
    <w:link w:val="CommentTextChar"/>
    <w:uiPriority w:val="99"/>
    <w:unhideWhenUsed/>
    <w:rsid w:val="5EF294CC"/>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D1376"/>
    <w:rPr>
      <w:b/>
      <w:bCs/>
    </w:rPr>
  </w:style>
  <w:style w:type="character" w:customStyle="1" w:styleId="CommentSubjectChar">
    <w:name w:val="Comment Subject Char"/>
    <w:basedOn w:val="CommentTextChar"/>
    <w:link w:val="CommentSubject"/>
    <w:uiPriority w:val="99"/>
    <w:semiHidden/>
    <w:rsid w:val="00ED1376"/>
    <w:rPr>
      <w:b/>
      <w:bCs/>
      <w:sz w:val="20"/>
      <w:szCs w:val="20"/>
    </w:rPr>
  </w:style>
  <w:style w:type="character" w:styleId="UnresolvedMention">
    <w:name w:val="Unresolved Mention"/>
    <w:basedOn w:val="DefaultParagraphFont"/>
    <w:uiPriority w:val="99"/>
    <w:semiHidden/>
    <w:unhideWhenUsed/>
    <w:rsid w:val="00C87FD7"/>
    <w:rPr>
      <w:color w:val="605E5C"/>
      <w:shd w:val="clear" w:color="auto" w:fill="E1DFDD"/>
    </w:rPr>
  </w:style>
  <w:style w:type="paragraph" w:customStyle="1" w:styleId="Default">
    <w:name w:val="Default"/>
    <w:rsid w:val="00434F35"/>
    <w:pPr>
      <w:autoSpaceDE w:val="0"/>
      <w:autoSpaceDN w:val="0"/>
      <w:adjustRightInd w:val="0"/>
      <w:spacing w:after="0" w:line="240" w:lineRule="auto"/>
    </w:pPr>
    <w:rPr>
      <w:rFonts w:ascii="Tw Cen MT" w:hAnsi="Tw Cen MT" w:cs="Tw Cen MT"/>
      <w:color w:val="000000"/>
      <w:sz w:val="24"/>
      <w:szCs w:val="24"/>
    </w:rPr>
  </w:style>
  <w:style w:type="table" w:styleId="GridTable6Colorful">
    <w:name w:val="Grid Table 6 Colorful"/>
    <w:basedOn w:val="TableNormal"/>
    <w:uiPriority w:val="51"/>
    <w:rsid w:val="004D24A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5">
    <w:name w:val="toc 5"/>
    <w:basedOn w:val="Normal"/>
    <w:next w:val="Normal"/>
    <w:uiPriority w:val="39"/>
    <w:unhideWhenUsed/>
    <w:rsid w:val="5EF294CC"/>
    <w:pPr>
      <w:spacing w:after="100" w:line="278" w:lineRule="auto"/>
      <w:ind w:left="960"/>
      <w:jc w:val="left"/>
    </w:pPr>
  </w:style>
  <w:style w:type="paragraph" w:styleId="TOC6">
    <w:name w:val="toc 6"/>
    <w:basedOn w:val="Normal"/>
    <w:next w:val="Normal"/>
    <w:uiPriority w:val="39"/>
    <w:unhideWhenUsed/>
    <w:rsid w:val="5EF294CC"/>
    <w:pPr>
      <w:spacing w:after="100" w:line="278" w:lineRule="auto"/>
      <w:ind w:left="1200"/>
      <w:jc w:val="left"/>
    </w:pPr>
  </w:style>
  <w:style w:type="paragraph" w:styleId="TOC7">
    <w:name w:val="toc 7"/>
    <w:basedOn w:val="Normal"/>
    <w:next w:val="Normal"/>
    <w:uiPriority w:val="39"/>
    <w:unhideWhenUsed/>
    <w:rsid w:val="5EF294CC"/>
    <w:pPr>
      <w:spacing w:after="100" w:line="278" w:lineRule="auto"/>
      <w:ind w:left="1440"/>
      <w:jc w:val="left"/>
    </w:pPr>
  </w:style>
  <w:style w:type="paragraph" w:styleId="TOC8">
    <w:name w:val="toc 8"/>
    <w:basedOn w:val="Normal"/>
    <w:next w:val="Normal"/>
    <w:uiPriority w:val="39"/>
    <w:unhideWhenUsed/>
    <w:rsid w:val="5EF294CC"/>
    <w:pPr>
      <w:spacing w:after="100" w:line="278" w:lineRule="auto"/>
      <w:ind w:left="1680"/>
      <w:jc w:val="left"/>
    </w:pPr>
  </w:style>
  <w:style w:type="paragraph" w:styleId="TOC9">
    <w:name w:val="toc 9"/>
    <w:basedOn w:val="Normal"/>
    <w:next w:val="Normal"/>
    <w:uiPriority w:val="39"/>
    <w:unhideWhenUsed/>
    <w:rsid w:val="5EF294CC"/>
    <w:pPr>
      <w:spacing w:after="100" w:line="278" w:lineRule="auto"/>
      <w:ind w:left="192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09650">
      <w:bodyDiv w:val="1"/>
      <w:marLeft w:val="0"/>
      <w:marRight w:val="0"/>
      <w:marTop w:val="0"/>
      <w:marBottom w:val="0"/>
      <w:divBdr>
        <w:top w:val="none" w:sz="0" w:space="0" w:color="auto"/>
        <w:left w:val="none" w:sz="0" w:space="0" w:color="auto"/>
        <w:bottom w:val="none" w:sz="0" w:space="0" w:color="auto"/>
        <w:right w:val="none" w:sz="0" w:space="0" w:color="auto"/>
      </w:divBdr>
    </w:div>
    <w:div w:id="256987948">
      <w:bodyDiv w:val="1"/>
      <w:marLeft w:val="0"/>
      <w:marRight w:val="0"/>
      <w:marTop w:val="0"/>
      <w:marBottom w:val="0"/>
      <w:divBdr>
        <w:top w:val="none" w:sz="0" w:space="0" w:color="auto"/>
        <w:left w:val="none" w:sz="0" w:space="0" w:color="auto"/>
        <w:bottom w:val="none" w:sz="0" w:space="0" w:color="auto"/>
        <w:right w:val="none" w:sz="0" w:space="0" w:color="auto"/>
      </w:divBdr>
    </w:div>
    <w:div w:id="379550140">
      <w:bodyDiv w:val="1"/>
      <w:marLeft w:val="0"/>
      <w:marRight w:val="0"/>
      <w:marTop w:val="0"/>
      <w:marBottom w:val="0"/>
      <w:divBdr>
        <w:top w:val="none" w:sz="0" w:space="0" w:color="auto"/>
        <w:left w:val="none" w:sz="0" w:space="0" w:color="auto"/>
        <w:bottom w:val="none" w:sz="0" w:space="0" w:color="auto"/>
        <w:right w:val="none" w:sz="0" w:space="0" w:color="auto"/>
      </w:divBdr>
    </w:div>
    <w:div w:id="515273064">
      <w:bodyDiv w:val="1"/>
      <w:marLeft w:val="0"/>
      <w:marRight w:val="0"/>
      <w:marTop w:val="0"/>
      <w:marBottom w:val="0"/>
      <w:divBdr>
        <w:top w:val="none" w:sz="0" w:space="0" w:color="auto"/>
        <w:left w:val="none" w:sz="0" w:space="0" w:color="auto"/>
        <w:bottom w:val="none" w:sz="0" w:space="0" w:color="auto"/>
        <w:right w:val="none" w:sz="0" w:space="0" w:color="auto"/>
      </w:divBdr>
    </w:div>
    <w:div w:id="535586502">
      <w:bodyDiv w:val="1"/>
      <w:marLeft w:val="0"/>
      <w:marRight w:val="0"/>
      <w:marTop w:val="0"/>
      <w:marBottom w:val="0"/>
      <w:divBdr>
        <w:top w:val="none" w:sz="0" w:space="0" w:color="auto"/>
        <w:left w:val="none" w:sz="0" w:space="0" w:color="auto"/>
        <w:bottom w:val="none" w:sz="0" w:space="0" w:color="auto"/>
        <w:right w:val="none" w:sz="0" w:space="0" w:color="auto"/>
      </w:divBdr>
    </w:div>
    <w:div w:id="955909575">
      <w:bodyDiv w:val="1"/>
      <w:marLeft w:val="0"/>
      <w:marRight w:val="0"/>
      <w:marTop w:val="0"/>
      <w:marBottom w:val="0"/>
      <w:divBdr>
        <w:top w:val="none" w:sz="0" w:space="0" w:color="auto"/>
        <w:left w:val="none" w:sz="0" w:space="0" w:color="auto"/>
        <w:bottom w:val="none" w:sz="0" w:space="0" w:color="auto"/>
        <w:right w:val="none" w:sz="0" w:space="0" w:color="auto"/>
      </w:divBdr>
    </w:div>
    <w:div w:id="965089615">
      <w:bodyDiv w:val="1"/>
      <w:marLeft w:val="0"/>
      <w:marRight w:val="0"/>
      <w:marTop w:val="0"/>
      <w:marBottom w:val="0"/>
      <w:divBdr>
        <w:top w:val="none" w:sz="0" w:space="0" w:color="auto"/>
        <w:left w:val="none" w:sz="0" w:space="0" w:color="auto"/>
        <w:bottom w:val="none" w:sz="0" w:space="0" w:color="auto"/>
        <w:right w:val="none" w:sz="0" w:space="0" w:color="auto"/>
      </w:divBdr>
    </w:div>
    <w:div w:id="1090080095">
      <w:bodyDiv w:val="1"/>
      <w:marLeft w:val="0"/>
      <w:marRight w:val="0"/>
      <w:marTop w:val="0"/>
      <w:marBottom w:val="0"/>
      <w:divBdr>
        <w:top w:val="none" w:sz="0" w:space="0" w:color="auto"/>
        <w:left w:val="none" w:sz="0" w:space="0" w:color="auto"/>
        <w:bottom w:val="none" w:sz="0" w:space="0" w:color="auto"/>
        <w:right w:val="none" w:sz="0" w:space="0" w:color="auto"/>
      </w:divBdr>
    </w:div>
    <w:div w:id="1193806852">
      <w:bodyDiv w:val="1"/>
      <w:marLeft w:val="0"/>
      <w:marRight w:val="0"/>
      <w:marTop w:val="0"/>
      <w:marBottom w:val="0"/>
      <w:divBdr>
        <w:top w:val="none" w:sz="0" w:space="0" w:color="auto"/>
        <w:left w:val="none" w:sz="0" w:space="0" w:color="auto"/>
        <w:bottom w:val="none" w:sz="0" w:space="0" w:color="auto"/>
        <w:right w:val="none" w:sz="0" w:space="0" w:color="auto"/>
      </w:divBdr>
    </w:div>
    <w:div w:id="1266772889">
      <w:bodyDiv w:val="1"/>
      <w:marLeft w:val="0"/>
      <w:marRight w:val="0"/>
      <w:marTop w:val="0"/>
      <w:marBottom w:val="0"/>
      <w:divBdr>
        <w:top w:val="none" w:sz="0" w:space="0" w:color="auto"/>
        <w:left w:val="none" w:sz="0" w:space="0" w:color="auto"/>
        <w:bottom w:val="none" w:sz="0" w:space="0" w:color="auto"/>
        <w:right w:val="none" w:sz="0" w:space="0" w:color="auto"/>
      </w:divBdr>
    </w:div>
    <w:div w:id="1498884279">
      <w:bodyDiv w:val="1"/>
      <w:marLeft w:val="0"/>
      <w:marRight w:val="0"/>
      <w:marTop w:val="0"/>
      <w:marBottom w:val="0"/>
      <w:divBdr>
        <w:top w:val="none" w:sz="0" w:space="0" w:color="auto"/>
        <w:left w:val="none" w:sz="0" w:space="0" w:color="auto"/>
        <w:bottom w:val="none" w:sz="0" w:space="0" w:color="auto"/>
        <w:right w:val="none" w:sz="0" w:space="0" w:color="auto"/>
      </w:divBdr>
    </w:div>
    <w:div w:id="1674600702">
      <w:bodyDiv w:val="1"/>
      <w:marLeft w:val="0"/>
      <w:marRight w:val="0"/>
      <w:marTop w:val="0"/>
      <w:marBottom w:val="0"/>
      <w:divBdr>
        <w:top w:val="none" w:sz="0" w:space="0" w:color="auto"/>
        <w:left w:val="none" w:sz="0" w:space="0" w:color="auto"/>
        <w:bottom w:val="none" w:sz="0" w:space="0" w:color="auto"/>
        <w:right w:val="none" w:sz="0" w:space="0" w:color="auto"/>
      </w:divBdr>
    </w:div>
    <w:div w:id="1723164882">
      <w:bodyDiv w:val="1"/>
      <w:marLeft w:val="0"/>
      <w:marRight w:val="0"/>
      <w:marTop w:val="0"/>
      <w:marBottom w:val="0"/>
      <w:divBdr>
        <w:top w:val="none" w:sz="0" w:space="0" w:color="auto"/>
        <w:left w:val="none" w:sz="0" w:space="0" w:color="auto"/>
        <w:bottom w:val="none" w:sz="0" w:space="0" w:color="auto"/>
        <w:right w:val="none" w:sz="0" w:space="0" w:color="auto"/>
      </w:divBdr>
    </w:div>
    <w:div w:id="1863586098">
      <w:bodyDiv w:val="1"/>
      <w:marLeft w:val="0"/>
      <w:marRight w:val="0"/>
      <w:marTop w:val="0"/>
      <w:marBottom w:val="0"/>
      <w:divBdr>
        <w:top w:val="none" w:sz="0" w:space="0" w:color="auto"/>
        <w:left w:val="none" w:sz="0" w:space="0" w:color="auto"/>
        <w:bottom w:val="none" w:sz="0" w:space="0" w:color="auto"/>
        <w:right w:val="none" w:sz="0" w:space="0" w:color="auto"/>
      </w:divBdr>
    </w:div>
    <w:div w:id="1955479927">
      <w:bodyDiv w:val="1"/>
      <w:marLeft w:val="0"/>
      <w:marRight w:val="0"/>
      <w:marTop w:val="0"/>
      <w:marBottom w:val="0"/>
      <w:divBdr>
        <w:top w:val="none" w:sz="0" w:space="0" w:color="auto"/>
        <w:left w:val="none" w:sz="0" w:space="0" w:color="auto"/>
        <w:bottom w:val="none" w:sz="0" w:space="0" w:color="auto"/>
        <w:right w:val="none" w:sz="0" w:space="0" w:color="auto"/>
      </w:divBdr>
    </w:div>
    <w:div w:id="2100251134">
      <w:bodyDiv w:val="1"/>
      <w:marLeft w:val="0"/>
      <w:marRight w:val="0"/>
      <w:marTop w:val="0"/>
      <w:marBottom w:val="0"/>
      <w:divBdr>
        <w:top w:val="none" w:sz="0" w:space="0" w:color="auto"/>
        <w:left w:val="none" w:sz="0" w:space="0" w:color="auto"/>
        <w:bottom w:val="none" w:sz="0" w:space="0" w:color="auto"/>
        <w:right w:val="none" w:sz="0" w:space="0" w:color="auto"/>
      </w:divBdr>
    </w:div>
    <w:div w:id="2131390600">
      <w:bodyDiv w:val="1"/>
      <w:marLeft w:val="0"/>
      <w:marRight w:val="0"/>
      <w:marTop w:val="0"/>
      <w:marBottom w:val="0"/>
      <w:divBdr>
        <w:top w:val="none" w:sz="0" w:space="0" w:color="auto"/>
        <w:left w:val="none" w:sz="0" w:space="0" w:color="auto"/>
        <w:bottom w:val="none" w:sz="0" w:space="0" w:color="auto"/>
        <w:right w:val="none" w:sz="0" w:space="0" w:color="auto"/>
      </w:divBdr>
      <w:divsChild>
        <w:div w:id="258684189">
          <w:marLeft w:val="0"/>
          <w:marRight w:val="0"/>
          <w:marTop w:val="0"/>
          <w:marBottom w:val="0"/>
          <w:divBdr>
            <w:top w:val="none" w:sz="0" w:space="0" w:color="auto"/>
            <w:left w:val="none" w:sz="0" w:space="0" w:color="auto"/>
            <w:bottom w:val="none" w:sz="0" w:space="0" w:color="auto"/>
            <w:right w:val="none" w:sz="0" w:space="0" w:color="auto"/>
          </w:divBdr>
        </w:div>
        <w:div w:id="622226906">
          <w:marLeft w:val="0"/>
          <w:marRight w:val="0"/>
          <w:marTop w:val="0"/>
          <w:marBottom w:val="0"/>
          <w:divBdr>
            <w:top w:val="none" w:sz="0" w:space="0" w:color="auto"/>
            <w:left w:val="none" w:sz="0" w:space="0" w:color="auto"/>
            <w:bottom w:val="none" w:sz="0" w:space="0" w:color="auto"/>
            <w:right w:val="none" w:sz="0" w:space="0" w:color="auto"/>
          </w:divBdr>
        </w:div>
        <w:div w:id="6779269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klahoma.gov/education/services/special-education.html" TargetMode="External"/><Relationship Id="rId18" Type="http://schemas.microsoft.com/office/2011/relationships/commentsExtended" Target="commentsExtended.xml"/><Relationship Id="rId26" Type="http://schemas.openxmlformats.org/officeDocument/2006/relationships/hyperlink" Target="https://oklahoma.gov/education/services/special-education/compliance/differentiated-monitoring-results-significant-disproportionality.html" TargetMode="External"/><Relationship Id="rId39" Type="http://schemas.openxmlformats.org/officeDocument/2006/relationships/theme" Target="theme/theme1.xml"/><Relationship Id="rId21" Type="http://schemas.openxmlformats.org/officeDocument/2006/relationships/hyperlink" Target="https://oklahoma.gov/content/dam/ok/en/osde/documents/services/special-education/2024-Finance-Funding-Manual.pdf"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omments" Target="comments.xml"/><Relationship Id="rId25" Type="http://schemas.openxmlformats.org/officeDocument/2006/relationships/image" Target="media/image3.png"/><Relationship Id="rId33" Type="http://schemas.openxmlformats.org/officeDocument/2006/relationships/header" Target="header3.xm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oklahoma.gov/education/services/special-education.html" TargetMode="External"/><Relationship Id="rId20" Type="http://schemas.microsoft.com/office/2018/08/relationships/commentsExtensible" Target="commentsExtensible.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oklahoma.gov/content/dam/ok/en/osde/documents/services/special-education/015965bc-2af8-499a-a04c-71f651bb2fc5.jpg" TargetMode="External"/><Relationship Id="rId32" Type="http://schemas.openxmlformats.org/officeDocument/2006/relationships/footer" Target="footer2.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oklahoma.gov/education/services/special-education/data.html" TargetMode="External"/><Relationship Id="rId23" Type="http://schemas.openxmlformats.org/officeDocument/2006/relationships/hyperlink" Target="https://oklahoma.gov/content/dam/ok/en/osde/documents/services/special-education/manuals-and-handbooks/Data-Manual-GSS-2024.pdf" TargetMode="External"/><Relationship Id="rId28" Type="http://schemas.openxmlformats.org/officeDocument/2006/relationships/hyperlink" Target="https://oklahoma.gov/education/services/special-education/data.html" TargetMode="External"/><Relationship Id="rId36" Type="http://schemas.openxmlformats.org/officeDocument/2006/relationships/footer" Target="footer4.xml"/><Relationship Id="rId10" Type="http://schemas.openxmlformats.org/officeDocument/2006/relationships/endnotes" Target="endnotes.xml"/><Relationship Id="rId19" Type="http://schemas.microsoft.com/office/2016/09/relationships/commentsIds" Target="commentsIds.xm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de.ok.gov/documents/2012-10-01/special-education-data-and-reporting-part-b-children-ages-3-through-21" TargetMode="External"/><Relationship Id="rId22" Type="http://schemas.openxmlformats.org/officeDocument/2006/relationships/hyperlink" Target="https://oklahoma.gov/education/services/special-education/data.html" TargetMode="External"/><Relationship Id="rId27" Type="http://schemas.openxmlformats.org/officeDocument/2006/relationships/hyperlink" Target="https://view.officeapps.live.com/op/view.aspx?src=https%3A%2F%2Foklahoma.gov%2Fcontent%2Fdam%2Fok%2Fen%2Fosde%2Fdocuments%2Fservices%2Fspecial-education%2Fprofessional-development%2FFY25-Project-613-List.xlsx&amp;wdOrigin=BROWSELINK" TargetMode="External"/><Relationship Id="rId30" Type="http://schemas.openxmlformats.org/officeDocument/2006/relationships/footer" Target="footer1.xml"/><Relationship Id="rId35" Type="http://schemas.openxmlformats.org/officeDocument/2006/relationships/header" Target="header4.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Tw Cen MT">
      <a:majorFont>
        <a:latin typeface="Tw Cen MT" panose="020B0602020104020603"/>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BE25389710FE4FBCD578BAD5C17D5C" ma:contentTypeVersion="18" ma:contentTypeDescription="Create a new document." ma:contentTypeScope="" ma:versionID="74fc58a47d0d8f1fc4f8139225522a01">
  <xsd:schema xmlns:xsd="http://www.w3.org/2001/XMLSchema" xmlns:xs="http://www.w3.org/2001/XMLSchema" xmlns:p="http://schemas.microsoft.com/office/2006/metadata/properties" xmlns:ns1="http://schemas.microsoft.com/sharepoint/v3" xmlns:ns3="11be6873-b11b-4681-8df7-03100aa59dcb" xmlns:ns4="7cc876c3-1f77-40bc-8f1f-745f4d6cf5d8" targetNamespace="http://schemas.microsoft.com/office/2006/metadata/properties" ma:root="true" ma:fieldsID="0255a3c25f3a1aed7e60dc96ac84e20c" ns1:_="" ns3:_="" ns4:_="">
    <xsd:import namespace="http://schemas.microsoft.com/sharepoint/v3"/>
    <xsd:import namespace="11be6873-b11b-4681-8df7-03100aa59dcb"/>
    <xsd:import namespace="7cc876c3-1f77-40bc-8f1f-745f4d6cf5d8"/>
    <xsd:element name="properties">
      <xsd:complexType>
        <xsd:sequence>
          <xsd:element name="documentManagement">
            <xsd:complexType>
              <xsd:all>
                <xsd:element ref="ns3:SharedWithUsers" minOccurs="0"/>
                <xsd:element ref="ns3:SharedWithDetails" minOccurs="0"/>
                <xsd:element ref="ns3:SharingHintHash" minOccurs="0"/>
                <xsd:element ref="ns1:_ip_UnifiedCompliancePolicyProperties" minOccurs="0"/>
                <xsd:element ref="ns1:_ip_UnifiedCompliancePolicyUIAction"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description="" ma:hidden="true" ma:internalName="_ip_UnifiedCompliancePolicyProperties">
      <xsd:simpleType>
        <xsd:restriction base="dms:Note"/>
      </xsd:simpleType>
    </xsd:element>
    <xsd:element name="_ip_UnifiedCompliancePolicyUIAction" ma:index="12"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be6873-b11b-4681-8df7-03100aa59dc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c876c3-1f77-40bc-8f1f-745f4d6cf5d8"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7cc876c3-1f77-40bc-8f1f-745f4d6cf5d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B73659-1F0D-492A-A69A-1190205292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be6873-b11b-4681-8df7-03100aa59dcb"/>
    <ds:schemaRef ds:uri="7cc876c3-1f77-40bc-8f1f-745f4d6cf5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E66830-723B-40F0-8F78-A3ECEEBCB2F2}">
  <ds:schemaRefs>
    <ds:schemaRef ds:uri="http://schemas.openxmlformats.org/officeDocument/2006/bibliography"/>
  </ds:schemaRefs>
</ds:datastoreItem>
</file>

<file path=customXml/itemProps3.xml><?xml version="1.0" encoding="utf-8"?>
<ds:datastoreItem xmlns:ds="http://schemas.openxmlformats.org/officeDocument/2006/customXml" ds:itemID="{B8ED8E0A-DFD5-4646-8088-12869590ED19}">
  <ds:schemaRefs>
    <ds:schemaRef ds:uri="http://schemas.microsoft.com/office/2006/metadata/properties"/>
    <ds:schemaRef ds:uri="http://schemas.microsoft.com/office/infopath/2007/PartnerControls"/>
    <ds:schemaRef ds:uri="http://schemas.microsoft.com/sharepoint/v3"/>
    <ds:schemaRef ds:uri="7cc876c3-1f77-40bc-8f1f-745f4d6cf5d8"/>
  </ds:schemaRefs>
</ds:datastoreItem>
</file>

<file path=customXml/itemProps4.xml><?xml version="1.0" encoding="utf-8"?>
<ds:datastoreItem xmlns:ds="http://schemas.openxmlformats.org/officeDocument/2006/customXml" ds:itemID="{C145D5BF-D727-4F21-843A-1B606C7883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36</Pages>
  <Words>14189</Words>
  <Characters>80878</Characters>
  <Application>Microsoft Office Word</Application>
  <DocSecurity>8</DocSecurity>
  <Lines>673</Lines>
  <Paragraphs>189</Paragraphs>
  <ScaleCrop>false</ScaleCrop>
  <HeadingPairs>
    <vt:vector size="2" baseType="variant">
      <vt:variant>
        <vt:lpstr>Title</vt:lpstr>
      </vt:variant>
      <vt:variant>
        <vt:i4>1</vt:i4>
      </vt:variant>
    </vt:vector>
  </HeadingPairs>
  <TitlesOfParts>
    <vt:vector size="1" baseType="lpstr">
      <vt:lpstr>General Supervision System</vt:lpstr>
    </vt:vector>
  </TitlesOfParts>
  <Company>Oklahoma state department of education</Company>
  <LinksUpToDate>false</LinksUpToDate>
  <CharactersWithSpaces>94878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Supervision System</dc:title>
  <dc:subject>Monitoring and Results-based accountability</dc:subject>
  <dc:creator>Special Education Services</dc:creator>
  <cp:keywords/>
  <dc:description/>
  <cp:lastModifiedBy>Megan Salisbury</cp:lastModifiedBy>
  <cp:revision>10</cp:revision>
  <cp:lastPrinted>2026-05-29T20:10:00Z</cp:lastPrinted>
  <dcterms:created xsi:type="dcterms:W3CDTF">2026-10-26T11:32:00Z</dcterms:created>
  <dcterms:modified xsi:type="dcterms:W3CDTF">2026-10-26T15:26:00Z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0x010100F3BE25389710FE4FBCD578BAD5C17D5C</vt:lpwstr>
  </property>
  <property fmtid="{D5CDD505-2E9C-101B-9397-08002B2CF9AE}" pid="3" name="GrammarlyDocumentId">
    <vt:lpwstr>0d9231f3cb436b8a7cf4131b655684e60640669346d49515e780a2fa567879ce</vt:lpwstr>
  </property>
  <property fmtid="{D5CDD505-2E9C-101B-9397-08002B2CF9AE}" pid="4" name="MediaServiceImageTags">
    <vt:lpwstr/>
  </property>
</Properties>
</file>