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65FF9" w14:textId="5176A761" w:rsidR="00E649F1" w:rsidRPr="00E45825" w:rsidRDefault="00511CC5" w:rsidP="00E45825">
      <w:pPr>
        <w:spacing w:after="0" w:line="240" w:lineRule="auto"/>
        <w:ind w:hanging="720"/>
        <w:jc w:val="center"/>
        <w:rPr>
          <w:rFonts w:ascii="Arial Black" w:hAnsi="Arial Black" w:cs="Times New Roman"/>
          <w:b/>
          <w:bCs/>
          <w:color w:val="0066A6"/>
          <w:sz w:val="36"/>
          <w:szCs w:val="32"/>
        </w:rPr>
      </w:pPr>
      <w:r w:rsidRPr="00E45825">
        <w:rPr>
          <w:rFonts w:ascii="Arial Black" w:hAnsi="Arial Black" w:cs="Times New Roman"/>
          <w:b/>
          <w:bCs/>
          <w:noProof/>
          <w:sz w:val="36"/>
          <w:szCs w:val="32"/>
        </w:rPr>
        <w:drawing>
          <wp:anchor distT="0" distB="0" distL="114300" distR="114300" simplePos="0" relativeHeight="251659264" behindDoc="1" locked="0" layoutInCell="1" allowOverlap="1" wp14:anchorId="5EAA05ED" wp14:editId="480E623D">
            <wp:simplePos x="0" y="0"/>
            <wp:positionH relativeFrom="margin">
              <wp:posOffset>-990600</wp:posOffset>
            </wp:positionH>
            <wp:positionV relativeFrom="paragraph">
              <wp:posOffset>-457200</wp:posOffset>
            </wp:positionV>
            <wp:extent cx="7813288" cy="31006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7813288" cy="310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5825">
        <w:rPr>
          <w:rFonts w:ascii="Arial Black" w:hAnsi="Arial Black" w:cs="Times New Roman"/>
          <w:b/>
          <w:bCs/>
          <w:color w:val="0066A6"/>
          <w:sz w:val="36"/>
          <w:szCs w:val="32"/>
        </w:rPr>
        <w:t>Risk Assessment Monitoring Matrix</w:t>
      </w:r>
    </w:p>
    <w:p w14:paraId="50001B91" w14:textId="687DB2D1" w:rsidR="00E45825" w:rsidRPr="00E45825" w:rsidRDefault="00E45825" w:rsidP="00E45825">
      <w:pPr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4"/>
        </w:rPr>
      </w:pPr>
      <w:r w:rsidRPr="00E45825">
        <w:rPr>
          <w:rFonts w:ascii="Arial Black" w:hAnsi="Arial Black" w:cs="Times New Roman"/>
          <w:b/>
          <w:bCs/>
          <w:color w:val="0066A6"/>
          <w:sz w:val="36"/>
          <w:szCs w:val="32"/>
        </w:rPr>
        <w:t>CARES Incentive Grant Project 789</w:t>
      </w:r>
    </w:p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431"/>
        <w:gridCol w:w="1277"/>
        <w:gridCol w:w="2628"/>
        <w:gridCol w:w="677"/>
        <w:gridCol w:w="1146"/>
        <w:gridCol w:w="681"/>
        <w:gridCol w:w="3870"/>
      </w:tblGrid>
      <w:tr w:rsidR="00C64546" w14:paraId="579E94A0" w14:textId="77777777" w:rsidTr="00511CC5">
        <w:tc>
          <w:tcPr>
            <w:tcW w:w="6834" w:type="dxa"/>
            <w:gridSpan w:val="6"/>
            <w:shd w:val="clear" w:color="auto" w:fill="0066A6"/>
          </w:tcPr>
          <w:p w14:paraId="594CD6F4" w14:textId="77777777" w:rsidR="00C64546" w:rsidRPr="00511CC5" w:rsidRDefault="00C64546" w:rsidP="00511CC5">
            <w:pPr>
              <w:rPr>
                <w:rStyle w:val="Strong"/>
                <w:color w:val="FFFFFF" w:themeColor="background1"/>
              </w:rPr>
            </w:pPr>
            <w:r w:rsidRPr="00511CC5">
              <w:rPr>
                <w:rStyle w:val="Strong"/>
                <w:color w:val="FFFFFF" w:themeColor="background1"/>
              </w:rPr>
              <w:t xml:space="preserve">                                                            Risk Level</w:t>
            </w:r>
          </w:p>
        </w:tc>
        <w:tc>
          <w:tcPr>
            <w:tcW w:w="3876" w:type="dxa"/>
            <w:shd w:val="clear" w:color="auto" w:fill="0066A6"/>
          </w:tcPr>
          <w:p w14:paraId="73DF4673" w14:textId="77777777" w:rsidR="00C64546" w:rsidRPr="00511CC5" w:rsidRDefault="00C64546" w:rsidP="00511CC5">
            <w:pPr>
              <w:rPr>
                <w:rStyle w:val="Strong"/>
                <w:color w:val="FFFFFF" w:themeColor="background1"/>
              </w:rPr>
            </w:pPr>
            <w:r w:rsidRPr="00511CC5">
              <w:rPr>
                <w:rStyle w:val="Strong"/>
                <w:color w:val="FFFFFF" w:themeColor="background1"/>
              </w:rPr>
              <w:t>Comments/Instructions</w:t>
            </w:r>
          </w:p>
        </w:tc>
      </w:tr>
      <w:tr w:rsidR="00C64546" w14:paraId="091FCBF6" w14:textId="77777777" w:rsidTr="009B25A1">
        <w:tc>
          <w:tcPr>
            <w:tcW w:w="4343" w:type="dxa"/>
            <w:gridSpan w:val="3"/>
          </w:tcPr>
          <w:p w14:paraId="79B898DC" w14:textId="77777777" w:rsidR="00C64546" w:rsidRPr="00C64546" w:rsidRDefault="00C64546" w:rsidP="00511CC5">
            <w:r w:rsidRPr="00C64546">
              <w:t>Criteria</w:t>
            </w:r>
          </w:p>
        </w:tc>
        <w:tc>
          <w:tcPr>
            <w:tcW w:w="677" w:type="dxa"/>
          </w:tcPr>
          <w:p w14:paraId="39CD2EDA" w14:textId="77777777" w:rsidR="00C64546" w:rsidRPr="00C64546" w:rsidRDefault="00C64546" w:rsidP="00511CC5">
            <w:r w:rsidRPr="00C64546">
              <w:t>Low</w:t>
            </w:r>
          </w:p>
        </w:tc>
        <w:tc>
          <w:tcPr>
            <w:tcW w:w="1133" w:type="dxa"/>
          </w:tcPr>
          <w:p w14:paraId="0F8B2FA6" w14:textId="77777777" w:rsidR="00C64546" w:rsidRPr="00C64546" w:rsidRDefault="00C64546" w:rsidP="00511CC5">
            <w:r w:rsidRPr="00C64546">
              <w:t>Moderate</w:t>
            </w:r>
          </w:p>
        </w:tc>
        <w:tc>
          <w:tcPr>
            <w:tcW w:w="681" w:type="dxa"/>
          </w:tcPr>
          <w:p w14:paraId="69AFAD99" w14:textId="77777777" w:rsidR="00C64546" w:rsidRPr="00C64546" w:rsidRDefault="00C64546" w:rsidP="00511CC5">
            <w:r w:rsidRPr="00C64546">
              <w:t>High</w:t>
            </w:r>
          </w:p>
        </w:tc>
        <w:tc>
          <w:tcPr>
            <w:tcW w:w="3876" w:type="dxa"/>
          </w:tcPr>
          <w:p w14:paraId="13A3AC90" w14:textId="77777777" w:rsidR="00C64546" w:rsidRDefault="00C64546" w:rsidP="00511CC5"/>
        </w:tc>
      </w:tr>
      <w:tr w:rsidR="00C64546" w14:paraId="6D027E8E" w14:textId="77777777" w:rsidTr="00511CC5">
        <w:tc>
          <w:tcPr>
            <w:tcW w:w="10710" w:type="dxa"/>
            <w:gridSpan w:val="7"/>
            <w:shd w:val="clear" w:color="auto" w:fill="0066A6"/>
          </w:tcPr>
          <w:p w14:paraId="23E03FF6" w14:textId="77777777" w:rsidR="00C64546" w:rsidRPr="00511CC5" w:rsidRDefault="00C64546" w:rsidP="00511CC5">
            <w:pPr>
              <w:rPr>
                <w:rStyle w:val="Strong"/>
                <w:color w:val="FFFFFF" w:themeColor="background1"/>
              </w:rPr>
            </w:pPr>
            <w:r w:rsidRPr="00511CC5">
              <w:rPr>
                <w:rStyle w:val="Strong"/>
                <w:color w:val="FFFFFF" w:themeColor="background1"/>
              </w:rPr>
              <w:t>Pre-Award Risk Assessment</w:t>
            </w:r>
          </w:p>
        </w:tc>
      </w:tr>
      <w:tr w:rsidR="00275254" w14:paraId="650F81B2" w14:textId="77777777" w:rsidTr="009E3328">
        <w:tc>
          <w:tcPr>
            <w:tcW w:w="432" w:type="dxa"/>
          </w:tcPr>
          <w:p w14:paraId="13BE04A6" w14:textId="77777777" w:rsidR="00275254" w:rsidRPr="00511CC5" w:rsidRDefault="00275254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1</w:t>
            </w:r>
          </w:p>
        </w:tc>
        <w:tc>
          <w:tcPr>
            <w:tcW w:w="6402" w:type="dxa"/>
            <w:gridSpan w:val="5"/>
          </w:tcPr>
          <w:p w14:paraId="7BC51FE7" w14:textId="77777777" w:rsidR="00275254" w:rsidRPr="00511CC5" w:rsidRDefault="00275254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 xml:space="preserve">Rating Assigned Prior </w:t>
            </w:r>
            <w:r w:rsidR="00260EFF" w:rsidRPr="00511CC5">
              <w:rPr>
                <w:rStyle w:val="Strong"/>
              </w:rPr>
              <w:t>t</w:t>
            </w:r>
            <w:r w:rsidRPr="00511CC5">
              <w:rPr>
                <w:rStyle w:val="Strong"/>
              </w:rPr>
              <w:t>o Award</w:t>
            </w:r>
          </w:p>
        </w:tc>
        <w:tc>
          <w:tcPr>
            <w:tcW w:w="3876" w:type="dxa"/>
            <w:vMerge w:val="restart"/>
          </w:tcPr>
          <w:p w14:paraId="5465EBAF" w14:textId="77777777" w:rsidR="00275254" w:rsidRPr="00131727" w:rsidRDefault="00275254" w:rsidP="00511CC5">
            <w:pPr>
              <w:rPr>
                <w:i/>
              </w:rPr>
            </w:pPr>
            <w:r w:rsidRPr="00131727">
              <w:rPr>
                <w:i/>
              </w:rPr>
              <w:t>Enter the risk level assessed in the pre-award risk assessment. Monitoring during the award should be conducted at this level until such time as the granting agency feels it may be modified.</w:t>
            </w:r>
          </w:p>
        </w:tc>
      </w:tr>
      <w:tr w:rsidR="00275254" w14:paraId="68011269" w14:textId="77777777" w:rsidTr="009B25A1">
        <w:tc>
          <w:tcPr>
            <w:tcW w:w="432" w:type="dxa"/>
          </w:tcPr>
          <w:p w14:paraId="1EEF83CD" w14:textId="77777777" w:rsidR="00275254" w:rsidRDefault="00275254" w:rsidP="00511CC5"/>
        </w:tc>
        <w:tc>
          <w:tcPr>
            <w:tcW w:w="3911" w:type="dxa"/>
            <w:gridSpan w:val="2"/>
          </w:tcPr>
          <w:p w14:paraId="65A005CB" w14:textId="77777777" w:rsidR="00275254" w:rsidRPr="00C64546" w:rsidRDefault="00275254" w:rsidP="00511CC5"/>
        </w:tc>
        <w:tc>
          <w:tcPr>
            <w:tcW w:w="677" w:type="dxa"/>
          </w:tcPr>
          <w:p w14:paraId="470B3109" w14:textId="77777777" w:rsidR="00275254" w:rsidRDefault="00275254" w:rsidP="00511CC5"/>
        </w:tc>
        <w:tc>
          <w:tcPr>
            <w:tcW w:w="1133" w:type="dxa"/>
          </w:tcPr>
          <w:p w14:paraId="1364FC84" w14:textId="77777777" w:rsidR="00275254" w:rsidRDefault="00275254" w:rsidP="00511CC5"/>
        </w:tc>
        <w:tc>
          <w:tcPr>
            <w:tcW w:w="681" w:type="dxa"/>
          </w:tcPr>
          <w:p w14:paraId="24380A0E" w14:textId="77777777" w:rsidR="00275254" w:rsidRDefault="00275254" w:rsidP="00511CC5"/>
        </w:tc>
        <w:tc>
          <w:tcPr>
            <w:tcW w:w="3876" w:type="dxa"/>
            <w:vMerge/>
          </w:tcPr>
          <w:p w14:paraId="14E6741C" w14:textId="77777777" w:rsidR="00275254" w:rsidRPr="00131727" w:rsidRDefault="00275254" w:rsidP="00511CC5">
            <w:pPr>
              <w:rPr>
                <w:i/>
              </w:rPr>
            </w:pPr>
          </w:p>
        </w:tc>
      </w:tr>
      <w:tr w:rsidR="00C64546" w14:paraId="19CD136C" w14:textId="77777777" w:rsidTr="00511CC5">
        <w:tc>
          <w:tcPr>
            <w:tcW w:w="10710" w:type="dxa"/>
            <w:gridSpan w:val="7"/>
            <w:shd w:val="clear" w:color="auto" w:fill="0066A6"/>
          </w:tcPr>
          <w:p w14:paraId="0C2C47D9" w14:textId="77777777" w:rsidR="00C64546" w:rsidRPr="00511CC5" w:rsidRDefault="00FD704F" w:rsidP="00511CC5">
            <w:pPr>
              <w:rPr>
                <w:rStyle w:val="Strong"/>
                <w:color w:val="FFFFFF" w:themeColor="background1"/>
              </w:rPr>
            </w:pPr>
            <w:r w:rsidRPr="00511CC5">
              <w:rPr>
                <w:rStyle w:val="Strong"/>
                <w:color w:val="FFFFFF" w:themeColor="background1"/>
              </w:rPr>
              <w:t xml:space="preserve">February 2021 Mid-Year </w:t>
            </w:r>
            <w:r w:rsidR="00C64546" w:rsidRPr="00511CC5">
              <w:rPr>
                <w:rStyle w:val="Strong"/>
                <w:color w:val="FFFFFF" w:themeColor="background1"/>
              </w:rPr>
              <w:t>Performance</w:t>
            </w:r>
          </w:p>
        </w:tc>
      </w:tr>
      <w:tr w:rsidR="00275254" w14:paraId="6B2A3A06" w14:textId="77777777" w:rsidTr="00FD704F">
        <w:tc>
          <w:tcPr>
            <w:tcW w:w="432" w:type="dxa"/>
          </w:tcPr>
          <w:p w14:paraId="6B6EC390" w14:textId="77777777" w:rsidR="00275254" w:rsidRPr="00511CC5" w:rsidRDefault="00275254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2</w:t>
            </w:r>
          </w:p>
        </w:tc>
        <w:tc>
          <w:tcPr>
            <w:tcW w:w="6402" w:type="dxa"/>
            <w:gridSpan w:val="5"/>
            <w:shd w:val="clear" w:color="auto" w:fill="F2F2F2" w:themeFill="background1" w:themeFillShade="F2"/>
          </w:tcPr>
          <w:p w14:paraId="13516766" w14:textId="77777777" w:rsidR="00275254" w:rsidRPr="00511CC5" w:rsidRDefault="00275254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Progress Reports are filed:</w:t>
            </w:r>
          </w:p>
        </w:tc>
        <w:tc>
          <w:tcPr>
            <w:tcW w:w="3876" w:type="dxa"/>
            <w:vMerge w:val="restart"/>
          </w:tcPr>
          <w:p w14:paraId="34F85FBD" w14:textId="77777777" w:rsidR="00275254" w:rsidRDefault="00275254" w:rsidP="00511CC5"/>
          <w:p w14:paraId="377DAB87" w14:textId="77777777" w:rsidR="00275254" w:rsidRPr="00131727" w:rsidRDefault="00275254" w:rsidP="00511CC5">
            <w:pPr>
              <w:rPr>
                <w:i/>
              </w:rPr>
            </w:pPr>
            <w:r w:rsidRPr="00131727">
              <w:rPr>
                <w:i/>
              </w:rPr>
              <w:t xml:space="preserve">Assess the sub-grantee's compliance with timely progress reporting.  </w:t>
            </w:r>
          </w:p>
        </w:tc>
      </w:tr>
      <w:tr w:rsidR="00131727" w14:paraId="24AFB0FB" w14:textId="77777777" w:rsidTr="00131727">
        <w:tc>
          <w:tcPr>
            <w:tcW w:w="432" w:type="dxa"/>
          </w:tcPr>
          <w:p w14:paraId="4E00EC2B" w14:textId="77777777" w:rsidR="00131727" w:rsidRDefault="00131727" w:rsidP="00511CC5"/>
        </w:tc>
        <w:tc>
          <w:tcPr>
            <w:tcW w:w="1278" w:type="dxa"/>
          </w:tcPr>
          <w:p w14:paraId="14710E5B" w14:textId="77777777" w:rsidR="00131727" w:rsidRDefault="00131727" w:rsidP="00511CC5">
            <w:r>
              <w:t>Low =</w:t>
            </w:r>
          </w:p>
        </w:tc>
        <w:tc>
          <w:tcPr>
            <w:tcW w:w="2633" w:type="dxa"/>
          </w:tcPr>
          <w:p w14:paraId="50407FA4" w14:textId="77777777" w:rsidR="00131727" w:rsidRDefault="00260EFF" w:rsidP="00511CC5">
            <w:r>
              <w:t>On Time</w:t>
            </w:r>
          </w:p>
        </w:tc>
        <w:tc>
          <w:tcPr>
            <w:tcW w:w="677" w:type="dxa"/>
            <w:vMerge w:val="restart"/>
          </w:tcPr>
          <w:p w14:paraId="556D9476" w14:textId="77777777" w:rsidR="00131727" w:rsidRDefault="00131727" w:rsidP="00511CC5"/>
        </w:tc>
        <w:tc>
          <w:tcPr>
            <w:tcW w:w="1133" w:type="dxa"/>
            <w:vMerge w:val="restart"/>
          </w:tcPr>
          <w:p w14:paraId="67E5638F" w14:textId="77777777" w:rsidR="00131727" w:rsidRDefault="00131727" w:rsidP="00511CC5"/>
        </w:tc>
        <w:tc>
          <w:tcPr>
            <w:tcW w:w="681" w:type="dxa"/>
            <w:vMerge w:val="restart"/>
          </w:tcPr>
          <w:p w14:paraId="662945FB" w14:textId="77777777" w:rsidR="00131727" w:rsidRDefault="00131727" w:rsidP="00511CC5"/>
        </w:tc>
        <w:tc>
          <w:tcPr>
            <w:tcW w:w="3876" w:type="dxa"/>
            <w:vMerge/>
          </w:tcPr>
          <w:p w14:paraId="586E90A3" w14:textId="77777777" w:rsidR="00131727" w:rsidRDefault="00131727" w:rsidP="00511CC5"/>
        </w:tc>
      </w:tr>
      <w:tr w:rsidR="00131727" w14:paraId="3E3B708F" w14:textId="77777777" w:rsidTr="00131727">
        <w:tc>
          <w:tcPr>
            <w:tcW w:w="432" w:type="dxa"/>
          </w:tcPr>
          <w:p w14:paraId="03255904" w14:textId="77777777" w:rsidR="00131727" w:rsidRDefault="00131727" w:rsidP="00511CC5"/>
        </w:tc>
        <w:tc>
          <w:tcPr>
            <w:tcW w:w="1278" w:type="dxa"/>
          </w:tcPr>
          <w:p w14:paraId="4AD49B09" w14:textId="77777777" w:rsidR="00131727" w:rsidRDefault="00131727" w:rsidP="00511CC5">
            <w:r>
              <w:t>Medium =</w:t>
            </w:r>
          </w:p>
        </w:tc>
        <w:tc>
          <w:tcPr>
            <w:tcW w:w="2633" w:type="dxa"/>
          </w:tcPr>
          <w:p w14:paraId="594C8508" w14:textId="77777777" w:rsidR="00131727" w:rsidRDefault="00131727" w:rsidP="00511CC5">
            <w:r>
              <w:t>Usually on Time</w:t>
            </w:r>
          </w:p>
        </w:tc>
        <w:tc>
          <w:tcPr>
            <w:tcW w:w="677" w:type="dxa"/>
            <w:vMerge/>
          </w:tcPr>
          <w:p w14:paraId="67986FCD" w14:textId="77777777" w:rsidR="00131727" w:rsidRDefault="00131727" w:rsidP="00511CC5"/>
        </w:tc>
        <w:tc>
          <w:tcPr>
            <w:tcW w:w="1133" w:type="dxa"/>
            <w:vMerge/>
          </w:tcPr>
          <w:p w14:paraId="5E05FAE4" w14:textId="77777777" w:rsidR="00131727" w:rsidRDefault="00131727" w:rsidP="00511CC5"/>
        </w:tc>
        <w:tc>
          <w:tcPr>
            <w:tcW w:w="681" w:type="dxa"/>
            <w:vMerge/>
          </w:tcPr>
          <w:p w14:paraId="2676DA7E" w14:textId="77777777" w:rsidR="00131727" w:rsidRDefault="00131727" w:rsidP="00511CC5"/>
        </w:tc>
        <w:tc>
          <w:tcPr>
            <w:tcW w:w="3876" w:type="dxa"/>
            <w:vMerge/>
          </w:tcPr>
          <w:p w14:paraId="38A8C933" w14:textId="77777777" w:rsidR="00131727" w:rsidRDefault="00131727" w:rsidP="00511CC5"/>
        </w:tc>
      </w:tr>
      <w:tr w:rsidR="00131727" w14:paraId="72E86349" w14:textId="77777777" w:rsidTr="00131727">
        <w:tc>
          <w:tcPr>
            <w:tcW w:w="432" w:type="dxa"/>
          </w:tcPr>
          <w:p w14:paraId="0959FF49" w14:textId="77777777" w:rsidR="00131727" w:rsidRDefault="00131727" w:rsidP="00511CC5"/>
        </w:tc>
        <w:tc>
          <w:tcPr>
            <w:tcW w:w="1278" w:type="dxa"/>
          </w:tcPr>
          <w:p w14:paraId="5CA3451F" w14:textId="77777777" w:rsidR="00131727" w:rsidRDefault="00131727" w:rsidP="00511CC5">
            <w:r>
              <w:t>High =</w:t>
            </w:r>
          </w:p>
        </w:tc>
        <w:tc>
          <w:tcPr>
            <w:tcW w:w="2633" w:type="dxa"/>
          </w:tcPr>
          <w:p w14:paraId="7E9F998A" w14:textId="77777777" w:rsidR="00131727" w:rsidRDefault="00131727" w:rsidP="00511CC5">
            <w:r>
              <w:t>Consistently Late</w:t>
            </w:r>
          </w:p>
        </w:tc>
        <w:tc>
          <w:tcPr>
            <w:tcW w:w="677" w:type="dxa"/>
            <w:vMerge/>
          </w:tcPr>
          <w:p w14:paraId="4BD236D2" w14:textId="77777777" w:rsidR="00131727" w:rsidRDefault="00131727" w:rsidP="00511CC5"/>
        </w:tc>
        <w:tc>
          <w:tcPr>
            <w:tcW w:w="1133" w:type="dxa"/>
            <w:vMerge/>
          </w:tcPr>
          <w:p w14:paraId="5A8E0183" w14:textId="77777777" w:rsidR="00131727" w:rsidRDefault="00131727" w:rsidP="00511CC5"/>
        </w:tc>
        <w:tc>
          <w:tcPr>
            <w:tcW w:w="681" w:type="dxa"/>
            <w:vMerge/>
          </w:tcPr>
          <w:p w14:paraId="14DCD5A9" w14:textId="77777777" w:rsidR="00131727" w:rsidRDefault="00131727" w:rsidP="00511CC5"/>
        </w:tc>
        <w:tc>
          <w:tcPr>
            <w:tcW w:w="3876" w:type="dxa"/>
            <w:vMerge/>
          </w:tcPr>
          <w:p w14:paraId="76FD6A6A" w14:textId="77777777" w:rsidR="00131727" w:rsidRDefault="00131727" w:rsidP="00511CC5"/>
        </w:tc>
      </w:tr>
      <w:tr w:rsidR="00131727" w14:paraId="62AA2F29" w14:textId="77777777" w:rsidTr="00FD704F">
        <w:tc>
          <w:tcPr>
            <w:tcW w:w="432" w:type="dxa"/>
          </w:tcPr>
          <w:p w14:paraId="5835CE3F" w14:textId="77777777" w:rsidR="00131727" w:rsidRPr="00511CC5" w:rsidRDefault="00131727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3</w:t>
            </w:r>
          </w:p>
        </w:tc>
        <w:tc>
          <w:tcPr>
            <w:tcW w:w="6402" w:type="dxa"/>
            <w:gridSpan w:val="5"/>
            <w:shd w:val="clear" w:color="auto" w:fill="F2F2F2" w:themeFill="background1" w:themeFillShade="F2"/>
          </w:tcPr>
          <w:p w14:paraId="233621ED" w14:textId="77777777" w:rsidR="00131727" w:rsidRPr="00511CC5" w:rsidRDefault="00131727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Progress is</w:t>
            </w:r>
            <w:r w:rsidR="00275254" w:rsidRPr="00511CC5">
              <w:rPr>
                <w:rStyle w:val="Strong"/>
              </w:rPr>
              <w:t>:</w:t>
            </w:r>
          </w:p>
        </w:tc>
        <w:tc>
          <w:tcPr>
            <w:tcW w:w="3876" w:type="dxa"/>
          </w:tcPr>
          <w:p w14:paraId="6EC04F2C" w14:textId="77777777" w:rsidR="00131727" w:rsidRDefault="00131727" w:rsidP="00511CC5"/>
        </w:tc>
      </w:tr>
      <w:tr w:rsidR="00131727" w14:paraId="583D5984" w14:textId="77777777" w:rsidTr="00131727">
        <w:tc>
          <w:tcPr>
            <w:tcW w:w="432" w:type="dxa"/>
          </w:tcPr>
          <w:p w14:paraId="35E0328E" w14:textId="77777777" w:rsidR="00131727" w:rsidRDefault="00131727" w:rsidP="00511CC5"/>
        </w:tc>
        <w:tc>
          <w:tcPr>
            <w:tcW w:w="1278" w:type="dxa"/>
          </w:tcPr>
          <w:p w14:paraId="75003252" w14:textId="77777777" w:rsidR="00131727" w:rsidRDefault="00131727" w:rsidP="00511CC5">
            <w:r>
              <w:t>Low =</w:t>
            </w:r>
          </w:p>
        </w:tc>
        <w:tc>
          <w:tcPr>
            <w:tcW w:w="2633" w:type="dxa"/>
          </w:tcPr>
          <w:p w14:paraId="23977199" w14:textId="77777777" w:rsidR="00131727" w:rsidRDefault="00131727" w:rsidP="00511CC5">
            <w:r>
              <w:t>Acceptable</w:t>
            </w:r>
          </w:p>
        </w:tc>
        <w:tc>
          <w:tcPr>
            <w:tcW w:w="677" w:type="dxa"/>
            <w:vMerge w:val="restart"/>
          </w:tcPr>
          <w:p w14:paraId="03EDAD2A" w14:textId="77777777" w:rsidR="00131727" w:rsidRDefault="00131727" w:rsidP="00511CC5"/>
        </w:tc>
        <w:tc>
          <w:tcPr>
            <w:tcW w:w="1133" w:type="dxa"/>
            <w:vMerge w:val="restart"/>
          </w:tcPr>
          <w:p w14:paraId="5018C8AC" w14:textId="77777777" w:rsidR="00131727" w:rsidRDefault="00131727" w:rsidP="00511CC5"/>
        </w:tc>
        <w:tc>
          <w:tcPr>
            <w:tcW w:w="681" w:type="dxa"/>
            <w:vMerge w:val="restart"/>
          </w:tcPr>
          <w:p w14:paraId="61D752F6" w14:textId="77777777" w:rsidR="00131727" w:rsidRDefault="00131727" w:rsidP="00511CC5"/>
        </w:tc>
        <w:tc>
          <w:tcPr>
            <w:tcW w:w="3876" w:type="dxa"/>
            <w:vMerge w:val="restart"/>
          </w:tcPr>
          <w:p w14:paraId="1C969776" w14:textId="77777777" w:rsidR="00131727" w:rsidRPr="00131727" w:rsidRDefault="00131727" w:rsidP="00511CC5">
            <w:pPr>
              <w:rPr>
                <w:i/>
              </w:rPr>
            </w:pPr>
            <w:r w:rsidRPr="00131727">
              <w:rPr>
                <w:i/>
              </w:rPr>
              <w:t>Assess the sub-grantee's quality of progress to date. If there are concerns about the level of progress achieved, grantee should be ranked as moderate or high risk</w:t>
            </w:r>
            <w:r w:rsidR="00275254">
              <w:rPr>
                <w:i/>
              </w:rPr>
              <w:t>.</w:t>
            </w:r>
          </w:p>
        </w:tc>
      </w:tr>
      <w:tr w:rsidR="00131727" w14:paraId="5FA66CF4" w14:textId="77777777" w:rsidTr="00131727">
        <w:tc>
          <w:tcPr>
            <w:tcW w:w="432" w:type="dxa"/>
          </w:tcPr>
          <w:p w14:paraId="449FFA04" w14:textId="77777777" w:rsidR="00131727" w:rsidRDefault="00131727" w:rsidP="00511CC5"/>
        </w:tc>
        <w:tc>
          <w:tcPr>
            <w:tcW w:w="1278" w:type="dxa"/>
          </w:tcPr>
          <w:p w14:paraId="484735DB" w14:textId="77777777" w:rsidR="00131727" w:rsidRDefault="00131727" w:rsidP="00511CC5">
            <w:r>
              <w:t>Medium =</w:t>
            </w:r>
          </w:p>
        </w:tc>
        <w:tc>
          <w:tcPr>
            <w:tcW w:w="2633" w:type="dxa"/>
          </w:tcPr>
          <w:p w14:paraId="6EE9FA8E" w14:textId="77777777" w:rsidR="00131727" w:rsidRDefault="00131727" w:rsidP="00511CC5">
            <w:r>
              <w:t>Slightly Behind Schedule</w:t>
            </w:r>
          </w:p>
        </w:tc>
        <w:tc>
          <w:tcPr>
            <w:tcW w:w="677" w:type="dxa"/>
            <w:vMerge/>
          </w:tcPr>
          <w:p w14:paraId="213E1E49" w14:textId="77777777" w:rsidR="00131727" w:rsidRDefault="00131727" w:rsidP="00511CC5"/>
        </w:tc>
        <w:tc>
          <w:tcPr>
            <w:tcW w:w="1133" w:type="dxa"/>
            <w:vMerge/>
          </w:tcPr>
          <w:p w14:paraId="671CA45E" w14:textId="77777777" w:rsidR="00131727" w:rsidRDefault="00131727" w:rsidP="00511CC5"/>
        </w:tc>
        <w:tc>
          <w:tcPr>
            <w:tcW w:w="681" w:type="dxa"/>
            <w:vMerge/>
          </w:tcPr>
          <w:p w14:paraId="50DA9FC9" w14:textId="77777777" w:rsidR="00131727" w:rsidRDefault="00131727" w:rsidP="00511CC5"/>
        </w:tc>
        <w:tc>
          <w:tcPr>
            <w:tcW w:w="3876" w:type="dxa"/>
            <w:vMerge/>
          </w:tcPr>
          <w:p w14:paraId="6E30C299" w14:textId="77777777" w:rsidR="00131727" w:rsidRDefault="00131727" w:rsidP="00511CC5"/>
        </w:tc>
      </w:tr>
      <w:tr w:rsidR="00131727" w14:paraId="7A2E91F5" w14:textId="77777777" w:rsidTr="00131727">
        <w:tc>
          <w:tcPr>
            <w:tcW w:w="432" w:type="dxa"/>
          </w:tcPr>
          <w:p w14:paraId="0EAEB2C5" w14:textId="77777777" w:rsidR="00131727" w:rsidRDefault="00131727" w:rsidP="00511CC5"/>
        </w:tc>
        <w:tc>
          <w:tcPr>
            <w:tcW w:w="1278" w:type="dxa"/>
          </w:tcPr>
          <w:p w14:paraId="5F0CF925" w14:textId="77777777" w:rsidR="00131727" w:rsidRDefault="00131727" w:rsidP="00511CC5">
            <w:r>
              <w:t>High =</w:t>
            </w:r>
          </w:p>
        </w:tc>
        <w:tc>
          <w:tcPr>
            <w:tcW w:w="2633" w:type="dxa"/>
          </w:tcPr>
          <w:p w14:paraId="0FBEE885" w14:textId="77777777" w:rsidR="00131727" w:rsidRDefault="00131727" w:rsidP="00511CC5">
            <w:r>
              <w:t>Not Started or Significantly Behind Schedule</w:t>
            </w:r>
          </w:p>
        </w:tc>
        <w:tc>
          <w:tcPr>
            <w:tcW w:w="677" w:type="dxa"/>
            <w:vMerge/>
          </w:tcPr>
          <w:p w14:paraId="29EAF542" w14:textId="77777777" w:rsidR="00131727" w:rsidRDefault="00131727" w:rsidP="00511CC5"/>
        </w:tc>
        <w:tc>
          <w:tcPr>
            <w:tcW w:w="1133" w:type="dxa"/>
            <w:vMerge/>
          </w:tcPr>
          <w:p w14:paraId="35CFAEA2" w14:textId="77777777" w:rsidR="00131727" w:rsidRDefault="00131727" w:rsidP="00511CC5"/>
        </w:tc>
        <w:tc>
          <w:tcPr>
            <w:tcW w:w="681" w:type="dxa"/>
            <w:vMerge/>
          </w:tcPr>
          <w:p w14:paraId="7B6B4587" w14:textId="77777777" w:rsidR="00131727" w:rsidRDefault="00131727" w:rsidP="00511CC5"/>
        </w:tc>
        <w:tc>
          <w:tcPr>
            <w:tcW w:w="3876" w:type="dxa"/>
            <w:vMerge/>
          </w:tcPr>
          <w:p w14:paraId="5D575396" w14:textId="77777777" w:rsidR="00131727" w:rsidRDefault="00131727" w:rsidP="00511CC5"/>
        </w:tc>
      </w:tr>
      <w:tr w:rsidR="00275254" w14:paraId="72C44387" w14:textId="77777777" w:rsidTr="00FD704F">
        <w:tc>
          <w:tcPr>
            <w:tcW w:w="432" w:type="dxa"/>
          </w:tcPr>
          <w:p w14:paraId="67A2567E" w14:textId="77777777" w:rsidR="00275254" w:rsidRPr="00511CC5" w:rsidRDefault="00275254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4</w:t>
            </w:r>
          </w:p>
        </w:tc>
        <w:tc>
          <w:tcPr>
            <w:tcW w:w="6402" w:type="dxa"/>
            <w:gridSpan w:val="5"/>
            <w:shd w:val="clear" w:color="auto" w:fill="F2F2F2" w:themeFill="background1" w:themeFillShade="F2"/>
          </w:tcPr>
          <w:p w14:paraId="59DD0E97" w14:textId="77777777" w:rsidR="00275254" w:rsidRPr="00511CC5" w:rsidRDefault="00275254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Financial Reports are filed:</w:t>
            </w:r>
          </w:p>
        </w:tc>
        <w:tc>
          <w:tcPr>
            <w:tcW w:w="3876" w:type="dxa"/>
          </w:tcPr>
          <w:p w14:paraId="1085A980" w14:textId="77777777" w:rsidR="00275254" w:rsidRDefault="00275254" w:rsidP="00511CC5"/>
        </w:tc>
      </w:tr>
      <w:tr w:rsidR="00275254" w14:paraId="11FD4FDC" w14:textId="77777777" w:rsidTr="00131727">
        <w:tc>
          <w:tcPr>
            <w:tcW w:w="432" w:type="dxa"/>
          </w:tcPr>
          <w:p w14:paraId="6E5F7C70" w14:textId="77777777" w:rsidR="00275254" w:rsidRDefault="00275254" w:rsidP="00511CC5"/>
        </w:tc>
        <w:tc>
          <w:tcPr>
            <w:tcW w:w="1278" w:type="dxa"/>
          </w:tcPr>
          <w:p w14:paraId="6035D231" w14:textId="77777777" w:rsidR="00275254" w:rsidRDefault="00275254" w:rsidP="00511CC5">
            <w:r>
              <w:t>Low =</w:t>
            </w:r>
          </w:p>
        </w:tc>
        <w:tc>
          <w:tcPr>
            <w:tcW w:w="2633" w:type="dxa"/>
          </w:tcPr>
          <w:p w14:paraId="0BCD853C" w14:textId="77777777" w:rsidR="00275254" w:rsidRDefault="00260EFF" w:rsidP="00511CC5">
            <w:r>
              <w:t>On Time</w:t>
            </w:r>
          </w:p>
        </w:tc>
        <w:tc>
          <w:tcPr>
            <w:tcW w:w="677" w:type="dxa"/>
            <w:vMerge w:val="restart"/>
          </w:tcPr>
          <w:p w14:paraId="667D03B2" w14:textId="77777777" w:rsidR="00275254" w:rsidRDefault="00275254" w:rsidP="00511CC5"/>
        </w:tc>
        <w:tc>
          <w:tcPr>
            <w:tcW w:w="1133" w:type="dxa"/>
            <w:vMerge w:val="restart"/>
          </w:tcPr>
          <w:p w14:paraId="6503A6A4" w14:textId="77777777" w:rsidR="00275254" w:rsidRDefault="00275254" w:rsidP="00511CC5"/>
        </w:tc>
        <w:tc>
          <w:tcPr>
            <w:tcW w:w="681" w:type="dxa"/>
            <w:vMerge w:val="restart"/>
          </w:tcPr>
          <w:p w14:paraId="581CDFC2" w14:textId="77777777" w:rsidR="00275254" w:rsidRDefault="00275254" w:rsidP="00511CC5"/>
        </w:tc>
        <w:tc>
          <w:tcPr>
            <w:tcW w:w="3876" w:type="dxa"/>
            <w:vMerge w:val="restart"/>
          </w:tcPr>
          <w:p w14:paraId="66C0EAD1" w14:textId="77777777" w:rsidR="00275254" w:rsidRPr="00275254" w:rsidRDefault="00275254" w:rsidP="00511CC5">
            <w:pPr>
              <w:rPr>
                <w:i/>
              </w:rPr>
            </w:pPr>
            <w:r w:rsidRPr="00275254">
              <w:rPr>
                <w:i/>
              </w:rPr>
              <w:t xml:space="preserve">Asses the sub-grantee's compliance with timely financial reporting.  </w:t>
            </w:r>
          </w:p>
        </w:tc>
      </w:tr>
      <w:tr w:rsidR="00275254" w14:paraId="3D6BA477" w14:textId="77777777" w:rsidTr="00131727">
        <w:tc>
          <w:tcPr>
            <w:tcW w:w="432" w:type="dxa"/>
          </w:tcPr>
          <w:p w14:paraId="3DED6F08" w14:textId="77777777" w:rsidR="00275254" w:rsidRDefault="00275254" w:rsidP="00511CC5"/>
        </w:tc>
        <w:tc>
          <w:tcPr>
            <w:tcW w:w="1278" w:type="dxa"/>
          </w:tcPr>
          <w:p w14:paraId="58C96404" w14:textId="77777777" w:rsidR="00275254" w:rsidRDefault="00275254" w:rsidP="00511CC5">
            <w:r>
              <w:t>Medium =</w:t>
            </w:r>
          </w:p>
        </w:tc>
        <w:tc>
          <w:tcPr>
            <w:tcW w:w="2633" w:type="dxa"/>
          </w:tcPr>
          <w:p w14:paraId="410ECCB0" w14:textId="77777777" w:rsidR="00275254" w:rsidRDefault="00275254" w:rsidP="00511CC5">
            <w:r>
              <w:t>Usually on Time</w:t>
            </w:r>
          </w:p>
        </w:tc>
        <w:tc>
          <w:tcPr>
            <w:tcW w:w="677" w:type="dxa"/>
            <w:vMerge/>
          </w:tcPr>
          <w:p w14:paraId="6FCF509B" w14:textId="77777777" w:rsidR="00275254" w:rsidRDefault="00275254" w:rsidP="00511CC5"/>
        </w:tc>
        <w:tc>
          <w:tcPr>
            <w:tcW w:w="1133" w:type="dxa"/>
            <w:vMerge/>
          </w:tcPr>
          <w:p w14:paraId="7F542DE2" w14:textId="77777777" w:rsidR="00275254" w:rsidRDefault="00275254" w:rsidP="00511CC5"/>
        </w:tc>
        <w:tc>
          <w:tcPr>
            <w:tcW w:w="681" w:type="dxa"/>
            <w:vMerge/>
          </w:tcPr>
          <w:p w14:paraId="5B7146BD" w14:textId="77777777" w:rsidR="00275254" w:rsidRDefault="00275254" w:rsidP="00511CC5"/>
        </w:tc>
        <w:tc>
          <w:tcPr>
            <w:tcW w:w="3876" w:type="dxa"/>
            <w:vMerge/>
          </w:tcPr>
          <w:p w14:paraId="23B3A272" w14:textId="77777777" w:rsidR="00275254" w:rsidRDefault="00275254" w:rsidP="00511CC5"/>
        </w:tc>
      </w:tr>
      <w:tr w:rsidR="00275254" w14:paraId="1D0F6F92" w14:textId="77777777" w:rsidTr="00131727">
        <w:tc>
          <w:tcPr>
            <w:tcW w:w="432" w:type="dxa"/>
          </w:tcPr>
          <w:p w14:paraId="659133C8" w14:textId="77777777" w:rsidR="00275254" w:rsidRDefault="00275254" w:rsidP="00511CC5"/>
        </w:tc>
        <w:tc>
          <w:tcPr>
            <w:tcW w:w="1278" w:type="dxa"/>
          </w:tcPr>
          <w:p w14:paraId="0E7C7599" w14:textId="77777777" w:rsidR="00275254" w:rsidRDefault="00275254" w:rsidP="00511CC5">
            <w:r>
              <w:t>High =</w:t>
            </w:r>
          </w:p>
        </w:tc>
        <w:tc>
          <w:tcPr>
            <w:tcW w:w="2633" w:type="dxa"/>
          </w:tcPr>
          <w:p w14:paraId="57B81E4F" w14:textId="77777777" w:rsidR="00275254" w:rsidRDefault="00275254" w:rsidP="00511CC5">
            <w:r>
              <w:t>Consistently Late</w:t>
            </w:r>
          </w:p>
        </w:tc>
        <w:tc>
          <w:tcPr>
            <w:tcW w:w="677" w:type="dxa"/>
            <w:vMerge/>
          </w:tcPr>
          <w:p w14:paraId="4D6FB196" w14:textId="77777777" w:rsidR="00275254" w:rsidRDefault="00275254" w:rsidP="00511CC5"/>
        </w:tc>
        <w:tc>
          <w:tcPr>
            <w:tcW w:w="1133" w:type="dxa"/>
            <w:vMerge/>
          </w:tcPr>
          <w:p w14:paraId="50FCAF1E" w14:textId="77777777" w:rsidR="00275254" w:rsidRDefault="00275254" w:rsidP="00511CC5"/>
        </w:tc>
        <w:tc>
          <w:tcPr>
            <w:tcW w:w="681" w:type="dxa"/>
            <w:vMerge/>
          </w:tcPr>
          <w:p w14:paraId="08D6F3C2" w14:textId="77777777" w:rsidR="00275254" w:rsidRDefault="00275254" w:rsidP="00511CC5"/>
        </w:tc>
        <w:tc>
          <w:tcPr>
            <w:tcW w:w="3876" w:type="dxa"/>
            <w:vMerge/>
          </w:tcPr>
          <w:p w14:paraId="3952157F" w14:textId="77777777" w:rsidR="00275254" w:rsidRDefault="00275254" w:rsidP="00511CC5"/>
        </w:tc>
      </w:tr>
      <w:tr w:rsidR="00275254" w14:paraId="2F3CADF9" w14:textId="77777777" w:rsidTr="00FD704F">
        <w:tc>
          <w:tcPr>
            <w:tcW w:w="432" w:type="dxa"/>
          </w:tcPr>
          <w:p w14:paraId="743803FC" w14:textId="77777777" w:rsidR="00275254" w:rsidRPr="00511CC5" w:rsidRDefault="00275254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5</w:t>
            </w:r>
          </w:p>
        </w:tc>
        <w:tc>
          <w:tcPr>
            <w:tcW w:w="6402" w:type="dxa"/>
            <w:gridSpan w:val="5"/>
            <w:shd w:val="clear" w:color="auto" w:fill="F2F2F2" w:themeFill="background1" w:themeFillShade="F2"/>
          </w:tcPr>
          <w:p w14:paraId="23FDD37C" w14:textId="77777777" w:rsidR="00275254" w:rsidRPr="00511CC5" w:rsidRDefault="00275254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Quality of Financial Reporting:</w:t>
            </w:r>
          </w:p>
        </w:tc>
        <w:tc>
          <w:tcPr>
            <w:tcW w:w="3876" w:type="dxa"/>
          </w:tcPr>
          <w:p w14:paraId="5BA6F61D" w14:textId="77777777" w:rsidR="00275254" w:rsidRDefault="00275254" w:rsidP="00511CC5"/>
        </w:tc>
      </w:tr>
      <w:tr w:rsidR="00275254" w14:paraId="25A922F2" w14:textId="77777777" w:rsidTr="00131727">
        <w:tc>
          <w:tcPr>
            <w:tcW w:w="432" w:type="dxa"/>
          </w:tcPr>
          <w:p w14:paraId="45EAF177" w14:textId="77777777" w:rsidR="00275254" w:rsidRDefault="00275254" w:rsidP="00511CC5"/>
        </w:tc>
        <w:tc>
          <w:tcPr>
            <w:tcW w:w="1278" w:type="dxa"/>
          </w:tcPr>
          <w:p w14:paraId="613E2B0F" w14:textId="77777777" w:rsidR="00275254" w:rsidRDefault="00275254" w:rsidP="00511CC5">
            <w:r>
              <w:t>Low =</w:t>
            </w:r>
          </w:p>
        </w:tc>
        <w:tc>
          <w:tcPr>
            <w:tcW w:w="2633" w:type="dxa"/>
          </w:tcPr>
          <w:p w14:paraId="2906CD92" w14:textId="77777777" w:rsidR="00275254" w:rsidRDefault="00275254" w:rsidP="00511CC5">
            <w:r>
              <w:t>Acceptable/No Errors</w:t>
            </w:r>
          </w:p>
        </w:tc>
        <w:tc>
          <w:tcPr>
            <w:tcW w:w="677" w:type="dxa"/>
            <w:vMerge w:val="restart"/>
          </w:tcPr>
          <w:p w14:paraId="05091BD4" w14:textId="77777777" w:rsidR="00275254" w:rsidRDefault="00275254" w:rsidP="00511CC5"/>
        </w:tc>
        <w:tc>
          <w:tcPr>
            <w:tcW w:w="1133" w:type="dxa"/>
            <w:vMerge w:val="restart"/>
          </w:tcPr>
          <w:p w14:paraId="497D59EC" w14:textId="77777777" w:rsidR="00275254" w:rsidRDefault="00275254" w:rsidP="00511CC5"/>
        </w:tc>
        <w:tc>
          <w:tcPr>
            <w:tcW w:w="681" w:type="dxa"/>
            <w:vMerge w:val="restart"/>
          </w:tcPr>
          <w:p w14:paraId="68EF9EA1" w14:textId="77777777" w:rsidR="00275254" w:rsidRDefault="00275254" w:rsidP="00511CC5"/>
        </w:tc>
        <w:tc>
          <w:tcPr>
            <w:tcW w:w="3876" w:type="dxa"/>
            <w:vMerge w:val="restart"/>
          </w:tcPr>
          <w:p w14:paraId="4BA575E8" w14:textId="77777777" w:rsidR="00275254" w:rsidRPr="00275254" w:rsidRDefault="00275254" w:rsidP="00511CC5">
            <w:pPr>
              <w:rPr>
                <w:i/>
              </w:rPr>
            </w:pPr>
            <w:r w:rsidRPr="00275254">
              <w:rPr>
                <w:i/>
              </w:rPr>
              <w:t xml:space="preserve">Assess the sub-grantee's quality of financial reporting. If report contains errors or is incomplete, sub-grantee should be ranked moderate or high risk.  </w:t>
            </w:r>
          </w:p>
        </w:tc>
      </w:tr>
      <w:tr w:rsidR="00275254" w14:paraId="438AE704" w14:textId="77777777" w:rsidTr="00131727">
        <w:tc>
          <w:tcPr>
            <w:tcW w:w="432" w:type="dxa"/>
          </w:tcPr>
          <w:p w14:paraId="64AE5356" w14:textId="77777777" w:rsidR="00275254" w:rsidRDefault="00275254" w:rsidP="00511CC5"/>
        </w:tc>
        <w:tc>
          <w:tcPr>
            <w:tcW w:w="1278" w:type="dxa"/>
          </w:tcPr>
          <w:p w14:paraId="0EBFF7A4" w14:textId="77777777" w:rsidR="00275254" w:rsidRDefault="00275254" w:rsidP="00511CC5">
            <w:r>
              <w:t>Medium =</w:t>
            </w:r>
          </w:p>
        </w:tc>
        <w:tc>
          <w:tcPr>
            <w:tcW w:w="2633" w:type="dxa"/>
          </w:tcPr>
          <w:p w14:paraId="758C098B" w14:textId="77777777" w:rsidR="00275254" w:rsidRDefault="00275254" w:rsidP="00511CC5">
            <w:r>
              <w:t>Minor Errors Detected</w:t>
            </w:r>
          </w:p>
        </w:tc>
        <w:tc>
          <w:tcPr>
            <w:tcW w:w="677" w:type="dxa"/>
            <w:vMerge/>
          </w:tcPr>
          <w:p w14:paraId="185717D4" w14:textId="77777777" w:rsidR="00275254" w:rsidRDefault="00275254" w:rsidP="00511CC5"/>
        </w:tc>
        <w:tc>
          <w:tcPr>
            <w:tcW w:w="1133" w:type="dxa"/>
            <w:vMerge/>
          </w:tcPr>
          <w:p w14:paraId="6039DD15" w14:textId="77777777" w:rsidR="00275254" w:rsidRDefault="00275254" w:rsidP="00511CC5"/>
        </w:tc>
        <w:tc>
          <w:tcPr>
            <w:tcW w:w="681" w:type="dxa"/>
            <w:vMerge/>
          </w:tcPr>
          <w:p w14:paraId="26E349E5" w14:textId="77777777" w:rsidR="00275254" w:rsidRDefault="00275254" w:rsidP="00511CC5"/>
        </w:tc>
        <w:tc>
          <w:tcPr>
            <w:tcW w:w="3876" w:type="dxa"/>
            <w:vMerge/>
          </w:tcPr>
          <w:p w14:paraId="789692CE" w14:textId="77777777" w:rsidR="00275254" w:rsidRDefault="00275254" w:rsidP="00511CC5"/>
        </w:tc>
      </w:tr>
      <w:tr w:rsidR="00275254" w14:paraId="45B5872C" w14:textId="77777777" w:rsidTr="00131727">
        <w:tc>
          <w:tcPr>
            <w:tcW w:w="432" w:type="dxa"/>
          </w:tcPr>
          <w:p w14:paraId="42CD59CC" w14:textId="77777777" w:rsidR="00275254" w:rsidRDefault="00275254" w:rsidP="00511CC5"/>
        </w:tc>
        <w:tc>
          <w:tcPr>
            <w:tcW w:w="1278" w:type="dxa"/>
          </w:tcPr>
          <w:p w14:paraId="5AFABCAD" w14:textId="77777777" w:rsidR="00275254" w:rsidRDefault="00275254" w:rsidP="00511CC5">
            <w:r>
              <w:t>High =</w:t>
            </w:r>
          </w:p>
        </w:tc>
        <w:tc>
          <w:tcPr>
            <w:tcW w:w="2633" w:type="dxa"/>
          </w:tcPr>
          <w:p w14:paraId="60252352" w14:textId="77777777" w:rsidR="00275254" w:rsidRDefault="00275254" w:rsidP="00511CC5">
            <w:r>
              <w:t>Numerous Errors Detected</w:t>
            </w:r>
          </w:p>
        </w:tc>
        <w:tc>
          <w:tcPr>
            <w:tcW w:w="677" w:type="dxa"/>
            <w:vMerge/>
          </w:tcPr>
          <w:p w14:paraId="0BC8DEE7" w14:textId="77777777" w:rsidR="00275254" w:rsidRDefault="00275254" w:rsidP="00511CC5"/>
        </w:tc>
        <w:tc>
          <w:tcPr>
            <w:tcW w:w="1133" w:type="dxa"/>
            <w:vMerge/>
          </w:tcPr>
          <w:p w14:paraId="341BFCCA" w14:textId="77777777" w:rsidR="00275254" w:rsidRDefault="00275254" w:rsidP="00511CC5"/>
        </w:tc>
        <w:tc>
          <w:tcPr>
            <w:tcW w:w="681" w:type="dxa"/>
            <w:vMerge/>
          </w:tcPr>
          <w:p w14:paraId="30BDA60E" w14:textId="77777777" w:rsidR="00275254" w:rsidRDefault="00275254" w:rsidP="00511CC5"/>
        </w:tc>
        <w:tc>
          <w:tcPr>
            <w:tcW w:w="3876" w:type="dxa"/>
            <w:vMerge/>
          </w:tcPr>
          <w:p w14:paraId="7698244D" w14:textId="77777777" w:rsidR="00275254" w:rsidRDefault="00275254" w:rsidP="00511CC5"/>
        </w:tc>
      </w:tr>
      <w:tr w:rsidR="00FD704F" w14:paraId="6559AAB4" w14:textId="77777777" w:rsidTr="00FD704F">
        <w:tc>
          <w:tcPr>
            <w:tcW w:w="432" w:type="dxa"/>
          </w:tcPr>
          <w:p w14:paraId="600F7DB9" w14:textId="77777777" w:rsidR="00FD704F" w:rsidRPr="00FD704F" w:rsidRDefault="00FD704F" w:rsidP="00511CC5"/>
        </w:tc>
        <w:tc>
          <w:tcPr>
            <w:tcW w:w="3911" w:type="dxa"/>
            <w:gridSpan w:val="2"/>
            <w:shd w:val="clear" w:color="auto" w:fill="F2F2F2" w:themeFill="background1" w:themeFillShade="F2"/>
          </w:tcPr>
          <w:p w14:paraId="4D56FAC6" w14:textId="77777777" w:rsidR="00FD704F" w:rsidRPr="00511CC5" w:rsidRDefault="00FD704F" w:rsidP="00511CC5">
            <w:pPr>
              <w:rPr>
                <w:rStyle w:val="Strong"/>
              </w:rPr>
            </w:pPr>
            <w:r w:rsidRPr="00511CC5">
              <w:rPr>
                <w:rStyle w:val="Strong"/>
              </w:rPr>
              <w:t>Total Score</w:t>
            </w:r>
          </w:p>
        </w:tc>
        <w:tc>
          <w:tcPr>
            <w:tcW w:w="677" w:type="dxa"/>
          </w:tcPr>
          <w:p w14:paraId="1CDF4C3B" w14:textId="77777777" w:rsidR="00FD704F" w:rsidRDefault="00FD704F" w:rsidP="00511CC5"/>
        </w:tc>
        <w:tc>
          <w:tcPr>
            <w:tcW w:w="1133" w:type="dxa"/>
          </w:tcPr>
          <w:p w14:paraId="3D7C4628" w14:textId="77777777" w:rsidR="00FD704F" w:rsidRDefault="00FD704F" w:rsidP="00511CC5"/>
        </w:tc>
        <w:tc>
          <w:tcPr>
            <w:tcW w:w="681" w:type="dxa"/>
          </w:tcPr>
          <w:p w14:paraId="639C3463" w14:textId="77777777" w:rsidR="00FD704F" w:rsidRDefault="00FD704F" w:rsidP="00511CC5"/>
        </w:tc>
        <w:tc>
          <w:tcPr>
            <w:tcW w:w="3876" w:type="dxa"/>
          </w:tcPr>
          <w:p w14:paraId="7A929B38" w14:textId="77777777" w:rsidR="00FD704F" w:rsidRDefault="00FD704F" w:rsidP="00511CC5"/>
        </w:tc>
      </w:tr>
    </w:tbl>
    <w:p w14:paraId="74309088" w14:textId="77777777" w:rsidR="00E45825" w:rsidRDefault="00E45825" w:rsidP="00FD704F">
      <w:pPr>
        <w:spacing w:after="0" w:line="240" w:lineRule="auto"/>
        <w:ind w:left="-634"/>
        <w:rPr>
          <w:rFonts w:ascii="Arial" w:hAnsi="Arial" w:cs="Arial"/>
          <w:b/>
          <w:sz w:val="24"/>
        </w:rPr>
      </w:pPr>
    </w:p>
    <w:p w14:paraId="7FD2F291" w14:textId="06EAAE62" w:rsidR="00FD704F" w:rsidRPr="00511CC5" w:rsidRDefault="00FD704F" w:rsidP="00FD704F">
      <w:pPr>
        <w:spacing w:after="0" w:line="240" w:lineRule="auto"/>
        <w:ind w:left="-634"/>
        <w:rPr>
          <w:rFonts w:ascii="Arial" w:hAnsi="Arial" w:cs="Arial"/>
          <w:b/>
          <w:sz w:val="24"/>
        </w:rPr>
      </w:pPr>
      <w:r w:rsidRPr="00511CC5">
        <w:rPr>
          <w:rFonts w:ascii="Arial" w:hAnsi="Arial" w:cs="Arial"/>
          <w:b/>
          <w:sz w:val="24"/>
        </w:rPr>
        <w:t xml:space="preserve">Scoring: Assign 1 point for each Low ranking, 2 points for each Moderate ranking, and 3 points for each High ranking.  </w:t>
      </w:r>
    </w:p>
    <w:p w14:paraId="416FD7EF" w14:textId="77777777" w:rsidR="00511CC5" w:rsidRDefault="00511CC5" w:rsidP="00FD704F">
      <w:pPr>
        <w:spacing w:after="0" w:line="240" w:lineRule="auto"/>
        <w:ind w:left="-634" w:firstLine="1354"/>
        <w:rPr>
          <w:rFonts w:ascii="Arial" w:hAnsi="Arial" w:cs="Arial"/>
          <w:b/>
          <w:sz w:val="24"/>
        </w:rPr>
      </w:pPr>
    </w:p>
    <w:p w14:paraId="5AB08F4C" w14:textId="7F88E2C0" w:rsidR="00FD704F" w:rsidRPr="00511CC5" w:rsidRDefault="00FD704F" w:rsidP="00FD704F">
      <w:pPr>
        <w:spacing w:after="0" w:line="240" w:lineRule="auto"/>
        <w:ind w:left="-634" w:firstLine="1354"/>
        <w:rPr>
          <w:rFonts w:ascii="Arial" w:hAnsi="Arial" w:cs="Arial"/>
          <w:b/>
          <w:sz w:val="24"/>
        </w:rPr>
      </w:pPr>
      <w:r w:rsidRPr="00511CC5">
        <w:rPr>
          <w:rFonts w:ascii="Arial" w:hAnsi="Arial" w:cs="Arial"/>
          <w:b/>
          <w:sz w:val="24"/>
        </w:rPr>
        <w:t>&lt; 8 Points = Low Ranking</w:t>
      </w:r>
    </w:p>
    <w:p w14:paraId="427642BB" w14:textId="77777777" w:rsidR="00FD704F" w:rsidRPr="00511CC5" w:rsidRDefault="00FD704F" w:rsidP="00FD704F">
      <w:pPr>
        <w:spacing w:after="0" w:line="240" w:lineRule="auto"/>
        <w:ind w:left="-634" w:firstLine="1354"/>
        <w:rPr>
          <w:rFonts w:ascii="Arial" w:hAnsi="Arial" w:cs="Arial"/>
          <w:b/>
          <w:sz w:val="24"/>
        </w:rPr>
      </w:pPr>
      <w:r w:rsidRPr="00511CC5">
        <w:rPr>
          <w:rFonts w:ascii="Arial" w:hAnsi="Arial" w:cs="Arial"/>
          <w:b/>
          <w:sz w:val="24"/>
        </w:rPr>
        <w:t>8-12 Points = Moderate Ranking</w:t>
      </w:r>
    </w:p>
    <w:p w14:paraId="4DEADDE5" w14:textId="77777777" w:rsidR="00031DFD" w:rsidRPr="00511CC5" w:rsidRDefault="00FD704F" w:rsidP="00FD704F">
      <w:pPr>
        <w:spacing w:after="0" w:line="240" w:lineRule="auto"/>
        <w:ind w:left="-634" w:firstLine="1354"/>
        <w:rPr>
          <w:rFonts w:ascii="Arial" w:hAnsi="Arial" w:cs="Arial"/>
          <w:sz w:val="24"/>
        </w:rPr>
      </w:pPr>
      <w:r w:rsidRPr="00511CC5">
        <w:rPr>
          <w:rFonts w:ascii="Arial" w:hAnsi="Arial" w:cs="Arial"/>
          <w:b/>
          <w:sz w:val="24"/>
        </w:rPr>
        <w:t>&gt;12 Points = High Ranking</w:t>
      </w:r>
      <w:r w:rsidR="00031DFD" w:rsidRPr="00511CC5">
        <w:rPr>
          <w:rFonts w:ascii="Arial" w:hAnsi="Arial" w:cs="Arial"/>
          <w:sz w:val="24"/>
        </w:rPr>
        <w:tab/>
      </w:r>
    </w:p>
    <w:p w14:paraId="464F6B7D" w14:textId="77777777" w:rsidR="00031DFD" w:rsidRPr="00511CC5" w:rsidRDefault="00031DFD" w:rsidP="00031DFD">
      <w:pPr>
        <w:spacing w:after="0" w:line="240" w:lineRule="auto"/>
        <w:ind w:left="-634" w:firstLine="4"/>
        <w:rPr>
          <w:rFonts w:ascii="Arial" w:hAnsi="Arial" w:cs="Arial"/>
          <w:sz w:val="24"/>
        </w:rPr>
      </w:pPr>
    </w:p>
    <w:p w14:paraId="6FDB7752" w14:textId="77777777" w:rsidR="00031DFD" w:rsidRPr="00511CC5" w:rsidRDefault="00031DFD" w:rsidP="00511CC5">
      <w:pPr>
        <w:spacing w:after="0" w:line="240" w:lineRule="auto"/>
        <w:ind w:left="-634" w:firstLine="4"/>
        <w:rPr>
          <w:rFonts w:ascii="Arial" w:hAnsi="Arial" w:cs="Arial"/>
          <w:sz w:val="24"/>
        </w:rPr>
      </w:pPr>
      <w:r w:rsidRPr="00511CC5">
        <w:rPr>
          <w:rFonts w:ascii="Arial" w:hAnsi="Arial" w:cs="Arial"/>
          <w:b/>
          <w:sz w:val="24"/>
        </w:rPr>
        <w:t>Low</w:t>
      </w:r>
      <w:r w:rsidR="00260EFF" w:rsidRPr="00511CC5">
        <w:rPr>
          <w:rFonts w:ascii="Arial" w:hAnsi="Arial" w:cs="Arial"/>
          <w:b/>
          <w:sz w:val="24"/>
        </w:rPr>
        <w:t>-</w:t>
      </w:r>
      <w:r w:rsidRPr="00511CC5">
        <w:rPr>
          <w:rFonts w:ascii="Arial" w:hAnsi="Arial" w:cs="Arial"/>
          <w:b/>
          <w:sz w:val="24"/>
        </w:rPr>
        <w:t>Risk Sub-Grantees</w:t>
      </w:r>
      <w:r w:rsidRPr="00511CC5">
        <w:rPr>
          <w:rFonts w:ascii="Arial" w:hAnsi="Arial" w:cs="Arial"/>
          <w:sz w:val="24"/>
        </w:rPr>
        <w:t xml:space="preserve"> will be required to </w:t>
      </w:r>
      <w:r w:rsidR="00291AF4" w:rsidRPr="00511CC5">
        <w:rPr>
          <w:rFonts w:ascii="Arial" w:hAnsi="Arial" w:cs="Arial"/>
          <w:sz w:val="24"/>
        </w:rPr>
        <w:t xml:space="preserve">complete their mid-year and final grant evaluation.  </w:t>
      </w:r>
    </w:p>
    <w:p w14:paraId="179E1DDE" w14:textId="77777777" w:rsidR="00511CC5" w:rsidRDefault="00511CC5" w:rsidP="00031DFD">
      <w:pPr>
        <w:spacing w:after="0" w:line="240" w:lineRule="auto"/>
        <w:ind w:left="-634" w:firstLine="4"/>
        <w:rPr>
          <w:rFonts w:ascii="Arial" w:hAnsi="Arial" w:cs="Arial"/>
          <w:b/>
          <w:sz w:val="24"/>
        </w:rPr>
      </w:pPr>
    </w:p>
    <w:p w14:paraId="517D679E" w14:textId="7B854A44" w:rsidR="00291AF4" w:rsidRPr="00511CC5" w:rsidRDefault="00031DFD" w:rsidP="00031DFD">
      <w:pPr>
        <w:spacing w:after="0" w:line="240" w:lineRule="auto"/>
        <w:ind w:left="-634" w:firstLine="4"/>
        <w:rPr>
          <w:rFonts w:ascii="Arial" w:hAnsi="Arial" w:cs="Arial"/>
          <w:sz w:val="24"/>
        </w:rPr>
      </w:pPr>
      <w:r w:rsidRPr="00511CC5">
        <w:rPr>
          <w:rFonts w:ascii="Arial" w:hAnsi="Arial" w:cs="Arial"/>
          <w:b/>
          <w:sz w:val="24"/>
        </w:rPr>
        <w:t>Moderate</w:t>
      </w:r>
      <w:r w:rsidR="00260EFF" w:rsidRPr="00511CC5">
        <w:rPr>
          <w:rFonts w:ascii="Arial" w:hAnsi="Arial" w:cs="Arial"/>
          <w:b/>
          <w:sz w:val="24"/>
        </w:rPr>
        <w:t>-</w:t>
      </w:r>
      <w:r w:rsidRPr="00511CC5">
        <w:rPr>
          <w:rFonts w:ascii="Arial" w:hAnsi="Arial" w:cs="Arial"/>
          <w:b/>
          <w:sz w:val="24"/>
        </w:rPr>
        <w:t>Risk Sub-Grantees</w:t>
      </w:r>
      <w:r w:rsidRPr="00511CC5">
        <w:rPr>
          <w:rFonts w:ascii="Arial" w:hAnsi="Arial" w:cs="Arial"/>
          <w:sz w:val="24"/>
        </w:rPr>
        <w:t xml:space="preserve"> will be required to complete one desktop review of all programmatic and finan</w:t>
      </w:r>
      <w:r w:rsidR="00291AF4" w:rsidRPr="00511CC5">
        <w:rPr>
          <w:rFonts w:ascii="Arial" w:hAnsi="Arial" w:cs="Arial"/>
          <w:sz w:val="24"/>
        </w:rPr>
        <w:t>cial reporting no later than May 31,</w:t>
      </w:r>
      <w:r w:rsidRPr="00511CC5">
        <w:rPr>
          <w:rFonts w:ascii="Arial" w:hAnsi="Arial" w:cs="Arial"/>
          <w:sz w:val="24"/>
        </w:rPr>
        <w:t xml:space="preserve"> 2021</w:t>
      </w:r>
      <w:r w:rsidR="00BD32A2">
        <w:rPr>
          <w:rFonts w:ascii="Arial" w:hAnsi="Arial" w:cs="Arial"/>
          <w:sz w:val="24"/>
        </w:rPr>
        <w:t xml:space="preserve"> or May 31, 2022</w:t>
      </w:r>
      <w:r w:rsidRPr="00511CC5">
        <w:rPr>
          <w:rFonts w:ascii="Arial" w:hAnsi="Arial" w:cs="Arial"/>
          <w:sz w:val="24"/>
        </w:rPr>
        <w:t xml:space="preserve">.  </w:t>
      </w:r>
    </w:p>
    <w:p w14:paraId="38646BD0" w14:textId="77777777" w:rsidR="00511CC5" w:rsidRDefault="00511CC5" w:rsidP="00291AF4">
      <w:pPr>
        <w:spacing w:after="0" w:line="240" w:lineRule="auto"/>
        <w:ind w:left="-634" w:firstLine="4"/>
        <w:rPr>
          <w:rFonts w:ascii="Arial" w:hAnsi="Arial" w:cs="Arial"/>
          <w:b/>
          <w:sz w:val="24"/>
        </w:rPr>
      </w:pPr>
    </w:p>
    <w:p w14:paraId="50443909" w14:textId="049778EA" w:rsidR="00C64546" w:rsidRPr="00FD704F" w:rsidRDefault="00031DFD" w:rsidP="00A5300A">
      <w:pPr>
        <w:spacing w:after="0" w:line="240" w:lineRule="auto"/>
        <w:ind w:left="-634" w:firstLine="4"/>
        <w:rPr>
          <w:rFonts w:ascii="Times New Roman" w:hAnsi="Times New Roman" w:cs="Times New Roman"/>
          <w:sz w:val="24"/>
        </w:rPr>
      </w:pPr>
      <w:r w:rsidRPr="00511CC5">
        <w:rPr>
          <w:rFonts w:ascii="Arial" w:hAnsi="Arial" w:cs="Arial"/>
          <w:b/>
          <w:sz w:val="24"/>
        </w:rPr>
        <w:t>High</w:t>
      </w:r>
      <w:r w:rsidR="00260EFF" w:rsidRPr="00511CC5">
        <w:rPr>
          <w:rFonts w:ascii="Arial" w:hAnsi="Arial" w:cs="Arial"/>
          <w:b/>
          <w:sz w:val="24"/>
        </w:rPr>
        <w:t>-</w:t>
      </w:r>
      <w:r w:rsidRPr="00511CC5">
        <w:rPr>
          <w:rFonts w:ascii="Arial" w:hAnsi="Arial" w:cs="Arial"/>
          <w:b/>
          <w:sz w:val="24"/>
        </w:rPr>
        <w:t>Risk Sub-Grantees</w:t>
      </w:r>
      <w:r w:rsidRPr="00511CC5">
        <w:rPr>
          <w:rFonts w:ascii="Arial" w:hAnsi="Arial" w:cs="Arial"/>
          <w:sz w:val="24"/>
        </w:rPr>
        <w:t xml:space="preserve"> will be required to be receive one site</w:t>
      </w:r>
      <w:r w:rsidR="00260EFF" w:rsidRPr="00511CC5">
        <w:rPr>
          <w:rFonts w:ascii="Arial" w:hAnsi="Arial" w:cs="Arial"/>
          <w:sz w:val="24"/>
        </w:rPr>
        <w:t xml:space="preserve"> </w:t>
      </w:r>
      <w:r w:rsidRPr="00511CC5">
        <w:rPr>
          <w:rFonts w:ascii="Arial" w:hAnsi="Arial" w:cs="Arial"/>
          <w:sz w:val="24"/>
        </w:rPr>
        <w:t>visit review of all programmatic and financi</w:t>
      </w:r>
      <w:r w:rsidR="00291AF4" w:rsidRPr="00511CC5">
        <w:rPr>
          <w:rFonts w:ascii="Arial" w:hAnsi="Arial" w:cs="Arial"/>
          <w:sz w:val="24"/>
        </w:rPr>
        <w:t>al reporting no later than May 31,</w:t>
      </w:r>
      <w:r w:rsidRPr="00511CC5">
        <w:rPr>
          <w:rFonts w:ascii="Arial" w:hAnsi="Arial" w:cs="Arial"/>
          <w:sz w:val="24"/>
        </w:rPr>
        <w:t xml:space="preserve"> 2021</w:t>
      </w:r>
      <w:r w:rsidR="00BD32A2">
        <w:rPr>
          <w:rFonts w:ascii="Arial" w:hAnsi="Arial" w:cs="Arial"/>
          <w:sz w:val="24"/>
        </w:rPr>
        <w:t xml:space="preserve"> or May 31, 2022</w:t>
      </w:r>
      <w:r w:rsidRPr="00511CC5">
        <w:rPr>
          <w:rFonts w:ascii="Arial" w:hAnsi="Arial" w:cs="Arial"/>
          <w:sz w:val="24"/>
        </w:rPr>
        <w:t xml:space="preserve">. </w:t>
      </w:r>
      <w:r w:rsidR="00291AF4" w:rsidRPr="00511CC5">
        <w:rPr>
          <w:rFonts w:ascii="Arial" w:hAnsi="Arial" w:cs="Arial"/>
          <w:sz w:val="24"/>
        </w:rPr>
        <w:t>Backup documentation will be required.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sectPr w:rsidR="00C64546" w:rsidRPr="00FD704F" w:rsidSect="00031DFD">
      <w:footerReference w:type="default" r:id="rId8"/>
      <w:pgSz w:w="12240" w:h="15840"/>
      <w:pgMar w:top="720" w:right="630" w:bottom="18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47F82" w14:textId="77777777" w:rsidR="00610576" w:rsidRDefault="00610576" w:rsidP="00511CC5">
      <w:pPr>
        <w:spacing w:after="0" w:line="240" w:lineRule="auto"/>
      </w:pPr>
      <w:r>
        <w:separator/>
      </w:r>
    </w:p>
  </w:endnote>
  <w:endnote w:type="continuationSeparator" w:id="0">
    <w:p w14:paraId="6BFFB4BD" w14:textId="77777777" w:rsidR="00610576" w:rsidRDefault="00610576" w:rsidP="0051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61FD5" w14:textId="7BE1C567" w:rsidR="00511CC5" w:rsidRPr="009002C5" w:rsidRDefault="00511CC5" w:rsidP="00511CC5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541F2AAA" wp14:editId="4AB49526">
          <wp:simplePos x="0" y="0"/>
          <wp:positionH relativeFrom="column">
            <wp:posOffset>4571938</wp:posOffset>
          </wp:positionH>
          <wp:positionV relativeFrom="paragraph">
            <wp:posOffset>-78415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60288" behindDoc="1" locked="0" layoutInCell="1" allowOverlap="1" wp14:anchorId="0CCAA109" wp14:editId="54907BA8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674B8E64" w14:textId="197F92C2" w:rsidR="00511CC5" w:rsidRDefault="00511CC5">
    <w:pPr>
      <w:pStyle w:val="Footer"/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44BB9" w14:textId="77777777" w:rsidR="00610576" w:rsidRDefault="00610576" w:rsidP="00511CC5">
      <w:pPr>
        <w:spacing w:after="0" w:line="240" w:lineRule="auto"/>
      </w:pPr>
      <w:r>
        <w:separator/>
      </w:r>
    </w:p>
  </w:footnote>
  <w:footnote w:type="continuationSeparator" w:id="0">
    <w:p w14:paraId="224CA07A" w14:textId="77777777" w:rsidR="00610576" w:rsidRDefault="00610576" w:rsidP="00511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1E6D"/>
    <w:multiLevelType w:val="hybridMultilevel"/>
    <w:tmpl w:val="94AE7E4C"/>
    <w:lvl w:ilvl="0" w:tplc="2E862FF8">
      <w:start w:val="11"/>
      <w:numFmt w:val="bullet"/>
      <w:lvlText w:val=""/>
      <w:lvlJc w:val="left"/>
      <w:pPr>
        <w:ind w:left="-27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546"/>
    <w:rsid w:val="00031DFD"/>
    <w:rsid w:val="000B5465"/>
    <w:rsid w:val="00131727"/>
    <w:rsid w:val="00260EFF"/>
    <w:rsid w:val="00275254"/>
    <w:rsid w:val="00291AF4"/>
    <w:rsid w:val="002F1370"/>
    <w:rsid w:val="00511CC5"/>
    <w:rsid w:val="00610576"/>
    <w:rsid w:val="009B25A1"/>
    <w:rsid w:val="00A507F8"/>
    <w:rsid w:val="00A5300A"/>
    <w:rsid w:val="00BD32A2"/>
    <w:rsid w:val="00C64546"/>
    <w:rsid w:val="00D805A5"/>
    <w:rsid w:val="00E45825"/>
    <w:rsid w:val="00E649F1"/>
    <w:rsid w:val="00FC4778"/>
    <w:rsid w:val="00FD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29B9E"/>
  <w15:chartTrackingRefBased/>
  <w15:docId w15:val="{9993976E-B17F-44B1-9246-7EAF0C53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4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70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1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CC5"/>
  </w:style>
  <w:style w:type="paragraph" w:styleId="Footer">
    <w:name w:val="footer"/>
    <w:basedOn w:val="Normal"/>
    <w:link w:val="FooterChar"/>
    <w:uiPriority w:val="99"/>
    <w:unhideWhenUsed/>
    <w:rsid w:val="00511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CC5"/>
  </w:style>
  <w:style w:type="character" w:styleId="Strong">
    <w:name w:val="Strong"/>
    <w:basedOn w:val="DefaultParagraphFont"/>
    <w:uiPriority w:val="22"/>
    <w:qFormat/>
    <w:rsid w:val="00511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Grissom</dc:creator>
  <cp:keywords/>
  <dc:description/>
  <cp:lastModifiedBy>Terri Grissom</cp:lastModifiedBy>
  <cp:revision>8</cp:revision>
  <dcterms:created xsi:type="dcterms:W3CDTF">2020-09-02T19:53:00Z</dcterms:created>
  <dcterms:modified xsi:type="dcterms:W3CDTF">2020-12-04T20:57:00Z</dcterms:modified>
</cp:coreProperties>
</file>