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29523C0" w14:textId="77777777" w:rsidR="001B7DB3" w:rsidRDefault="00C3243A" w:rsidP="00E93DA0">
      <w:pPr>
        <w:pStyle w:val="Title"/>
        <w:spacing w:before="0" w:line="499" w:lineRule="auto"/>
      </w:pPr>
      <w:r>
        <w:rPr>
          <w:color w:val="0C0C0C"/>
        </w:rPr>
        <w:t>ATTACHMENT G FEDERAL FUNDING TERMS</w:t>
      </w:r>
    </w:p>
    <w:p w14:paraId="129523C1" w14:textId="6176D93A" w:rsidR="001B7DB3" w:rsidRDefault="00C3243A" w:rsidP="00E93DA0">
      <w:pPr>
        <w:pStyle w:val="BodyText"/>
        <w:ind w:left="120" w:right="123" w:hanging="1"/>
      </w:pPr>
      <w:r>
        <w:rPr>
          <w:color w:val="0C0C0C"/>
        </w:rPr>
        <w:t>This State of Oklahoma Federal Funding Terms is a Contract document in connection with a Contract awarded by and through the State of Oklahoma, Office of Management and Enterprise Services, with a vendor, supplier, or contractor ("Supplier"). Supplier acknowledges that acquisitions under this Contract may use federal assistance for purposes of funding the acquisition. When procuring property and services using Federal financial assistance, the State must follow the same policies it uses for procurements from its non-Federal funds along with all other requirements of the Title 2 U.S. Code of Federal Regulations Part 200, Uniform Administrative Requirements, Cost Principles, and Audit Requirements for Federal Awards (Uniform Guidance). In addition, the State and Supplier ("Parties") must agree to the standards identified in Federal Regulations 2 CFR Sections 200.321 through 200.323 and ensure purchase orders, contracts, or subcontracts include clauses required by 2 CFR Section 200.327.</w:t>
      </w:r>
    </w:p>
    <w:p w14:paraId="129523C2" w14:textId="77777777" w:rsidR="001B7DB3" w:rsidRDefault="00C3243A" w:rsidP="00E93DA0">
      <w:pPr>
        <w:spacing w:before="241" w:line="252" w:lineRule="auto"/>
        <w:ind w:left="120" w:right="124" w:firstLine="2"/>
        <w:jc w:val="both"/>
        <w:rPr>
          <w:b/>
          <w:i/>
          <w:sz w:val="23"/>
        </w:rPr>
      </w:pPr>
      <w:r>
        <w:rPr>
          <w:b/>
          <w:i/>
          <w:color w:val="0C0C0C"/>
          <w:w w:val="105"/>
          <w:sz w:val="23"/>
        </w:rPr>
        <w:t>The terms and conditions provided in this Attachment are general Federal award requirements. Additional terms, conditions, or exceptions may be required that are specific to the Federal financial assistance used in each procurement transaction. Any additional terms, conditions, or exceptions shall be incorporated into a purchase order, contract, or subcontract to ensure compliance with the Federal financial assistance attached to this Contract.</w:t>
      </w:r>
    </w:p>
    <w:p w14:paraId="129523C4" w14:textId="24023D05" w:rsidR="001B7DB3" w:rsidRDefault="00C3243A" w:rsidP="00E93DA0">
      <w:pPr>
        <w:pStyle w:val="BodyText"/>
        <w:spacing w:before="217" w:line="242" w:lineRule="auto"/>
        <w:ind w:left="124" w:hanging="4"/>
      </w:pPr>
      <w:r>
        <w:rPr>
          <w:color w:val="0C0C0C"/>
        </w:rPr>
        <w:t>In addition to the terms contained in applicable Contract documents and the requirements mentioned above, the Parties agree to the following Federal Funding Terms.</w:t>
      </w:r>
    </w:p>
    <w:p w14:paraId="5DC67BB1" w14:textId="77777777" w:rsidR="00E93DA0" w:rsidRDefault="00E93DA0" w:rsidP="00E93DA0">
      <w:pPr>
        <w:pStyle w:val="BodyText"/>
        <w:spacing w:before="217" w:line="242" w:lineRule="auto"/>
        <w:ind w:left="124" w:hanging="4"/>
      </w:pPr>
    </w:p>
    <w:p w14:paraId="129523C5" w14:textId="77777777" w:rsidR="001B7DB3" w:rsidRDefault="00C3243A" w:rsidP="00E93DA0">
      <w:pPr>
        <w:pStyle w:val="Heading1"/>
        <w:numPr>
          <w:ilvl w:val="0"/>
          <w:numId w:val="2"/>
        </w:numPr>
        <w:tabs>
          <w:tab w:val="left" w:pos="846"/>
        </w:tabs>
        <w:spacing w:before="1"/>
        <w:jc w:val="both"/>
      </w:pPr>
      <w:r>
        <w:rPr>
          <w:color w:val="0C0C0C"/>
        </w:rPr>
        <w:t>AFFIRMATIVE STEPS FOR CONTRACTING.</w:t>
      </w:r>
    </w:p>
    <w:p w14:paraId="129523C6" w14:textId="77777777" w:rsidR="001B7DB3" w:rsidRDefault="00C3243A" w:rsidP="00E93DA0">
      <w:pPr>
        <w:pStyle w:val="ListParagraph"/>
        <w:numPr>
          <w:ilvl w:val="1"/>
          <w:numId w:val="2"/>
        </w:numPr>
        <w:tabs>
          <w:tab w:val="left" w:pos="1565"/>
        </w:tabs>
        <w:spacing w:before="228"/>
        <w:ind w:right="124"/>
        <w:jc w:val="both"/>
        <w:rPr>
          <w:sz w:val="24"/>
        </w:rPr>
      </w:pPr>
      <w:r>
        <w:rPr>
          <w:color w:val="0C0C0C"/>
          <w:sz w:val="24"/>
        </w:rPr>
        <w:t>Parties acknowledge that any non-Federal entity included in this Contract must take affirmative steps to assure that minority businesses, women's business enterprises, and labor surplus area firms are used when possible. In addition to and in conjunction with 74 O.S. Sections 85.45 through 85.45i., those affirmative steps must include:</w:t>
      </w:r>
    </w:p>
    <w:p w14:paraId="129523C7" w14:textId="77777777" w:rsidR="001B7DB3" w:rsidRDefault="00C3243A" w:rsidP="00E93DA0">
      <w:pPr>
        <w:pStyle w:val="ListParagraph"/>
        <w:numPr>
          <w:ilvl w:val="2"/>
          <w:numId w:val="2"/>
        </w:numPr>
        <w:tabs>
          <w:tab w:val="left" w:pos="1928"/>
          <w:tab w:val="left" w:pos="1930"/>
        </w:tabs>
        <w:spacing w:before="139" w:line="242" w:lineRule="auto"/>
        <w:ind w:right="140"/>
        <w:jc w:val="both"/>
        <w:rPr>
          <w:sz w:val="24"/>
        </w:rPr>
      </w:pPr>
      <w:r>
        <w:rPr>
          <w:color w:val="0C0C0C"/>
          <w:sz w:val="24"/>
        </w:rPr>
        <w:t>Placing qualified small and minority businesses and women's business enterprises on solicitation lists;</w:t>
      </w:r>
    </w:p>
    <w:p w14:paraId="129523C8" w14:textId="77777777" w:rsidR="001B7DB3" w:rsidRDefault="00C3243A" w:rsidP="00E93DA0">
      <w:pPr>
        <w:pStyle w:val="ListParagraph"/>
        <w:numPr>
          <w:ilvl w:val="2"/>
          <w:numId w:val="2"/>
        </w:numPr>
        <w:tabs>
          <w:tab w:val="left" w:pos="1926"/>
          <w:tab w:val="left" w:pos="1931"/>
        </w:tabs>
        <w:spacing w:before="135" w:line="242" w:lineRule="auto"/>
        <w:ind w:left="1931" w:right="138" w:hanging="362"/>
        <w:jc w:val="both"/>
        <w:rPr>
          <w:sz w:val="24"/>
        </w:rPr>
      </w:pPr>
      <w:r>
        <w:rPr>
          <w:color w:val="0C0C0C"/>
          <w:sz w:val="24"/>
        </w:rPr>
        <w:t>Assuring that small and minority businesses, and women's business enterprises are solicited whenever they are potential sources;</w:t>
      </w:r>
    </w:p>
    <w:p w14:paraId="129523C9" w14:textId="77777777" w:rsidR="001B7DB3" w:rsidRDefault="00C3243A" w:rsidP="00E93DA0">
      <w:pPr>
        <w:pStyle w:val="ListParagraph"/>
        <w:numPr>
          <w:ilvl w:val="2"/>
          <w:numId w:val="2"/>
        </w:numPr>
        <w:tabs>
          <w:tab w:val="left" w:pos="1926"/>
          <w:tab w:val="left" w:pos="1928"/>
        </w:tabs>
        <w:spacing w:before="151" w:line="237" w:lineRule="auto"/>
        <w:ind w:left="1926" w:right="127" w:hanging="362"/>
        <w:jc w:val="both"/>
        <w:rPr>
          <w:sz w:val="24"/>
        </w:rPr>
      </w:pPr>
      <w:r>
        <w:rPr>
          <w:color w:val="0C0C0C"/>
          <w:sz w:val="24"/>
        </w:rPr>
        <w:tab/>
        <w:t>Dividing total requirements, when economically feasible, into smaller tasks or quantities to permit maximum participation by small and minority businesses, and women's business enterprises;</w:t>
      </w:r>
    </w:p>
    <w:p w14:paraId="129523CA" w14:textId="77777777" w:rsidR="001B7DB3" w:rsidRDefault="00C3243A" w:rsidP="00E93DA0">
      <w:pPr>
        <w:pStyle w:val="ListParagraph"/>
        <w:numPr>
          <w:ilvl w:val="2"/>
          <w:numId w:val="2"/>
        </w:numPr>
        <w:tabs>
          <w:tab w:val="left" w:pos="1928"/>
          <w:tab w:val="left" w:pos="1930"/>
        </w:tabs>
        <w:spacing w:before="154" w:line="242" w:lineRule="auto"/>
        <w:ind w:right="134" w:hanging="365"/>
        <w:jc w:val="both"/>
        <w:rPr>
          <w:sz w:val="24"/>
        </w:rPr>
      </w:pPr>
      <w:r>
        <w:rPr>
          <w:color w:val="0C0C0C"/>
          <w:sz w:val="24"/>
        </w:rPr>
        <w:t>Establishing delivery schedules, where the requirement permits, which encourage participation by small and minority businesses, and women's business enterprises;</w:t>
      </w:r>
    </w:p>
    <w:p w14:paraId="129523CB" w14:textId="77777777" w:rsidR="001B7DB3" w:rsidRDefault="001B7DB3" w:rsidP="00E93DA0">
      <w:pPr>
        <w:spacing w:line="242" w:lineRule="auto"/>
        <w:jc w:val="both"/>
        <w:rPr>
          <w:sz w:val="24"/>
        </w:rPr>
        <w:sectPr w:rsidR="001B7DB3">
          <w:footerReference w:type="default" r:id="rId7"/>
          <w:type w:val="continuous"/>
          <w:pgSz w:w="12240" w:h="15840"/>
          <w:pgMar w:top="1360" w:right="1280" w:bottom="1220" w:left="1320" w:header="0" w:footer="1024" w:gutter="0"/>
          <w:pgNumType w:start="1"/>
          <w:cols w:space="720"/>
        </w:sectPr>
      </w:pPr>
    </w:p>
    <w:p w14:paraId="129523CC" w14:textId="77777777" w:rsidR="001B7DB3" w:rsidRDefault="00C3243A" w:rsidP="00E93DA0">
      <w:pPr>
        <w:pStyle w:val="ListParagraph"/>
        <w:numPr>
          <w:ilvl w:val="2"/>
          <w:numId w:val="2"/>
        </w:numPr>
        <w:tabs>
          <w:tab w:val="left" w:pos="1927"/>
        </w:tabs>
        <w:spacing w:before="74"/>
        <w:ind w:left="1927" w:right="124" w:hanging="363"/>
        <w:jc w:val="both"/>
        <w:rPr>
          <w:sz w:val="24"/>
        </w:rPr>
      </w:pPr>
      <w:r>
        <w:rPr>
          <w:color w:val="0C0C0C"/>
          <w:sz w:val="24"/>
        </w:rPr>
        <w:lastRenderedPageBreak/>
        <w:t>Using the services and assistance, as appropriate, of such organizations as the Small Business Administration and the Minority Business Development Agency of the Department of Commerce; and</w:t>
      </w:r>
    </w:p>
    <w:p w14:paraId="129523CD" w14:textId="77777777" w:rsidR="001B7DB3" w:rsidRDefault="00C3243A" w:rsidP="00E93DA0">
      <w:pPr>
        <w:pStyle w:val="ListParagraph"/>
        <w:numPr>
          <w:ilvl w:val="2"/>
          <w:numId w:val="2"/>
        </w:numPr>
        <w:tabs>
          <w:tab w:val="left" w:pos="1929"/>
          <w:tab w:val="left" w:pos="1931"/>
        </w:tabs>
        <w:spacing w:before="148" w:line="242" w:lineRule="auto"/>
        <w:ind w:left="1931" w:right="126" w:hanging="367"/>
        <w:jc w:val="both"/>
        <w:rPr>
          <w:sz w:val="24"/>
        </w:rPr>
      </w:pPr>
      <w:r>
        <w:rPr>
          <w:color w:val="0C0C0C"/>
          <w:sz w:val="24"/>
        </w:rPr>
        <w:t>Requiring the prime contractor, if subcontracts are to be let, to take the affirmative steps listed in paragraphs (a.) through (e.) of this section.</w:t>
      </w:r>
    </w:p>
    <w:p w14:paraId="129523CE" w14:textId="77777777" w:rsidR="001B7DB3" w:rsidRDefault="00C3243A" w:rsidP="00E93DA0">
      <w:pPr>
        <w:pStyle w:val="Heading1"/>
        <w:numPr>
          <w:ilvl w:val="0"/>
          <w:numId w:val="2"/>
        </w:numPr>
        <w:tabs>
          <w:tab w:val="left" w:pos="843"/>
        </w:tabs>
        <w:spacing w:before="274"/>
        <w:ind w:left="843" w:hanging="722"/>
        <w:jc w:val="both"/>
      </w:pPr>
      <w:r>
        <w:rPr>
          <w:color w:val="0C0C0C"/>
        </w:rPr>
        <w:t>INFORMATION SUBMITTED.</w:t>
      </w:r>
    </w:p>
    <w:p w14:paraId="129523CF" w14:textId="77777777" w:rsidR="001B7DB3" w:rsidRDefault="00C3243A" w:rsidP="00E93DA0">
      <w:pPr>
        <w:pStyle w:val="BodyText"/>
        <w:spacing w:before="22" w:line="259" w:lineRule="auto"/>
        <w:ind w:left="845" w:right="66" w:hanging="3"/>
      </w:pPr>
      <w:r>
        <w:rPr>
          <w:color w:val="0C0C0C"/>
        </w:rPr>
        <w:t>Supplier acknowledges that all information, reports, and other documents and data submitted to the State and its representatives in connection with this Contract were, at the time they were (or will be) furnished, and are, as of the date hereof (or will be as of the date they are furnished), true, correct, and complete in all material respects.</w:t>
      </w:r>
    </w:p>
    <w:p w14:paraId="129523D0" w14:textId="77777777" w:rsidR="001B7DB3" w:rsidRDefault="001B7DB3">
      <w:pPr>
        <w:pStyle w:val="BodyText"/>
        <w:spacing w:before="2"/>
        <w:jc w:val="left"/>
      </w:pPr>
    </w:p>
    <w:p w14:paraId="129523D1" w14:textId="77777777" w:rsidR="001B7DB3" w:rsidRDefault="00C3243A">
      <w:pPr>
        <w:pStyle w:val="Heading1"/>
        <w:numPr>
          <w:ilvl w:val="0"/>
          <w:numId w:val="2"/>
        </w:numPr>
        <w:tabs>
          <w:tab w:val="left" w:pos="843"/>
        </w:tabs>
        <w:ind w:left="843" w:hanging="720"/>
      </w:pPr>
      <w:r>
        <w:rPr>
          <w:color w:val="0C0C0C"/>
        </w:rPr>
        <w:t>COMPETITIVE BIDDING.</w:t>
      </w:r>
    </w:p>
    <w:p w14:paraId="129523D2" w14:textId="77777777" w:rsidR="001B7DB3" w:rsidRDefault="00C3243A">
      <w:pPr>
        <w:pStyle w:val="BodyText"/>
        <w:spacing w:before="3"/>
        <w:ind w:left="842" w:right="126" w:firstLine="3"/>
      </w:pPr>
      <w:r>
        <w:rPr>
          <w:color w:val="0C0C0C"/>
        </w:rPr>
        <w:t>All funds received by the Supplier herein are subject to the State Purchasing Act and the procurement standards found in 2 CFR Sections 200</w:t>
      </w:r>
      <w:r>
        <w:rPr>
          <w:color w:val="414141"/>
        </w:rPr>
        <w:t>.</w:t>
      </w:r>
      <w:r>
        <w:rPr>
          <w:color w:val="0C0C0C"/>
        </w:rPr>
        <w:t>321 through 200</w:t>
      </w:r>
      <w:r>
        <w:rPr>
          <w:color w:val="414141"/>
        </w:rPr>
        <w:t>.</w:t>
      </w:r>
      <w:r>
        <w:rPr>
          <w:color w:val="0C0C0C"/>
        </w:rPr>
        <w:t>323, and 2 CFR Section 200.327. The Supplier acknowledges and agrees that these funds were to the best of Supplier's knowledge competitively bid or covered by an exemption as described therein.</w:t>
      </w:r>
    </w:p>
    <w:p w14:paraId="129523D3" w14:textId="77777777" w:rsidR="001B7DB3" w:rsidRDefault="001B7DB3">
      <w:pPr>
        <w:pStyle w:val="BodyText"/>
        <w:spacing w:before="2"/>
        <w:jc w:val="left"/>
      </w:pPr>
    </w:p>
    <w:p w14:paraId="129523D4" w14:textId="77777777" w:rsidR="001B7DB3" w:rsidRDefault="00C3243A">
      <w:pPr>
        <w:pStyle w:val="Heading1"/>
        <w:numPr>
          <w:ilvl w:val="0"/>
          <w:numId w:val="2"/>
        </w:numPr>
        <w:tabs>
          <w:tab w:val="left" w:pos="846"/>
        </w:tabs>
        <w:ind w:hanging="725"/>
      </w:pPr>
      <w:r>
        <w:rPr>
          <w:color w:val="0C0C0C"/>
        </w:rPr>
        <w:t>AUDITING AND MONITORING REQUIREMENTS.</w:t>
      </w:r>
    </w:p>
    <w:p w14:paraId="129523D5" w14:textId="77777777" w:rsidR="001B7DB3" w:rsidRDefault="00C3243A">
      <w:pPr>
        <w:pStyle w:val="BodyText"/>
        <w:spacing w:before="22" w:line="261" w:lineRule="auto"/>
        <w:ind w:left="845" w:right="121" w:hanging="3"/>
      </w:pPr>
      <w:r>
        <w:rPr>
          <w:color w:val="0C0C0C"/>
        </w:rPr>
        <w:t>Supplier acknowledges that the funds used in this transaction are subject to the requirements found in Sections 2 CFR Sections 200.500 through 2 CFR § 200.520; and therefore, the State is subject to audit by Federal and State entities.</w:t>
      </w:r>
    </w:p>
    <w:p w14:paraId="129523D6" w14:textId="77777777" w:rsidR="001B7DB3" w:rsidRDefault="00C3243A">
      <w:pPr>
        <w:pStyle w:val="ListParagraph"/>
        <w:numPr>
          <w:ilvl w:val="1"/>
          <w:numId w:val="2"/>
        </w:numPr>
        <w:tabs>
          <w:tab w:val="left" w:pos="1564"/>
        </w:tabs>
        <w:spacing w:before="194"/>
        <w:ind w:left="1564" w:right="115" w:hanging="723"/>
        <w:jc w:val="both"/>
        <w:rPr>
          <w:sz w:val="24"/>
        </w:rPr>
      </w:pPr>
      <w:r>
        <w:rPr>
          <w:color w:val="0C0C0C"/>
          <w:sz w:val="24"/>
        </w:rPr>
        <w:t>The Supplier agrees to provide the State of Oklahoma, the U.S. Department of Treasury, the Comptroller General of the United States, or any of their authorized representatives access to any books, documents, papers, and records of the Supplier which are directly pertinent to this Contract for the purposes of making audits, examinations, excerpts, and transcriptions. The Supplier agrees to permit any of the foregoing parties to copy or reproduce, by any means, excerpts and transcriptions as reasonably needed, and agrees to cooperate with all such requests. All records related to this transaction must be kept for five years after the completion of this Contract.</w:t>
      </w:r>
    </w:p>
    <w:p w14:paraId="129523D7" w14:textId="77777777" w:rsidR="001B7DB3" w:rsidRDefault="00C3243A">
      <w:pPr>
        <w:pStyle w:val="ListParagraph"/>
        <w:numPr>
          <w:ilvl w:val="1"/>
          <w:numId w:val="2"/>
        </w:numPr>
        <w:tabs>
          <w:tab w:val="left" w:pos="1561"/>
          <w:tab w:val="left" w:pos="1567"/>
        </w:tabs>
        <w:spacing w:before="236"/>
        <w:ind w:left="1567" w:right="134" w:hanging="726"/>
        <w:jc w:val="both"/>
        <w:rPr>
          <w:sz w:val="24"/>
        </w:rPr>
      </w:pPr>
      <w:r>
        <w:rPr>
          <w:color w:val="0C0C0C"/>
          <w:sz w:val="24"/>
        </w:rPr>
        <w:t>If applicable, the Supplier agrees to provide the Treasury Department or authorized representatives access to construction or other work sites pertaining to the work being completed under the Contract.</w:t>
      </w:r>
    </w:p>
    <w:p w14:paraId="129523D8" w14:textId="77777777" w:rsidR="001B7DB3" w:rsidRDefault="00C3243A">
      <w:pPr>
        <w:pStyle w:val="ListParagraph"/>
        <w:numPr>
          <w:ilvl w:val="1"/>
          <w:numId w:val="2"/>
        </w:numPr>
        <w:tabs>
          <w:tab w:val="left" w:pos="1566"/>
        </w:tabs>
        <w:spacing w:before="236" w:line="237" w:lineRule="auto"/>
        <w:ind w:left="1566" w:right="130" w:hanging="725"/>
        <w:jc w:val="both"/>
        <w:rPr>
          <w:sz w:val="24"/>
        </w:rPr>
      </w:pPr>
      <w:r>
        <w:rPr>
          <w:color w:val="0C0C0C"/>
          <w:sz w:val="24"/>
        </w:rPr>
        <w:t>No language in this Contract is intended to prohibit audits or internal reviews by the Treasury Department or the Comptroller General of the United States.</w:t>
      </w:r>
    </w:p>
    <w:p w14:paraId="129523D9" w14:textId="77777777" w:rsidR="001B7DB3" w:rsidRDefault="00C3243A">
      <w:pPr>
        <w:pStyle w:val="ListParagraph"/>
        <w:numPr>
          <w:ilvl w:val="1"/>
          <w:numId w:val="2"/>
        </w:numPr>
        <w:tabs>
          <w:tab w:val="left" w:pos="1566"/>
        </w:tabs>
        <w:spacing w:before="237" w:line="237" w:lineRule="auto"/>
        <w:ind w:left="1566" w:right="120" w:hanging="725"/>
        <w:jc w:val="both"/>
        <w:rPr>
          <w:sz w:val="24"/>
        </w:rPr>
      </w:pPr>
      <w:r>
        <w:rPr>
          <w:color w:val="0C0C0C"/>
          <w:sz w:val="24"/>
        </w:rPr>
        <w:t>The Supplier further agrees to include a provision requiring such compliance in its lower tier covered transactions.</w:t>
      </w:r>
    </w:p>
    <w:p w14:paraId="129523DA" w14:textId="77777777" w:rsidR="001B7DB3" w:rsidRDefault="001B7DB3">
      <w:pPr>
        <w:spacing w:line="237" w:lineRule="auto"/>
        <w:jc w:val="both"/>
        <w:rPr>
          <w:sz w:val="24"/>
        </w:rPr>
        <w:sectPr w:rsidR="001B7DB3">
          <w:pgSz w:w="12240" w:h="15840"/>
          <w:pgMar w:top="1340" w:right="1280" w:bottom="1220" w:left="1320" w:header="0" w:footer="1024" w:gutter="0"/>
          <w:cols w:space="720"/>
        </w:sectPr>
      </w:pPr>
    </w:p>
    <w:p w14:paraId="129523DB" w14:textId="77777777" w:rsidR="001B7DB3" w:rsidRDefault="00C3243A">
      <w:pPr>
        <w:pStyle w:val="Heading1"/>
        <w:numPr>
          <w:ilvl w:val="0"/>
          <w:numId w:val="2"/>
        </w:numPr>
        <w:tabs>
          <w:tab w:val="left" w:pos="843"/>
        </w:tabs>
        <w:spacing w:before="74"/>
        <w:ind w:left="843" w:hanging="720"/>
      </w:pPr>
      <w:r>
        <w:rPr>
          <w:color w:val="0C0C0C"/>
        </w:rPr>
        <w:lastRenderedPageBreak/>
        <w:t>BUYING PREFERENCES.</w:t>
      </w:r>
    </w:p>
    <w:p w14:paraId="129523DC" w14:textId="77777777" w:rsidR="001B7DB3" w:rsidRDefault="00C3243A">
      <w:pPr>
        <w:pStyle w:val="ListParagraph"/>
        <w:numPr>
          <w:ilvl w:val="1"/>
          <w:numId w:val="2"/>
        </w:numPr>
        <w:tabs>
          <w:tab w:val="left" w:pos="1564"/>
        </w:tabs>
        <w:spacing w:before="229"/>
        <w:ind w:left="1564" w:right="124"/>
        <w:jc w:val="both"/>
        <w:rPr>
          <w:sz w:val="24"/>
        </w:rPr>
      </w:pPr>
      <w:r>
        <w:rPr>
          <w:b/>
          <w:color w:val="0C0C0C"/>
          <w:sz w:val="24"/>
        </w:rPr>
        <w:t xml:space="preserve">Domestic Preferences, 2 CFR Section 200.322. </w:t>
      </w:r>
      <w:r>
        <w:rPr>
          <w:color w:val="0C0C0C"/>
          <w:sz w:val="24"/>
        </w:rPr>
        <w:t>Supplier should, to the greatest extent practicable under the scope of this Contract, provide a preference for the purchase, acquisition, or use of goods, products, or materials produced in the United States (including but not limited to iron, aluminum, steel, cement, and other manufactured products). The requirements of this section must be included in all subawards, including all contracts and purchase orders for work or products under this Contract. For purposes of this section:</w:t>
      </w:r>
    </w:p>
    <w:p w14:paraId="129523DD" w14:textId="77777777" w:rsidR="001B7DB3" w:rsidRDefault="00C3243A">
      <w:pPr>
        <w:pStyle w:val="ListParagraph"/>
        <w:numPr>
          <w:ilvl w:val="2"/>
          <w:numId w:val="2"/>
        </w:numPr>
        <w:tabs>
          <w:tab w:val="left" w:pos="1917"/>
          <w:tab w:val="left" w:pos="1926"/>
        </w:tabs>
        <w:spacing w:before="140" w:line="242" w:lineRule="auto"/>
        <w:ind w:left="1926" w:right="126"/>
        <w:jc w:val="both"/>
        <w:rPr>
          <w:color w:val="0C0C0C"/>
          <w:sz w:val="24"/>
        </w:rPr>
      </w:pPr>
      <w:r>
        <w:rPr>
          <w:color w:val="0C0C0C"/>
          <w:sz w:val="24"/>
        </w:rPr>
        <w:t>"Produced in the United States" means, for iron and steel products, that all manufacturing processes, from the initial melting stage through the application of coatings, occurred in the United States;</w:t>
      </w:r>
    </w:p>
    <w:p w14:paraId="129523DE" w14:textId="77777777" w:rsidR="001B7DB3" w:rsidRDefault="00C3243A">
      <w:pPr>
        <w:pStyle w:val="ListParagraph"/>
        <w:numPr>
          <w:ilvl w:val="2"/>
          <w:numId w:val="2"/>
        </w:numPr>
        <w:tabs>
          <w:tab w:val="left" w:pos="1917"/>
          <w:tab w:val="left" w:pos="1927"/>
        </w:tabs>
        <w:spacing w:before="134"/>
        <w:ind w:left="1927" w:right="124" w:hanging="363"/>
        <w:jc w:val="both"/>
        <w:rPr>
          <w:color w:val="0C0C0C"/>
          <w:sz w:val="24"/>
        </w:rPr>
      </w:pPr>
      <w:r>
        <w:rPr>
          <w:color w:val="0C0C0C"/>
          <w:sz w:val="24"/>
        </w:rPr>
        <w:t>"Manufactured products" means items and construction materials composed in whole or in part of non-ferrous metals such as aluminum; plastics and polymer­ based products such as polyvinyl chloride pipe; aggregates such as concrete; glass, including optical fiber; and lumber; and</w:t>
      </w:r>
    </w:p>
    <w:p w14:paraId="129523DF" w14:textId="77777777" w:rsidR="001B7DB3" w:rsidRDefault="00C3243A">
      <w:pPr>
        <w:pStyle w:val="ListParagraph"/>
        <w:numPr>
          <w:ilvl w:val="2"/>
          <w:numId w:val="2"/>
        </w:numPr>
        <w:tabs>
          <w:tab w:val="left" w:pos="1927"/>
        </w:tabs>
        <w:spacing w:before="141" w:line="242" w:lineRule="auto"/>
        <w:ind w:left="1927" w:right="133" w:hanging="363"/>
        <w:jc w:val="both"/>
        <w:rPr>
          <w:color w:val="0C0C0C"/>
          <w:sz w:val="24"/>
        </w:rPr>
      </w:pPr>
      <w:r>
        <w:rPr>
          <w:color w:val="0C0C0C"/>
          <w:sz w:val="24"/>
        </w:rPr>
        <w:t>Federal financial assistance for infrastructure projects must implement the Buy America preferences set forth below.</w:t>
      </w:r>
    </w:p>
    <w:p w14:paraId="129523E0" w14:textId="77777777" w:rsidR="001B7DB3" w:rsidRDefault="00C3243A">
      <w:pPr>
        <w:pStyle w:val="ListParagraph"/>
        <w:numPr>
          <w:ilvl w:val="1"/>
          <w:numId w:val="2"/>
        </w:numPr>
        <w:tabs>
          <w:tab w:val="left" w:pos="1563"/>
        </w:tabs>
        <w:spacing w:before="226"/>
        <w:ind w:left="1563" w:right="124"/>
        <w:jc w:val="both"/>
        <w:rPr>
          <w:sz w:val="24"/>
        </w:rPr>
      </w:pPr>
      <w:r>
        <w:rPr>
          <w:b/>
          <w:color w:val="0C0C0C"/>
          <w:sz w:val="24"/>
        </w:rPr>
        <w:t xml:space="preserve">Buy America Preference, 2 CFR Part 184. </w:t>
      </w:r>
      <w:r>
        <w:rPr>
          <w:color w:val="0C0C0C"/>
          <w:sz w:val="24"/>
        </w:rPr>
        <w:t>Applies to Federal awards where funds are appropriated or otherwise made available for infrastructure projects in the United States, regardless of whether infrastructure is the primary purpose of the Federal award. Must be included in all subawards, contracts, and purchase orders for the work performed, or products supplied under the Federal award. Infrastructure encompasses public infrastructure projects in the United States, which includes, at a minimum, the structures, facilities, and equipment for roads, highways, and bridges; public transportation; dams, ports, harbors, and other maritime facilities; intercity passenger and freight railroads; freight and intermodal facilities; airports; water systems, including drinking water and wastewater systems; electrical transmission facilities and systems; utilities; broadband infrastructure; and buildings and real property; and structures, facilities, and equipment that generate, transport, and distribute energy including electric vehicle (EV) charging.</w:t>
      </w:r>
    </w:p>
    <w:p w14:paraId="129523E1" w14:textId="77777777" w:rsidR="001B7DB3" w:rsidRDefault="001B7DB3">
      <w:pPr>
        <w:pStyle w:val="BodyText"/>
        <w:spacing w:before="12"/>
        <w:jc w:val="left"/>
      </w:pPr>
    </w:p>
    <w:p w14:paraId="129523E3" w14:textId="2AFCF4CF" w:rsidR="001B7DB3" w:rsidRPr="00E93DA0" w:rsidRDefault="00C3243A" w:rsidP="00E93DA0">
      <w:pPr>
        <w:pStyle w:val="Heading1"/>
        <w:numPr>
          <w:ilvl w:val="0"/>
          <w:numId w:val="2"/>
        </w:numPr>
        <w:tabs>
          <w:tab w:val="left" w:pos="845"/>
        </w:tabs>
        <w:ind w:left="845" w:hanging="723"/>
      </w:pPr>
      <w:r>
        <w:rPr>
          <w:color w:val="0C0C0C"/>
        </w:rPr>
        <w:t>STATUTES AND REGULATIONS PROHIBITING DISCRIMINATION.</w:t>
      </w:r>
    </w:p>
    <w:p w14:paraId="04F58091" w14:textId="77777777" w:rsidR="00E93DA0" w:rsidRPr="00E93DA0" w:rsidRDefault="00E93DA0" w:rsidP="00E93DA0">
      <w:pPr>
        <w:pStyle w:val="Heading1"/>
        <w:tabs>
          <w:tab w:val="left" w:pos="845"/>
        </w:tabs>
        <w:ind w:left="845" w:firstLine="0"/>
      </w:pPr>
    </w:p>
    <w:p w14:paraId="129523E4" w14:textId="77777777" w:rsidR="001B7DB3" w:rsidRDefault="00C3243A">
      <w:pPr>
        <w:pStyle w:val="ListParagraph"/>
        <w:numPr>
          <w:ilvl w:val="1"/>
          <w:numId w:val="2"/>
        </w:numPr>
        <w:tabs>
          <w:tab w:val="left" w:pos="1562"/>
          <w:tab w:val="left" w:pos="1565"/>
        </w:tabs>
        <w:ind w:right="123" w:hanging="722"/>
        <w:jc w:val="both"/>
        <w:rPr>
          <w:sz w:val="24"/>
        </w:rPr>
      </w:pPr>
      <w:r>
        <w:rPr>
          <w:b/>
          <w:color w:val="0C0C0C"/>
          <w:sz w:val="24"/>
        </w:rPr>
        <w:t xml:space="preserve">Executive Order 11246, "Equal Employment Opportunity," </w:t>
      </w:r>
      <w:r>
        <w:rPr>
          <w:color w:val="0C0C0C"/>
          <w:sz w:val="24"/>
        </w:rPr>
        <w:t>as amended by EO 11375, "Amending Executive Order 11246 Relating to Equal Employment Opportunity," and as supplemented by regulations at 41 CFR part 60, "Office of Federal Contract Compliance Programs, Equal Employment Opportunity, Department of Labor. Applies to any construction work and subcontract work, or modification thereof, which is paid for in whole or in part with funds obtained from the Federal Government, unless otherwise exempted.</w:t>
      </w:r>
    </w:p>
    <w:p w14:paraId="129523E5" w14:textId="77777777" w:rsidR="001B7DB3" w:rsidRDefault="001B7DB3">
      <w:pPr>
        <w:jc w:val="both"/>
        <w:rPr>
          <w:sz w:val="24"/>
        </w:rPr>
        <w:sectPr w:rsidR="001B7DB3">
          <w:pgSz w:w="12240" w:h="15840"/>
          <w:pgMar w:top="1340" w:right="1280" w:bottom="1220" w:left="1320" w:header="0" w:footer="1024" w:gutter="0"/>
          <w:cols w:space="720"/>
        </w:sectPr>
      </w:pPr>
    </w:p>
    <w:p w14:paraId="129523E6" w14:textId="77777777" w:rsidR="001B7DB3" w:rsidRDefault="00C3243A" w:rsidP="00E93DA0">
      <w:pPr>
        <w:spacing w:before="77" w:line="237" w:lineRule="auto"/>
        <w:ind w:left="1566" w:hanging="3"/>
        <w:jc w:val="both"/>
        <w:rPr>
          <w:sz w:val="24"/>
        </w:rPr>
      </w:pPr>
      <w:r>
        <w:rPr>
          <w:b/>
          <w:color w:val="0C0C0C"/>
          <w:sz w:val="24"/>
        </w:rPr>
        <w:lastRenderedPageBreak/>
        <w:t>Construction Contracts 41 CFR Section 60-l.4(b).</w:t>
      </w:r>
      <w:r>
        <w:rPr>
          <w:b/>
          <w:color w:val="0C0C0C"/>
          <w:spacing w:val="80"/>
          <w:sz w:val="24"/>
        </w:rPr>
        <w:t xml:space="preserve"> </w:t>
      </w:r>
      <w:r>
        <w:rPr>
          <w:color w:val="0C0C0C"/>
          <w:sz w:val="24"/>
        </w:rPr>
        <w:t>During the performance of this contract, the contractor agrees as follows:</w:t>
      </w:r>
    </w:p>
    <w:p w14:paraId="129523E7" w14:textId="77777777" w:rsidR="001B7DB3" w:rsidRDefault="00C3243A" w:rsidP="00E93DA0">
      <w:pPr>
        <w:pStyle w:val="ListParagraph"/>
        <w:numPr>
          <w:ilvl w:val="2"/>
          <w:numId w:val="2"/>
        </w:numPr>
        <w:tabs>
          <w:tab w:val="left" w:pos="1927"/>
        </w:tabs>
        <w:spacing w:before="186"/>
        <w:ind w:left="1927" w:right="124" w:hanging="362"/>
        <w:jc w:val="both"/>
        <w:rPr>
          <w:color w:val="3D3D3D"/>
          <w:sz w:val="24"/>
        </w:rPr>
      </w:pPr>
      <w:r>
        <w:rPr>
          <w:color w:val="3D3D3D"/>
          <w:sz w:val="24"/>
        </w:rPr>
        <w:t>The contractor will not discriminate against any employee or applicant for employment because of race, color, religion, sex, sexual orientation, gender identity, or national origin. The contractor will take affirmative action to ensure that applicants are employed, and that employees are treated during employment without regard to their race, color, religion, sex, sexual orientation, gender identity, or national origin. Such action shall include, but not be limited to the following:</w:t>
      </w:r>
    </w:p>
    <w:p w14:paraId="129523E8" w14:textId="77777777" w:rsidR="001B7DB3" w:rsidRDefault="00C3243A" w:rsidP="00E93DA0">
      <w:pPr>
        <w:pStyle w:val="BodyText"/>
        <w:spacing w:before="154"/>
        <w:ind w:left="1931" w:right="148" w:hanging="2"/>
      </w:pPr>
      <w:r>
        <w:rPr>
          <w:color w:val="3D3D3D"/>
        </w:rPr>
        <w:t>Employment, upgrading, demotion, or transfer; recruitment or recruitment advertising; layoff or termination; rates of pay or other forms of compensation; and selection for training, including apprenticeship.</w:t>
      </w:r>
    </w:p>
    <w:p w14:paraId="129523E9" w14:textId="77777777" w:rsidR="001B7DB3" w:rsidRDefault="00C3243A" w:rsidP="00E93DA0">
      <w:pPr>
        <w:pStyle w:val="ListParagraph"/>
        <w:numPr>
          <w:ilvl w:val="2"/>
          <w:numId w:val="2"/>
        </w:numPr>
        <w:tabs>
          <w:tab w:val="left" w:pos="1926"/>
        </w:tabs>
        <w:spacing w:before="157"/>
        <w:ind w:left="1926" w:right="127" w:hanging="357"/>
        <w:jc w:val="both"/>
        <w:rPr>
          <w:color w:val="3D3D3D"/>
          <w:sz w:val="24"/>
        </w:rPr>
      </w:pPr>
      <w:r>
        <w:rPr>
          <w:color w:val="0C0C0C"/>
          <w:sz w:val="24"/>
        </w:rPr>
        <w:t xml:space="preserve">The contractor agrees to post in conspicuous places, available to employees and applicants for employment, notices to be provided setting forth the provisions of this nondiscrimination clause. </w:t>
      </w:r>
      <w:r>
        <w:rPr>
          <w:color w:val="3D3D3D"/>
          <w:sz w:val="24"/>
        </w:rPr>
        <w:t>which includes that all qualified applicants will receive consideration for employment without regard to race, color, religion, sex, sexual orientation, gender identity, or national origin.</w:t>
      </w:r>
    </w:p>
    <w:p w14:paraId="129523EA" w14:textId="77777777" w:rsidR="001B7DB3" w:rsidRDefault="00C3243A" w:rsidP="00E93DA0">
      <w:pPr>
        <w:pStyle w:val="ListParagraph"/>
        <w:numPr>
          <w:ilvl w:val="2"/>
          <w:numId w:val="2"/>
        </w:numPr>
        <w:tabs>
          <w:tab w:val="left" w:pos="1926"/>
        </w:tabs>
        <w:spacing w:before="149"/>
        <w:ind w:left="1926" w:right="121"/>
        <w:jc w:val="both"/>
        <w:rPr>
          <w:color w:val="3D3D3D"/>
          <w:sz w:val="24"/>
        </w:rPr>
      </w:pPr>
      <w:r>
        <w:rPr>
          <w:color w:val="0C0C0C"/>
          <w:sz w:val="24"/>
        </w:rPr>
        <w:t xml:space="preserve">The contractor will not discharge or discriminate against any employee or applicant for employment because they inquired about, discussed, or disclosed the compensation of the employee or applicant or another employee or applicant. </w:t>
      </w:r>
      <w:r>
        <w:rPr>
          <w:color w:val="3D3D3D"/>
          <w:sz w:val="24"/>
        </w:rPr>
        <w:t>This does not apply to instances in which an employee who has access to the compensation as part of the employee's essential job function discloses the compensation to individuals who do not otherwise have access to such information, unless such disclosure is in response to a formal complaint or charge, in furtherance of an investigation, proceeding, hearing, or action, including an investigation conducted by the employer, or is consistent with the contractor's legal duty to furnish information.</w:t>
      </w:r>
    </w:p>
    <w:p w14:paraId="129523EB" w14:textId="77777777" w:rsidR="001B7DB3" w:rsidRDefault="00C3243A" w:rsidP="00E93DA0">
      <w:pPr>
        <w:pStyle w:val="ListParagraph"/>
        <w:numPr>
          <w:ilvl w:val="2"/>
          <w:numId w:val="2"/>
        </w:numPr>
        <w:tabs>
          <w:tab w:val="left" w:pos="1925"/>
          <w:tab w:val="left" w:pos="1928"/>
        </w:tabs>
        <w:spacing w:before="157"/>
        <w:ind w:left="1928" w:right="123" w:hanging="363"/>
        <w:jc w:val="both"/>
        <w:rPr>
          <w:color w:val="3D3D3D"/>
          <w:sz w:val="24"/>
        </w:rPr>
      </w:pPr>
      <w:r>
        <w:rPr>
          <w:color w:val="0C0C0C"/>
          <w:sz w:val="24"/>
        </w:rPr>
        <w:t>The contractor will send to each labor union or representative of workers with which a collective bargaining agreement is in place or other contract or understanding, a notice to be provided advising the contractor's commitments under this section and shall post copies of the notice in conspicuous places available to employees and applicants for employment.</w:t>
      </w:r>
    </w:p>
    <w:p w14:paraId="129523EC" w14:textId="77777777" w:rsidR="001B7DB3" w:rsidRDefault="001B7DB3" w:rsidP="00E93DA0">
      <w:pPr>
        <w:pStyle w:val="BodyText"/>
        <w:spacing w:before="132"/>
      </w:pPr>
    </w:p>
    <w:p w14:paraId="129523ED" w14:textId="77777777" w:rsidR="001B7DB3" w:rsidRDefault="00C3243A" w:rsidP="00E93DA0">
      <w:pPr>
        <w:pStyle w:val="ListParagraph"/>
        <w:numPr>
          <w:ilvl w:val="1"/>
          <w:numId w:val="2"/>
        </w:numPr>
        <w:tabs>
          <w:tab w:val="left" w:pos="1565"/>
        </w:tabs>
        <w:ind w:right="516" w:hanging="722"/>
        <w:jc w:val="both"/>
        <w:rPr>
          <w:sz w:val="24"/>
        </w:rPr>
      </w:pPr>
      <w:r>
        <w:rPr>
          <w:b/>
          <w:color w:val="0C0C0C"/>
          <w:sz w:val="24"/>
        </w:rPr>
        <w:t xml:space="preserve">Title VI of the Civil Rights Act of 1964 </w:t>
      </w:r>
      <w:r>
        <w:rPr>
          <w:color w:val="0C0C0C"/>
          <w:sz w:val="24"/>
        </w:rPr>
        <w:t xml:space="preserve">(42 U.S.C. §§ 2000d, </w:t>
      </w:r>
      <w:r>
        <w:rPr>
          <w:i/>
          <w:color w:val="0C0C0C"/>
          <w:sz w:val="24"/>
        </w:rPr>
        <w:t xml:space="preserve">et seq.) </w:t>
      </w:r>
      <w:r>
        <w:rPr>
          <w:color w:val="0C0C0C"/>
          <w:sz w:val="24"/>
        </w:rPr>
        <w:t>and Treasury's implementing regulations at 31 C.F.R. Part 22, which prohibits discrimination on the basis of race, color, or national origin under programs or activities receiving Federal financial assistance.</w:t>
      </w:r>
    </w:p>
    <w:p w14:paraId="129523EE" w14:textId="77777777" w:rsidR="001B7DB3" w:rsidRDefault="00C3243A" w:rsidP="00E93DA0">
      <w:pPr>
        <w:pStyle w:val="ListParagraph"/>
        <w:numPr>
          <w:ilvl w:val="1"/>
          <w:numId w:val="2"/>
        </w:numPr>
        <w:tabs>
          <w:tab w:val="left" w:pos="1562"/>
          <w:tab w:val="left" w:pos="1564"/>
        </w:tabs>
        <w:spacing w:before="232"/>
        <w:ind w:left="1564" w:right="630" w:hanging="721"/>
        <w:jc w:val="both"/>
        <w:rPr>
          <w:sz w:val="24"/>
        </w:rPr>
      </w:pPr>
      <w:r>
        <w:rPr>
          <w:b/>
          <w:color w:val="0C0C0C"/>
          <w:sz w:val="24"/>
        </w:rPr>
        <w:t xml:space="preserve">Fair Housing Act, Title VIII of the Civil Rights Act of 1968 </w:t>
      </w:r>
      <w:r>
        <w:rPr>
          <w:color w:val="0C0C0C"/>
          <w:sz w:val="24"/>
        </w:rPr>
        <w:t xml:space="preserve">(42 U.S.C. §§ 3601, </w:t>
      </w:r>
      <w:r>
        <w:rPr>
          <w:i/>
          <w:color w:val="0C0C0C"/>
          <w:sz w:val="24"/>
        </w:rPr>
        <w:t xml:space="preserve">et seq.), </w:t>
      </w:r>
      <w:r>
        <w:rPr>
          <w:color w:val="0C0C0C"/>
          <w:sz w:val="24"/>
        </w:rPr>
        <w:t>which prohibits discrimination in housing on the basis of race, color, religion, national origin, sex, familial status, or disability.</w:t>
      </w:r>
    </w:p>
    <w:p w14:paraId="129523EF" w14:textId="77777777" w:rsidR="001B7DB3" w:rsidRDefault="001B7DB3">
      <w:pPr>
        <w:jc w:val="both"/>
        <w:rPr>
          <w:sz w:val="24"/>
        </w:rPr>
        <w:sectPr w:rsidR="001B7DB3">
          <w:pgSz w:w="12240" w:h="15840"/>
          <w:pgMar w:top="1340" w:right="1280" w:bottom="1220" w:left="1320" w:header="0" w:footer="1024" w:gutter="0"/>
          <w:cols w:space="720"/>
        </w:sectPr>
      </w:pPr>
    </w:p>
    <w:p w14:paraId="129523F0" w14:textId="77777777" w:rsidR="001B7DB3" w:rsidRDefault="00C3243A" w:rsidP="00E93DA0">
      <w:pPr>
        <w:pStyle w:val="ListParagraph"/>
        <w:numPr>
          <w:ilvl w:val="1"/>
          <w:numId w:val="2"/>
        </w:numPr>
        <w:tabs>
          <w:tab w:val="left" w:pos="1565"/>
        </w:tabs>
        <w:spacing w:before="74"/>
        <w:ind w:right="437" w:hanging="722"/>
        <w:jc w:val="both"/>
        <w:rPr>
          <w:sz w:val="24"/>
        </w:rPr>
      </w:pPr>
      <w:r>
        <w:rPr>
          <w:b/>
          <w:color w:val="0C0C0C"/>
          <w:sz w:val="24"/>
        </w:rPr>
        <w:lastRenderedPageBreak/>
        <w:t xml:space="preserve">Section 504 of the Rehabilitation Act of 1973, </w:t>
      </w:r>
      <w:r>
        <w:rPr>
          <w:color w:val="0C0C0C"/>
          <w:sz w:val="24"/>
        </w:rPr>
        <w:t>as amended (29 U.S.C. § 794), which prohibits discrimination on the basis of disability under any program or activity receiving federal financial assistance.</w:t>
      </w:r>
    </w:p>
    <w:p w14:paraId="129523F1" w14:textId="77777777" w:rsidR="001B7DB3" w:rsidRDefault="001B7DB3" w:rsidP="00E93DA0">
      <w:pPr>
        <w:pStyle w:val="BodyText"/>
        <w:spacing w:before="2"/>
      </w:pPr>
    </w:p>
    <w:p w14:paraId="129523F2" w14:textId="77777777" w:rsidR="001B7DB3" w:rsidRDefault="00C3243A" w:rsidP="00E93DA0">
      <w:pPr>
        <w:pStyle w:val="ListParagraph"/>
        <w:numPr>
          <w:ilvl w:val="1"/>
          <w:numId w:val="2"/>
        </w:numPr>
        <w:tabs>
          <w:tab w:val="left" w:pos="1564"/>
          <w:tab w:val="left" w:pos="1567"/>
        </w:tabs>
        <w:ind w:left="1564" w:right="397" w:hanging="721"/>
        <w:jc w:val="both"/>
        <w:rPr>
          <w:sz w:val="24"/>
        </w:rPr>
      </w:pPr>
      <w:r>
        <w:rPr>
          <w:b/>
          <w:color w:val="0C0C0C"/>
          <w:sz w:val="24"/>
        </w:rPr>
        <w:tab/>
        <w:t xml:space="preserve">Age Discrimination Act of 1975, </w:t>
      </w:r>
      <w:r>
        <w:rPr>
          <w:color w:val="0C0C0C"/>
          <w:sz w:val="24"/>
        </w:rPr>
        <w:t xml:space="preserve">as amended (42 U.S.C. §§ 6101, </w:t>
      </w:r>
      <w:r>
        <w:rPr>
          <w:i/>
          <w:color w:val="0C0C0C"/>
          <w:sz w:val="24"/>
        </w:rPr>
        <w:t xml:space="preserve">et seq.), </w:t>
      </w:r>
      <w:r>
        <w:rPr>
          <w:color w:val="0C0C0C"/>
          <w:sz w:val="24"/>
        </w:rPr>
        <w:t>and Treasury's implementing regulations at 31 C.F.R. Part 23, which prohibit discrimination on the basis of age in programs or activities receiving federal financial assistance.</w:t>
      </w:r>
    </w:p>
    <w:p w14:paraId="129523F3" w14:textId="77777777" w:rsidR="001B7DB3" w:rsidRDefault="00C3243A" w:rsidP="00E93DA0">
      <w:pPr>
        <w:pStyle w:val="ListParagraph"/>
        <w:numPr>
          <w:ilvl w:val="1"/>
          <w:numId w:val="2"/>
        </w:numPr>
        <w:tabs>
          <w:tab w:val="left" w:pos="1565"/>
        </w:tabs>
        <w:spacing w:before="232"/>
        <w:ind w:hanging="721"/>
        <w:jc w:val="both"/>
        <w:rPr>
          <w:sz w:val="24"/>
        </w:rPr>
      </w:pPr>
      <w:r>
        <w:rPr>
          <w:b/>
          <w:color w:val="0C0C0C"/>
          <w:sz w:val="24"/>
        </w:rPr>
        <w:t xml:space="preserve">Title </w:t>
      </w:r>
      <w:r>
        <w:rPr>
          <w:color w:val="0C0C0C"/>
          <w:sz w:val="24"/>
        </w:rPr>
        <w:t xml:space="preserve">II </w:t>
      </w:r>
      <w:r>
        <w:rPr>
          <w:b/>
          <w:color w:val="0C0C0C"/>
          <w:sz w:val="24"/>
        </w:rPr>
        <w:t xml:space="preserve">of the Americans with Disabilities Act of 1990, </w:t>
      </w:r>
      <w:r>
        <w:rPr>
          <w:color w:val="0C0C0C"/>
          <w:sz w:val="24"/>
        </w:rPr>
        <w:t>as amended (42 U.S.C.</w:t>
      </w:r>
    </w:p>
    <w:p w14:paraId="129523F4" w14:textId="77777777" w:rsidR="001B7DB3" w:rsidRDefault="00C3243A" w:rsidP="00E93DA0">
      <w:pPr>
        <w:pStyle w:val="BodyText"/>
        <w:spacing w:before="3"/>
        <w:ind w:left="1566" w:hanging="2"/>
      </w:pPr>
      <w:r>
        <w:rPr>
          <w:color w:val="0C0C0C"/>
        </w:rPr>
        <w:t xml:space="preserve">§§ 12101, </w:t>
      </w:r>
      <w:r>
        <w:rPr>
          <w:i/>
          <w:color w:val="0C0C0C"/>
        </w:rPr>
        <w:t xml:space="preserve">et seq.), </w:t>
      </w:r>
      <w:r>
        <w:rPr>
          <w:color w:val="0C0C0C"/>
        </w:rPr>
        <w:t>which prohibits discrimination on the basis of disability under programs, activities, and services provided or made available by state and local governments or instrumentalities or agencies thereto.</w:t>
      </w:r>
    </w:p>
    <w:p w14:paraId="129523F5" w14:textId="77777777" w:rsidR="001B7DB3" w:rsidRDefault="00C3243A" w:rsidP="00E93DA0">
      <w:pPr>
        <w:pStyle w:val="ListParagraph"/>
        <w:numPr>
          <w:ilvl w:val="1"/>
          <w:numId w:val="2"/>
        </w:numPr>
        <w:tabs>
          <w:tab w:val="left" w:pos="1565"/>
        </w:tabs>
        <w:spacing w:before="229"/>
        <w:ind w:right="121" w:hanging="722"/>
        <w:jc w:val="both"/>
        <w:rPr>
          <w:sz w:val="24"/>
        </w:rPr>
      </w:pPr>
      <w:r>
        <w:rPr>
          <w:b/>
          <w:color w:val="0C0C0C"/>
          <w:sz w:val="24"/>
        </w:rPr>
        <w:t xml:space="preserve">Protections for Whistleblowers. </w:t>
      </w:r>
      <w:r>
        <w:rPr>
          <w:color w:val="0C0C0C"/>
          <w:sz w:val="24"/>
        </w:rPr>
        <w:t>In accordance with 41 U.S.C. § 4712, the Parties may not discharge, demote, or otherwise discriminate against an employee in reprisal for disclosing to any of the list of persons or entities provided below, information that the employee reasonably believes is evidence of gross mismanagement of a federal contract or grant, a gross waste of federal funds, an abuse of authority relating to a federal contract or grant, a substantial and specific danger to public health or safety, or a violation of law, rule, or regulation related to a federal contract (including the competition for or negotiation of a contract) or grant. The list of persons and entities referenced includes the following:</w:t>
      </w:r>
    </w:p>
    <w:p w14:paraId="129523F6" w14:textId="77777777" w:rsidR="001B7DB3" w:rsidRDefault="00C3243A" w:rsidP="00E93DA0">
      <w:pPr>
        <w:pStyle w:val="ListParagraph"/>
        <w:numPr>
          <w:ilvl w:val="2"/>
          <w:numId w:val="2"/>
        </w:numPr>
        <w:tabs>
          <w:tab w:val="left" w:pos="1926"/>
        </w:tabs>
        <w:spacing w:before="145"/>
        <w:ind w:left="1926"/>
        <w:jc w:val="both"/>
        <w:rPr>
          <w:color w:val="0C0C0C"/>
          <w:sz w:val="24"/>
        </w:rPr>
      </w:pPr>
      <w:r>
        <w:rPr>
          <w:color w:val="0C0C0C"/>
          <w:sz w:val="24"/>
        </w:rPr>
        <w:t>A member of Congress or a representative of a committee of Congress;</w:t>
      </w:r>
    </w:p>
    <w:p w14:paraId="129523F7" w14:textId="77777777" w:rsidR="001B7DB3" w:rsidRDefault="00C3243A" w:rsidP="00E93DA0">
      <w:pPr>
        <w:pStyle w:val="ListParagraph"/>
        <w:numPr>
          <w:ilvl w:val="2"/>
          <w:numId w:val="2"/>
        </w:numPr>
        <w:tabs>
          <w:tab w:val="left" w:pos="1927"/>
        </w:tabs>
        <w:spacing w:before="137"/>
        <w:ind w:left="1927" w:hanging="362"/>
        <w:jc w:val="both"/>
        <w:rPr>
          <w:color w:val="0C0C0C"/>
          <w:sz w:val="24"/>
        </w:rPr>
      </w:pPr>
      <w:r>
        <w:rPr>
          <w:color w:val="0C0C0C"/>
          <w:sz w:val="24"/>
        </w:rPr>
        <w:t>An Inspector General;</w:t>
      </w:r>
    </w:p>
    <w:p w14:paraId="129523F8" w14:textId="77777777" w:rsidR="001B7DB3" w:rsidRDefault="00C3243A" w:rsidP="00E93DA0">
      <w:pPr>
        <w:pStyle w:val="ListParagraph"/>
        <w:numPr>
          <w:ilvl w:val="2"/>
          <w:numId w:val="2"/>
        </w:numPr>
        <w:tabs>
          <w:tab w:val="left" w:pos="1925"/>
        </w:tabs>
        <w:spacing w:before="143"/>
        <w:ind w:left="1925" w:hanging="360"/>
        <w:jc w:val="both"/>
        <w:rPr>
          <w:color w:val="0C0C0C"/>
          <w:sz w:val="24"/>
        </w:rPr>
      </w:pPr>
      <w:r>
        <w:rPr>
          <w:color w:val="0C0C0C"/>
          <w:sz w:val="24"/>
        </w:rPr>
        <w:t>The Government Accountability Office;</w:t>
      </w:r>
    </w:p>
    <w:p w14:paraId="129523F9" w14:textId="77777777" w:rsidR="001B7DB3" w:rsidRDefault="00C3243A" w:rsidP="00E93DA0">
      <w:pPr>
        <w:pStyle w:val="ListParagraph"/>
        <w:numPr>
          <w:ilvl w:val="2"/>
          <w:numId w:val="2"/>
        </w:numPr>
        <w:tabs>
          <w:tab w:val="left" w:pos="1926"/>
          <w:tab w:val="left" w:pos="1932"/>
        </w:tabs>
        <w:spacing w:before="137" w:line="242" w:lineRule="auto"/>
        <w:ind w:left="1932" w:right="127" w:hanging="367"/>
        <w:jc w:val="both"/>
        <w:rPr>
          <w:color w:val="0C0C0C"/>
          <w:sz w:val="24"/>
        </w:rPr>
      </w:pPr>
      <w:r>
        <w:rPr>
          <w:color w:val="0C0C0C"/>
          <w:sz w:val="24"/>
        </w:rPr>
        <w:t>A Treasury employee responsible for contract or grant oversight or management;</w:t>
      </w:r>
    </w:p>
    <w:p w14:paraId="129523FA" w14:textId="77777777" w:rsidR="001B7DB3" w:rsidRDefault="00C3243A" w:rsidP="00E93DA0">
      <w:pPr>
        <w:pStyle w:val="ListParagraph"/>
        <w:numPr>
          <w:ilvl w:val="2"/>
          <w:numId w:val="2"/>
        </w:numPr>
        <w:tabs>
          <w:tab w:val="left" w:pos="1927"/>
          <w:tab w:val="left" w:pos="1931"/>
        </w:tabs>
        <w:spacing w:before="134" w:line="242" w:lineRule="auto"/>
        <w:ind w:left="1931" w:right="152" w:hanging="366"/>
        <w:jc w:val="both"/>
        <w:rPr>
          <w:color w:val="0C0C0C"/>
          <w:sz w:val="24"/>
        </w:rPr>
      </w:pPr>
      <w:r>
        <w:rPr>
          <w:color w:val="0C0C0C"/>
          <w:sz w:val="24"/>
        </w:rPr>
        <w:t>An authorized official of the Department of Justice or other law enforcement agency;</w:t>
      </w:r>
    </w:p>
    <w:p w14:paraId="129523FB" w14:textId="77777777" w:rsidR="001B7DB3" w:rsidRDefault="00C3243A" w:rsidP="00E93DA0">
      <w:pPr>
        <w:pStyle w:val="ListParagraph"/>
        <w:numPr>
          <w:ilvl w:val="2"/>
          <w:numId w:val="2"/>
        </w:numPr>
        <w:tabs>
          <w:tab w:val="left" w:pos="1926"/>
        </w:tabs>
        <w:spacing w:before="135"/>
        <w:ind w:left="1926" w:hanging="362"/>
        <w:jc w:val="both"/>
        <w:rPr>
          <w:color w:val="0C0C0C"/>
          <w:sz w:val="24"/>
        </w:rPr>
      </w:pPr>
      <w:r>
        <w:rPr>
          <w:color w:val="0C0C0C"/>
          <w:sz w:val="24"/>
        </w:rPr>
        <w:t>A court or grand jury; or</w:t>
      </w:r>
    </w:p>
    <w:p w14:paraId="129523FC" w14:textId="77777777" w:rsidR="001B7DB3" w:rsidRDefault="00C3243A" w:rsidP="00E93DA0">
      <w:pPr>
        <w:pStyle w:val="ListParagraph"/>
        <w:numPr>
          <w:ilvl w:val="2"/>
          <w:numId w:val="2"/>
        </w:numPr>
        <w:tabs>
          <w:tab w:val="left" w:pos="1927"/>
        </w:tabs>
        <w:spacing w:before="137" w:line="242" w:lineRule="auto"/>
        <w:ind w:left="1927" w:right="127"/>
        <w:jc w:val="both"/>
        <w:rPr>
          <w:color w:val="0C0C0C"/>
          <w:sz w:val="24"/>
        </w:rPr>
      </w:pPr>
      <w:r>
        <w:rPr>
          <w:color w:val="0C0C0C"/>
          <w:sz w:val="24"/>
        </w:rPr>
        <w:t>A management official or other employee of Recipient, contractor, or subcontractor who has the responsibility to investigate, discover, or address misconduct.</w:t>
      </w:r>
    </w:p>
    <w:p w14:paraId="129523FD" w14:textId="77777777" w:rsidR="001B7DB3" w:rsidRDefault="00C3243A">
      <w:pPr>
        <w:pStyle w:val="Heading1"/>
        <w:numPr>
          <w:ilvl w:val="0"/>
          <w:numId w:val="2"/>
        </w:numPr>
        <w:tabs>
          <w:tab w:val="left" w:pos="843"/>
        </w:tabs>
        <w:spacing w:before="274" w:line="275" w:lineRule="exact"/>
        <w:ind w:left="843" w:hanging="720"/>
      </w:pPr>
      <w:r>
        <w:rPr>
          <w:color w:val="0C0C0C"/>
        </w:rPr>
        <w:t>CONTRACT AND SUBCONTRACT LEVEL REQUIREMENTS.</w:t>
      </w:r>
    </w:p>
    <w:p w14:paraId="129523FE" w14:textId="77777777" w:rsidR="001B7DB3" w:rsidRDefault="00C3243A">
      <w:pPr>
        <w:pStyle w:val="BodyText"/>
        <w:spacing w:line="275" w:lineRule="exact"/>
        <w:ind w:left="842"/>
        <w:jc w:val="left"/>
      </w:pPr>
      <w:r>
        <w:rPr>
          <w:color w:val="0C0C0C"/>
        </w:rPr>
        <w:t>In addition to State procurement regulations, the following Federal regulations apply.</w:t>
      </w:r>
    </w:p>
    <w:p w14:paraId="129523FF" w14:textId="77777777" w:rsidR="001B7DB3" w:rsidRDefault="00C3243A" w:rsidP="00E93DA0">
      <w:pPr>
        <w:pStyle w:val="ListParagraph"/>
        <w:numPr>
          <w:ilvl w:val="1"/>
          <w:numId w:val="2"/>
        </w:numPr>
        <w:tabs>
          <w:tab w:val="left" w:pos="1563"/>
          <w:tab w:val="left" w:pos="1565"/>
        </w:tabs>
        <w:spacing w:before="234"/>
        <w:ind w:right="121"/>
        <w:jc w:val="both"/>
        <w:rPr>
          <w:sz w:val="24"/>
        </w:rPr>
      </w:pPr>
      <w:r>
        <w:rPr>
          <w:b/>
          <w:color w:val="0C0C0C"/>
          <w:sz w:val="24"/>
        </w:rPr>
        <w:t xml:space="preserve">Contracts and Purchases in Excess of $2,000. </w:t>
      </w:r>
      <w:r>
        <w:rPr>
          <w:color w:val="0C0C0C"/>
          <w:sz w:val="24"/>
        </w:rPr>
        <w:t>The following applies to contractors and subcontractors performing on Federal funded or assisted contracts in excess of $2,000 for the construction, alteration, or repair (including painting and decorating) of public buildings or public works, and requires that Supplier must comply with two sets of regulations:</w:t>
      </w:r>
    </w:p>
    <w:p w14:paraId="12952400" w14:textId="77777777" w:rsidR="001B7DB3" w:rsidRDefault="001B7DB3">
      <w:pPr>
        <w:jc w:val="both"/>
        <w:rPr>
          <w:sz w:val="24"/>
        </w:rPr>
        <w:sectPr w:rsidR="001B7DB3">
          <w:pgSz w:w="12240" w:h="15840"/>
          <w:pgMar w:top="1340" w:right="1280" w:bottom="1220" w:left="1320" w:header="0" w:footer="1024" w:gutter="0"/>
          <w:cols w:space="720"/>
        </w:sectPr>
      </w:pPr>
    </w:p>
    <w:p w14:paraId="12952401" w14:textId="77777777" w:rsidR="001B7DB3" w:rsidRDefault="00C3243A">
      <w:pPr>
        <w:pStyle w:val="ListParagraph"/>
        <w:numPr>
          <w:ilvl w:val="2"/>
          <w:numId w:val="2"/>
        </w:numPr>
        <w:tabs>
          <w:tab w:val="left" w:pos="1924"/>
          <w:tab w:val="left" w:pos="1926"/>
        </w:tabs>
        <w:spacing w:before="65"/>
        <w:ind w:left="1926" w:right="119" w:hanging="356"/>
        <w:jc w:val="both"/>
        <w:rPr>
          <w:color w:val="0C0C0C"/>
          <w:sz w:val="24"/>
        </w:rPr>
      </w:pPr>
      <w:r>
        <w:rPr>
          <w:b/>
          <w:color w:val="0C0C0C"/>
          <w:sz w:val="24"/>
        </w:rPr>
        <w:lastRenderedPageBreak/>
        <w:t xml:space="preserve">The Davis-Bacon Act (40 U.S.C. </w:t>
      </w:r>
      <w:r>
        <w:rPr>
          <w:color w:val="0C0C0C"/>
          <w:sz w:val="25"/>
        </w:rPr>
        <w:t xml:space="preserve">§§ </w:t>
      </w:r>
      <w:r>
        <w:rPr>
          <w:b/>
          <w:color w:val="0C0C0C"/>
          <w:sz w:val="24"/>
        </w:rPr>
        <w:t xml:space="preserve">3141-3144, and 3146-3148) </w:t>
      </w:r>
      <w:r>
        <w:rPr>
          <w:color w:val="0C0C0C"/>
          <w:sz w:val="24"/>
        </w:rPr>
        <w:t xml:space="preserve">as </w:t>
      </w:r>
      <w:r>
        <w:rPr>
          <w:color w:val="1D1D1D"/>
          <w:sz w:val="24"/>
        </w:rPr>
        <w:t xml:space="preserve">supplemented </w:t>
      </w:r>
      <w:r>
        <w:rPr>
          <w:color w:val="0C0C0C"/>
          <w:sz w:val="24"/>
        </w:rPr>
        <w:t xml:space="preserve">by Department of Labor regulations (29 CFR Part 5, "Labor Standards Provisions Applicable to Contracts Covering </w:t>
      </w:r>
      <w:r>
        <w:rPr>
          <w:color w:val="1D1D1D"/>
          <w:sz w:val="24"/>
        </w:rPr>
        <w:t xml:space="preserve">Federally Financed </w:t>
      </w:r>
      <w:r>
        <w:rPr>
          <w:color w:val="0C0C0C"/>
          <w:sz w:val="24"/>
        </w:rPr>
        <w:t xml:space="preserve">and Assisted Construction"). When applicable, contractors must be required to pay wages to laborers and mechanics at a rate not less than the prevailing wages specified in a wage determination made by the Secretary of Labor. In addition, contractors must be required to pay wages not less than once a week. The non­ Federal entity must place a copy of the current prevailing wage determination issued by the Department of Labor in each solicitation. The decision to award a contract or subcontract must be conditioned upon the acceptance of the wage determination. The non-Federal entity must report all suspected or reported violations to the </w:t>
      </w:r>
      <w:r>
        <w:rPr>
          <w:color w:val="1D1D1D"/>
          <w:sz w:val="24"/>
        </w:rPr>
        <w:t xml:space="preserve">Federal </w:t>
      </w:r>
      <w:r>
        <w:rPr>
          <w:color w:val="0C0C0C"/>
          <w:sz w:val="24"/>
        </w:rPr>
        <w:t>awarding agency.</w:t>
      </w:r>
    </w:p>
    <w:p w14:paraId="12952402" w14:textId="77777777" w:rsidR="001B7DB3" w:rsidRDefault="00C3243A">
      <w:pPr>
        <w:pStyle w:val="ListParagraph"/>
        <w:numPr>
          <w:ilvl w:val="2"/>
          <w:numId w:val="2"/>
        </w:numPr>
        <w:tabs>
          <w:tab w:val="left" w:pos="1926"/>
          <w:tab w:val="left" w:pos="1928"/>
        </w:tabs>
        <w:spacing w:before="132"/>
        <w:ind w:left="1926" w:right="121" w:hanging="357"/>
        <w:jc w:val="both"/>
        <w:rPr>
          <w:color w:val="0C0C0C"/>
          <w:sz w:val="24"/>
        </w:rPr>
      </w:pPr>
      <w:r>
        <w:rPr>
          <w:color w:val="0C0C0C"/>
          <w:sz w:val="24"/>
        </w:rPr>
        <w:tab/>
      </w:r>
      <w:r>
        <w:rPr>
          <w:b/>
          <w:color w:val="0C0C0C"/>
          <w:sz w:val="24"/>
        </w:rPr>
        <w:t xml:space="preserve">Copeland "Anti-Kickback" Act (40 U.S.C. </w:t>
      </w:r>
      <w:r>
        <w:rPr>
          <w:color w:val="0C0C0C"/>
          <w:sz w:val="25"/>
        </w:rPr>
        <w:t xml:space="preserve">§ </w:t>
      </w:r>
      <w:r>
        <w:rPr>
          <w:b/>
          <w:color w:val="0C0C0C"/>
          <w:sz w:val="24"/>
        </w:rPr>
        <w:t xml:space="preserve">3145), </w:t>
      </w:r>
      <w:r>
        <w:rPr>
          <w:color w:val="0C0C0C"/>
          <w:sz w:val="24"/>
        </w:rPr>
        <w:t>as supplemented by Department of Labor regulations (29 CFR Part 3, "Contractors and Subcontractors on Public Building or Public Work Financed in Whole or in Part by Loans or Grants from the United States"). The Act provides that each contractor or subrecipient must be prohibited from inducing, by any means, any person employed in the construction, completion, or repair of public work, to give up any part of the compensation to which he or she is otherwise entitled. The non-Federal entity must report all suspected or reported violations to the Federal awarding agency.</w:t>
      </w:r>
    </w:p>
    <w:p w14:paraId="12952403" w14:textId="77777777" w:rsidR="001B7DB3" w:rsidRDefault="00C3243A">
      <w:pPr>
        <w:pStyle w:val="Heading2"/>
        <w:numPr>
          <w:ilvl w:val="1"/>
          <w:numId w:val="2"/>
        </w:numPr>
        <w:tabs>
          <w:tab w:val="left" w:pos="1569"/>
        </w:tabs>
        <w:spacing w:before="234"/>
        <w:ind w:left="1569" w:hanging="725"/>
      </w:pPr>
      <w:r>
        <w:rPr>
          <w:color w:val="0C0C0C"/>
        </w:rPr>
        <w:t>Contracts and Purchases in Excess of $10,000.</w:t>
      </w:r>
    </w:p>
    <w:p w14:paraId="12952404" w14:textId="77777777" w:rsidR="001B7DB3" w:rsidRDefault="00C3243A">
      <w:pPr>
        <w:pStyle w:val="ListParagraph"/>
        <w:numPr>
          <w:ilvl w:val="2"/>
          <w:numId w:val="2"/>
        </w:numPr>
        <w:tabs>
          <w:tab w:val="left" w:pos="1926"/>
          <w:tab w:val="left" w:pos="1928"/>
        </w:tabs>
        <w:spacing w:before="143"/>
        <w:ind w:left="1926" w:right="124"/>
        <w:jc w:val="both"/>
        <w:rPr>
          <w:color w:val="0C0C0C"/>
          <w:sz w:val="24"/>
        </w:rPr>
      </w:pPr>
      <w:r>
        <w:rPr>
          <w:color w:val="0C0C0C"/>
          <w:sz w:val="24"/>
        </w:rPr>
        <w:tab/>
      </w:r>
      <w:r>
        <w:rPr>
          <w:b/>
          <w:color w:val="0C0C0C"/>
          <w:sz w:val="24"/>
        </w:rPr>
        <w:t xml:space="preserve">Recovered Materials. </w:t>
      </w:r>
      <w:r>
        <w:rPr>
          <w:color w:val="0C0C0C"/>
          <w:sz w:val="24"/>
        </w:rPr>
        <w:t xml:space="preserve">Any state agency or agency of a political subdivision of a state and its suppliers or contractors must comply with section 6002 of the Solid Waste Disposal Act, as amended by the Resource Conservation and Recovery Act. The requirements of Section 6002 include procuring only items designated in guidelines of the Environmental Protection Agency (EPA) at 40 CFR part 247 that contain the highest percentage of recovered materials practicable, consistent with maintaining a satisfactory level of competition, where the purchase price of the item exceeds $10,000 or the value of the quantity acquired during the preceding fiscal year exceeded </w:t>
      </w:r>
      <w:r>
        <w:rPr>
          <w:color w:val="1D1D1D"/>
          <w:sz w:val="24"/>
        </w:rPr>
        <w:t xml:space="preserve">$10,000; </w:t>
      </w:r>
      <w:r>
        <w:rPr>
          <w:color w:val="0C0C0C"/>
          <w:sz w:val="24"/>
        </w:rPr>
        <w:t>procuring solid waste management services in a manner that maximizes energy and resource recovery; and establishing an affirmative procurement program for procurement of recovered materials identified in the EPA guidelines.</w:t>
      </w:r>
    </w:p>
    <w:p w14:paraId="12952405" w14:textId="77777777" w:rsidR="001B7DB3" w:rsidRDefault="00C3243A">
      <w:pPr>
        <w:pStyle w:val="Heading2"/>
        <w:numPr>
          <w:ilvl w:val="1"/>
          <w:numId w:val="2"/>
        </w:numPr>
        <w:tabs>
          <w:tab w:val="left" w:pos="1569"/>
        </w:tabs>
        <w:spacing w:before="235"/>
        <w:ind w:left="1569" w:hanging="725"/>
      </w:pPr>
      <w:r>
        <w:rPr>
          <w:color w:val="0C0C0C"/>
        </w:rPr>
        <w:t>Contracts and Subcontracts for $25,000 and Above</w:t>
      </w:r>
    </w:p>
    <w:p w14:paraId="12952407" w14:textId="29141CA7" w:rsidR="001B7DB3" w:rsidRPr="00E93DA0" w:rsidRDefault="00C3243A" w:rsidP="00E93DA0">
      <w:pPr>
        <w:pStyle w:val="ListParagraph"/>
        <w:numPr>
          <w:ilvl w:val="2"/>
          <w:numId w:val="2"/>
        </w:numPr>
        <w:tabs>
          <w:tab w:val="left" w:pos="1924"/>
        </w:tabs>
        <w:spacing w:before="151" w:line="259" w:lineRule="auto"/>
        <w:ind w:left="1924" w:right="123" w:hanging="355"/>
        <w:jc w:val="both"/>
        <w:rPr>
          <w:sz w:val="24"/>
        </w:rPr>
        <w:sectPr w:rsidR="001B7DB3" w:rsidRPr="00E93DA0">
          <w:pgSz w:w="12240" w:h="15840"/>
          <w:pgMar w:top="1340" w:right="1280" w:bottom="1220" w:left="1320" w:header="0" w:footer="1024" w:gutter="0"/>
          <w:cols w:space="720"/>
        </w:sectPr>
      </w:pPr>
      <w:r w:rsidRPr="00E93DA0">
        <w:rPr>
          <w:b/>
          <w:color w:val="0C0C0C"/>
          <w:sz w:val="24"/>
        </w:rPr>
        <w:t xml:space="preserve">Suspension and Debarment. </w:t>
      </w:r>
      <w:r w:rsidRPr="00E93DA0">
        <w:rPr>
          <w:color w:val="0C0C0C"/>
          <w:sz w:val="24"/>
        </w:rPr>
        <w:t>Restricts awards, subawards, contracts, and subcontracts with Suppliers that are debarred, suspended, or otherwise excluded, or declared ineligible for participation in federal assistance programs and activities. This Contract is a covered transaction for purposes of 2 CFR pt. 180 and 2 CFR pt. 3000. As such, the Supplier is required to verify that none of Supplier's principals (defined at 2 CFR § 180.995) or its affiliates (defined at 2 CFR § 180.905) are excluded (defined at 2 CFR § 180.940) or disqualified (defined at 2 CFR § 180.935). The Supplier must comply with 2</w:t>
      </w:r>
      <w:r w:rsidR="00E93DA0" w:rsidRPr="00E93DA0">
        <w:rPr>
          <w:color w:val="0C0C0C"/>
          <w:sz w:val="24"/>
        </w:rPr>
        <w:t xml:space="preserve"> </w:t>
      </w:r>
      <w:r w:rsidRPr="00E93DA0">
        <w:rPr>
          <w:color w:val="0C0C0C"/>
          <w:sz w:val="24"/>
        </w:rPr>
        <w:t xml:space="preserve"> </w:t>
      </w:r>
    </w:p>
    <w:p w14:paraId="12952408" w14:textId="2A2D64D7" w:rsidR="001B7DB3" w:rsidRDefault="00E93DA0">
      <w:pPr>
        <w:pStyle w:val="BodyText"/>
        <w:spacing w:before="74" w:line="259" w:lineRule="auto"/>
        <w:ind w:left="1926" w:right="121" w:firstLine="1"/>
      </w:pPr>
      <w:r>
        <w:rPr>
          <w:color w:val="0C0C0C"/>
        </w:rPr>
        <w:lastRenderedPageBreak/>
        <w:t xml:space="preserve">CFR part 180, </w:t>
      </w:r>
      <w:r w:rsidR="00C3243A">
        <w:rPr>
          <w:color w:val="0C0C0C"/>
        </w:rPr>
        <w:t>subpart C and 2 CFR part 3000, subpart C, and must include a requirement to comply with these regulations in any lower tier covered transaction it enters into. This certification is a material representation of fact relied upon by the State of Oklahoma. If it is later determined that the Supplier did not comply with 2 CFR part 180, subpart C and 2 CFR pt. 3000, subpart C, in addition to remedies available to the State, the federal government may pursue available remedies, including but not limited to suspension and/or debarment.</w:t>
      </w:r>
    </w:p>
    <w:p w14:paraId="12952409" w14:textId="77777777" w:rsidR="001B7DB3" w:rsidRDefault="00C3243A">
      <w:pPr>
        <w:pStyle w:val="Heading2"/>
        <w:numPr>
          <w:ilvl w:val="1"/>
          <w:numId w:val="2"/>
        </w:numPr>
        <w:tabs>
          <w:tab w:val="left" w:pos="1563"/>
        </w:tabs>
        <w:spacing w:before="139"/>
        <w:ind w:left="1563"/>
        <w:jc w:val="both"/>
      </w:pPr>
      <w:r>
        <w:rPr>
          <w:color w:val="0C0C0C"/>
        </w:rPr>
        <w:t>Contracts and Purchases $100,000 and Above</w:t>
      </w:r>
    </w:p>
    <w:p w14:paraId="1295240A" w14:textId="77777777" w:rsidR="001B7DB3" w:rsidRDefault="00C3243A">
      <w:pPr>
        <w:pStyle w:val="ListParagraph"/>
        <w:numPr>
          <w:ilvl w:val="2"/>
          <w:numId w:val="2"/>
        </w:numPr>
        <w:tabs>
          <w:tab w:val="left" w:pos="1926"/>
          <w:tab w:val="left" w:pos="1928"/>
        </w:tabs>
        <w:spacing w:before="142"/>
        <w:ind w:left="1926" w:right="119" w:hanging="362"/>
        <w:jc w:val="both"/>
        <w:rPr>
          <w:color w:val="0C0C0C"/>
          <w:sz w:val="24"/>
        </w:rPr>
      </w:pPr>
      <w:r>
        <w:rPr>
          <w:color w:val="0C0C0C"/>
          <w:sz w:val="24"/>
        </w:rPr>
        <w:tab/>
      </w:r>
      <w:r>
        <w:rPr>
          <w:b/>
          <w:color w:val="0C0C0C"/>
          <w:sz w:val="24"/>
        </w:rPr>
        <w:t xml:space="preserve">The Contract Work Hours and Safety Standards Act, </w:t>
      </w:r>
      <w:r>
        <w:rPr>
          <w:color w:val="0C0C0C"/>
          <w:sz w:val="24"/>
        </w:rPr>
        <w:t xml:space="preserve">40 U.S.C. §§ 3701- 3708. Applies to all contracts and subcontracts of more than $100,000 that involve the employment of mechanics or laborers. Under Section 3702 of the Act, contractors and subcontractors shall be required to compute the wages of every mechanic and laborer (including guards and watchmen) on the basis of a standard workweek of 40 hours. Work in excess of the standard workweek is permissible provided that the worker is compensated at a rate of not less than 1 1/2 times the basic rate of pay for all hours worked in excess of 40 hours in the workweek. The requirements of 40 U.S.C. § 3704 are applicable to construction work and provides that no laborer or mechanic shall be required to work in surroundings or under working conditions which are unsanitary, hazardous, or dangerous. </w:t>
      </w:r>
      <w:r>
        <w:rPr>
          <w:i/>
          <w:color w:val="0C0C0C"/>
          <w:sz w:val="24"/>
        </w:rPr>
        <w:t>These requirements do not apply to the purchases of supplies or materials or articles ordinarily available on the open market, or contracts for transportation or transmission of intelligence.</w:t>
      </w:r>
    </w:p>
    <w:p w14:paraId="1295240B" w14:textId="77777777" w:rsidR="001B7DB3" w:rsidRDefault="00C3243A">
      <w:pPr>
        <w:pStyle w:val="ListParagraph"/>
        <w:numPr>
          <w:ilvl w:val="2"/>
          <w:numId w:val="2"/>
        </w:numPr>
        <w:tabs>
          <w:tab w:val="left" w:pos="1926"/>
        </w:tabs>
        <w:spacing w:before="145"/>
        <w:ind w:left="1926" w:right="127" w:hanging="362"/>
        <w:jc w:val="both"/>
        <w:rPr>
          <w:color w:val="0C0C0C"/>
          <w:sz w:val="24"/>
        </w:rPr>
      </w:pPr>
      <w:r>
        <w:rPr>
          <w:b/>
          <w:color w:val="0C0C0C"/>
          <w:sz w:val="24"/>
        </w:rPr>
        <w:t xml:space="preserve">Byrd Anti-Lobbying Amendment, 31 U.S.C. </w:t>
      </w:r>
      <w:r>
        <w:rPr>
          <w:color w:val="0C0C0C"/>
          <w:sz w:val="24"/>
        </w:rPr>
        <w:t xml:space="preserve">§ </w:t>
      </w:r>
      <w:r>
        <w:rPr>
          <w:b/>
          <w:color w:val="0C0C0C"/>
          <w:sz w:val="24"/>
        </w:rPr>
        <w:t xml:space="preserve">1352, as amended. </w:t>
      </w:r>
      <w:r>
        <w:rPr>
          <w:color w:val="0C0C0C"/>
          <w:sz w:val="24"/>
        </w:rPr>
        <w:t>Supplier certifies that it will not and has not used Federal appropriated funds to pay any person or organization for influencing or attempting to influence an officer or employee of any agency, a Member of Congress, officer or employee of Congress, or an employee of a Member of Congress in connection with obtaining any Federal contract, grant, or any other award covered by 31 U.S.C.</w:t>
      </w:r>
    </w:p>
    <w:p w14:paraId="1295240C" w14:textId="77777777" w:rsidR="001B7DB3" w:rsidRDefault="00C3243A">
      <w:pPr>
        <w:pStyle w:val="BodyText"/>
        <w:spacing w:before="7"/>
        <w:ind w:left="1926" w:right="125" w:firstLine="4"/>
      </w:pPr>
      <w:r>
        <w:rPr>
          <w:color w:val="0C0C0C"/>
        </w:rPr>
        <w:t>§ 1352. This Supplier shall also disclose any lobbying with non-Federal funds that takes place in connection with obtaining any Federal award and require any entities receiving subawards or contracts to do the same. Such disclosures are forwarded from tier-to-tier up to the recipient who in tum will forward the certification(s) to the awarding agency.</w:t>
      </w:r>
    </w:p>
    <w:p w14:paraId="1295240D" w14:textId="77777777" w:rsidR="001B7DB3" w:rsidRDefault="00C3243A">
      <w:pPr>
        <w:spacing w:line="288" w:lineRule="exact"/>
        <w:ind w:left="1950"/>
        <w:jc w:val="both"/>
        <w:rPr>
          <w:b/>
          <w:i/>
          <w:sz w:val="23"/>
        </w:rPr>
      </w:pPr>
      <w:r>
        <w:rPr>
          <w:rFonts w:ascii="Arial"/>
          <w:color w:val="0C0C0C"/>
          <w:w w:val="105"/>
          <w:sz w:val="28"/>
        </w:rPr>
        <w:t xml:space="preserve">* </w:t>
      </w:r>
      <w:r>
        <w:rPr>
          <w:b/>
          <w:i/>
          <w:color w:val="0C0C0C"/>
          <w:w w:val="105"/>
          <w:sz w:val="23"/>
        </w:rPr>
        <w:t>Contractors must sign the attached certification.</w:t>
      </w:r>
    </w:p>
    <w:p w14:paraId="1295240E" w14:textId="77777777" w:rsidR="001B7DB3" w:rsidRDefault="00C3243A">
      <w:pPr>
        <w:pStyle w:val="Heading2"/>
        <w:numPr>
          <w:ilvl w:val="1"/>
          <w:numId w:val="2"/>
        </w:numPr>
        <w:tabs>
          <w:tab w:val="left" w:pos="1558"/>
        </w:tabs>
        <w:spacing w:before="221"/>
        <w:ind w:left="1558" w:hanging="714"/>
        <w:jc w:val="both"/>
      </w:pPr>
      <w:r>
        <w:rPr>
          <w:color w:val="0C0C0C"/>
        </w:rPr>
        <w:t>Contracts and Purchases $150,000 and Above</w:t>
      </w:r>
    </w:p>
    <w:p w14:paraId="12952410" w14:textId="522D4E2E" w:rsidR="001B7DB3" w:rsidRPr="00E93DA0" w:rsidRDefault="00C3243A" w:rsidP="00E93DA0">
      <w:pPr>
        <w:pStyle w:val="ListParagraph"/>
        <w:numPr>
          <w:ilvl w:val="2"/>
          <w:numId w:val="2"/>
        </w:numPr>
        <w:tabs>
          <w:tab w:val="left" w:pos="1926"/>
          <w:tab w:val="left" w:pos="1928"/>
        </w:tabs>
        <w:spacing w:before="137"/>
        <w:ind w:left="1926" w:right="121" w:hanging="356"/>
        <w:jc w:val="both"/>
        <w:rPr>
          <w:sz w:val="24"/>
        </w:rPr>
        <w:sectPr w:rsidR="001B7DB3" w:rsidRPr="00E93DA0">
          <w:pgSz w:w="12240" w:h="15840"/>
          <w:pgMar w:top="1340" w:right="1280" w:bottom="1220" w:left="1320" w:header="0" w:footer="1024" w:gutter="0"/>
          <w:cols w:space="720"/>
        </w:sectPr>
      </w:pPr>
      <w:r w:rsidRPr="00E93DA0">
        <w:rPr>
          <w:color w:val="0C0C0C"/>
          <w:sz w:val="24"/>
        </w:rPr>
        <w:tab/>
      </w:r>
      <w:r w:rsidRPr="00E93DA0">
        <w:rPr>
          <w:b/>
          <w:color w:val="0C0C0C"/>
          <w:sz w:val="24"/>
        </w:rPr>
        <w:t xml:space="preserve">Clean Air Act (42 U.S.C. </w:t>
      </w:r>
      <w:r w:rsidRPr="00E93DA0">
        <w:rPr>
          <w:color w:val="0C0C0C"/>
          <w:sz w:val="24"/>
        </w:rPr>
        <w:t xml:space="preserve">§§ </w:t>
      </w:r>
      <w:r w:rsidRPr="00E93DA0">
        <w:rPr>
          <w:b/>
          <w:color w:val="0C0C0C"/>
          <w:sz w:val="24"/>
        </w:rPr>
        <w:t xml:space="preserve">7401-7671q.) and the Federal Water Pollution Control Act (33 U.S.C. </w:t>
      </w:r>
      <w:r w:rsidRPr="00E93DA0">
        <w:rPr>
          <w:color w:val="0C0C0C"/>
          <w:sz w:val="24"/>
        </w:rPr>
        <w:t xml:space="preserve">§§ </w:t>
      </w:r>
      <w:r w:rsidRPr="00E93DA0">
        <w:rPr>
          <w:b/>
          <w:color w:val="0C0C0C"/>
          <w:sz w:val="24"/>
        </w:rPr>
        <w:t xml:space="preserve">1251-1387), as amended. </w:t>
      </w:r>
      <w:r w:rsidRPr="00E93DA0">
        <w:rPr>
          <w:color w:val="0C0C0C"/>
          <w:sz w:val="24"/>
        </w:rPr>
        <w:t xml:space="preserve">Supplier agrees to comply with, and require all subcontractors to comply with, all applicable standards, orders, or regulations issued pursuant to these Acts. Supplier agrees to report each violation to the State entity that is party to this Contract and understands and agrees that the State entity will, in tum, report each violation as required to assure notification to the appropriate Environmental Protection </w:t>
      </w:r>
    </w:p>
    <w:p w14:paraId="0B31254F" w14:textId="2B1162A8" w:rsidR="00E93DA0" w:rsidRPr="00E93DA0" w:rsidRDefault="00E93DA0" w:rsidP="00E93DA0">
      <w:pPr>
        <w:pStyle w:val="Heading2"/>
        <w:tabs>
          <w:tab w:val="left" w:pos="1553"/>
        </w:tabs>
        <w:ind w:left="2165"/>
        <w:rPr>
          <w:b w:val="0"/>
          <w:bCs w:val="0"/>
        </w:rPr>
      </w:pPr>
      <w:r w:rsidRPr="00E93DA0">
        <w:rPr>
          <w:b w:val="0"/>
          <w:bCs w:val="0"/>
        </w:rPr>
        <w:lastRenderedPageBreak/>
        <w:tab/>
      </w:r>
      <w:r>
        <w:rPr>
          <w:b w:val="0"/>
          <w:bCs w:val="0"/>
        </w:rPr>
        <w:t xml:space="preserve">      </w:t>
      </w:r>
      <w:r w:rsidRPr="00E93DA0">
        <w:rPr>
          <w:b w:val="0"/>
          <w:bCs w:val="0"/>
        </w:rPr>
        <w:t>Agency</w:t>
      </w:r>
      <w:r>
        <w:rPr>
          <w:b w:val="0"/>
          <w:bCs w:val="0"/>
        </w:rPr>
        <w:t>.</w:t>
      </w:r>
    </w:p>
    <w:p w14:paraId="12952411" w14:textId="2F1D1EBE" w:rsidR="001B7DB3" w:rsidRDefault="00C3243A">
      <w:pPr>
        <w:pStyle w:val="Heading2"/>
        <w:numPr>
          <w:ilvl w:val="1"/>
          <w:numId w:val="2"/>
        </w:numPr>
        <w:tabs>
          <w:tab w:val="left" w:pos="1553"/>
        </w:tabs>
        <w:ind w:left="1553" w:hanging="709"/>
        <w:jc w:val="both"/>
      </w:pPr>
      <w:r>
        <w:rPr>
          <w:color w:val="0C0C0C"/>
        </w:rPr>
        <w:t>Contracts and Purchases $250,000 and Above</w:t>
      </w:r>
    </w:p>
    <w:p w14:paraId="12952412" w14:textId="77777777" w:rsidR="001B7DB3" w:rsidRDefault="00C3243A">
      <w:pPr>
        <w:pStyle w:val="ListParagraph"/>
        <w:numPr>
          <w:ilvl w:val="2"/>
          <w:numId w:val="2"/>
        </w:numPr>
        <w:tabs>
          <w:tab w:val="left" w:pos="1926"/>
          <w:tab w:val="left" w:pos="1928"/>
        </w:tabs>
        <w:spacing w:before="137"/>
        <w:ind w:left="1926" w:right="127"/>
        <w:jc w:val="both"/>
        <w:rPr>
          <w:color w:val="0C0C0C"/>
          <w:sz w:val="24"/>
        </w:rPr>
      </w:pPr>
      <w:r>
        <w:rPr>
          <w:color w:val="0C0C0C"/>
          <w:sz w:val="24"/>
        </w:rPr>
        <w:tab/>
      </w:r>
      <w:r>
        <w:rPr>
          <w:b/>
          <w:color w:val="0C0C0C"/>
          <w:sz w:val="24"/>
        </w:rPr>
        <w:t xml:space="preserve">Remedies. </w:t>
      </w:r>
      <w:r>
        <w:rPr>
          <w:color w:val="0C0C0C"/>
          <w:sz w:val="24"/>
        </w:rPr>
        <w:t>Contracts for more than the simplified acqms1t10n threshold, currently set at $250,000, must address administrative, contractual, or legal remedies in instances where contractors violate or breach contract terms, and provide for such sanctions and penalties as appropriate.</w:t>
      </w:r>
    </w:p>
    <w:p w14:paraId="12952413" w14:textId="77777777" w:rsidR="001B7DB3" w:rsidRDefault="001B7DB3">
      <w:pPr>
        <w:pStyle w:val="BodyText"/>
        <w:spacing w:before="4"/>
        <w:jc w:val="left"/>
      </w:pPr>
    </w:p>
    <w:p w14:paraId="12952414" w14:textId="77777777" w:rsidR="001B7DB3" w:rsidRDefault="00C3243A">
      <w:pPr>
        <w:pStyle w:val="Heading1"/>
        <w:numPr>
          <w:ilvl w:val="0"/>
          <w:numId w:val="2"/>
        </w:numPr>
        <w:tabs>
          <w:tab w:val="left" w:pos="906"/>
        </w:tabs>
        <w:spacing w:before="1"/>
        <w:ind w:left="906" w:hanging="783"/>
      </w:pPr>
      <w:r>
        <w:rPr>
          <w:color w:val="0C0C0C"/>
        </w:rPr>
        <w:t>OTHER APPLICABLE LAWS</w:t>
      </w:r>
    </w:p>
    <w:p w14:paraId="12952415" w14:textId="77777777" w:rsidR="001B7DB3" w:rsidRDefault="00C3243A">
      <w:pPr>
        <w:pStyle w:val="ListParagraph"/>
        <w:numPr>
          <w:ilvl w:val="1"/>
          <w:numId w:val="2"/>
        </w:numPr>
        <w:tabs>
          <w:tab w:val="left" w:pos="1562"/>
          <w:tab w:val="left" w:pos="1565"/>
        </w:tabs>
        <w:spacing w:before="228"/>
        <w:ind w:right="132" w:hanging="722"/>
        <w:jc w:val="both"/>
        <w:rPr>
          <w:sz w:val="24"/>
        </w:rPr>
      </w:pPr>
      <w:r>
        <w:rPr>
          <w:b/>
          <w:color w:val="0C0C0C"/>
          <w:sz w:val="24"/>
        </w:rPr>
        <w:t xml:space="preserve">Increasing Seat Belt Use in the United States. </w:t>
      </w:r>
      <w:r>
        <w:rPr>
          <w:color w:val="0C0C0C"/>
          <w:sz w:val="24"/>
        </w:rPr>
        <w:t>Pursuant to Executive Order 13043, 62 FR 19217 (Apr. 18, 1997), Supplier is encouraged to adopt and enforce on-the-job seat belt policies and programs for employees when operating company­ owned, rented or personally owned vehicles</w:t>
      </w:r>
      <w:r>
        <w:rPr>
          <w:color w:val="3D3D3D"/>
          <w:sz w:val="24"/>
        </w:rPr>
        <w:t>.</w:t>
      </w:r>
    </w:p>
    <w:p w14:paraId="12952416" w14:textId="77777777" w:rsidR="001B7DB3" w:rsidRDefault="00C3243A">
      <w:pPr>
        <w:pStyle w:val="ListParagraph"/>
        <w:numPr>
          <w:ilvl w:val="1"/>
          <w:numId w:val="2"/>
        </w:numPr>
        <w:tabs>
          <w:tab w:val="left" w:pos="1563"/>
          <w:tab w:val="left" w:pos="1565"/>
        </w:tabs>
        <w:spacing w:before="232"/>
        <w:ind w:right="123" w:hanging="721"/>
        <w:jc w:val="both"/>
        <w:rPr>
          <w:sz w:val="24"/>
        </w:rPr>
      </w:pPr>
      <w:r>
        <w:rPr>
          <w:b/>
          <w:color w:val="0C0C0C"/>
          <w:sz w:val="24"/>
        </w:rPr>
        <w:t xml:space="preserve">Reducing Text Messaging While Driving. </w:t>
      </w:r>
      <w:r>
        <w:rPr>
          <w:color w:val="0C0C0C"/>
          <w:sz w:val="24"/>
        </w:rPr>
        <w:t>Pursuant to Executive Order 13513, 74 FR 51225 (Oct. 6, 2009), Supplier is encouraged to adopt and enforce policies that ban text messaging while driving and establish workplace safety policies to decrease accidents caused by distracted drivers.</w:t>
      </w:r>
    </w:p>
    <w:p w14:paraId="12952417" w14:textId="77777777" w:rsidR="001B7DB3" w:rsidRDefault="00C3243A">
      <w:pPr>
        <w:pStyle w:val="ListParagraph"/>
        <w:numPr>
          <w:ilvl w:val="1"/>
          <w:numId w:val="2"/>
        </w:numPr>
        <w:tabs>
          <w:tab w:val="left" w:pos="1565"/>
          <w:tab w:val="left" w:pos="1567"/>
        </w:tabs>
        <w:spacing w:before="237"/>
        <w:ind w:right="127" w:hanging="721"/>
        <w:jc w:val="both"/>
        <w:rPr>
          <w:sz w:val="24"/>
        </w:rPr>
      </w:pPr>
      <w:r>
        <w:rPr>
          <w:b/>
          <w:color w:val="0C0C0C"/>
          <w:sz w:val="24"/>
        </w:rPr>
        <w:tab/>
        <w:t xml:space="preserve">Publications. </w:t>
      </w:r>
      <w:r>
        <w:rPr>
          <w:color w:val="0C0C0C"/>
          <w:sz w:val="24"/>
        </w:rPr>
        <w:t>Any publications produced with funds from a Federal award must display the following language: "This project [is being] [was] supported, in whole or in part, by federal award number [enter project FAIN] awarded to [name of Recipient] by the U.S. Department of the Treasury."</w:t>
      </w:r>
    </w:p>
    <w:p w14:paraId="12952418" w14:textId="77777777" w:rsidR="001B7DB3" w:rsidRDefault="00C3243A">
      <w:pPr>
        <w:pStyle w:val="ListParagraph"/>
        <w:numPr>
          <w:ilvl w:val="1"/>
          <w:numId w:val="2"/>
        </w:numPr>
        <w:tabs>
          <w:tab w:val="left" w:pos="1562"/>
          <w:tab w:val="left" w:pos="1564"/>
        </w:tabs>
        <w:spacing w:before="252"/>
        <w:ind w:left="1564" w:right="117" w:hanging="721"/>
        <w:jc w:val="both"/>
        <w:rPr>
          <w:sz w:val="24"/>
        </w:rPr>
      </w:pPr>
      <w:r>
        <w:rPr>
          <w:b/>
          <w:color w:val="3D3D3D"/>
          <w:sz w:val="24"/>
        </w:rPr>
        <w:t xml:space="preserve">Rights to Inventions Made Under a Contract or Agreement. </w:t>
      </w:r>
      <w:r>
        <w:rPr>
          <w:color w:val="3D3D3D"/>
          <w:sz w:val="24"/>
        </w:rPr>
        <w:t xml:space="preserve">If the Federal award meets the definition of "funding agreement" under </w:t>
      </w:r>
      <w:r>
        <w:rPr>
          <w:color w:val="0C0C0C"/>
          <w:sz w:val="24"/>
        </w:rPr>
        <w:t xml:space="preserve">37 CFR § 401.2 </w:t>
      </w:r>
      <w:r>
        <w:rPr>
          <w:color w:val="3D3D3D"/>
          <w:sz w:val="24"/>
        </w:rPr>
        <w:t xml:space="preserve">(a) and the recipient or subrecipient wishes to enter into a contract with a small business firm or nonprofit organization regarding the substitution of parties, assignment or performance of experimental, developmental, or research work under that "funding agreement," the recipient or subrecipient must comply with the requirements of </w:t>
      </w:r>
      <w:r>
        <w:rPr>
          <w:color w:val="0C0C0C"/>
          <w:sz w:val="24"/>
        </w:rPr>
        <w:t>37 CFR Part 401</w:t>
      </w:r>
      <w:r>
        <w:rPr>
          <w:color w:val="3D3D3D"/>
          <w:sz w:val="24"/>
        </w:rPr>
        <w:t>, "Rights to Inventions Made by Nonprofit Organizations and Small Business Firms Under Government Grants, Contracts and Cooperative Agreements," and any implementing regulations issued by the awarding agency.</w:t>
      </w:r>
    </w:p>
    <w:p w14:paraId="12952419" w14:textId="77777777" w:rsidR="001B7DB3" w:rsidRDefault="00C3243A">
      <w:pPr>
        <w:pStyle w:val="BodyText"/>
        <w:spacing w:before="202"/>
        <w:ind w:left="2286" w:right="849" w:firstLine="1"/>
      </w:pPr>
      <w:r>
        <w:rPr>
          <w:color w:val="3D3D3D"/>
        </w:rPr>
        <w:t xml:space="preserve">The term </w:t>
      </w:r>
      <w:r>
        <w:rPr>
          <w:b/>
          <w:i/>
          <w:color w:val="3D3D3D"/>
        </w:rPr>
        <w:t xml:space="preserve">funding agreement </w:t>
      </w:r>
      <w:r>
        <w:rPr>
          <w:color w:val="3D3D3D"/>
        </w:rPr>
        <w:t xml:space="preserve">means any contract, grant, or cooperative agreement entered into between any Federal agency, other than the Tennessee Valley Authority, and any </w:t>
      </w:r>
      <w:r>
        <w:rPr>
          <w:color w:val="0C0C0C"/>
        </w:rPr>
        <w:t xml:space="preserve">contractor </w:t>
      </w:r>
      <w:r>
        <w:rPr>
          <w:color w:val="3D3D3D"/>
        </w:rPr>
        <w:t xml:space="preserve">for the performance of experimental, developmental, or research work funded in whole or in part by the Federal government. This term also includes any assignment, substitution of parties, or subcontract of any type entered into for the performance of experimental, developmental, or research work under a </w:t>
      </w:r>
      <w:r>
        <w:rPr>
          <w:color w:val="0C0C0C"/>
        </w:rPr>
        <w:t xml:space="preserve">funding agreement </w:t>
      </w:r>
      <w:r>
        <w:rPr>
          <w:color w:val="3D3D3D"/>
        </w:rPr>
        <w:t>as defined in the first sentence of this paragraph.</w:t>
      </w:r>
    </w:p>
    <w:p w14:paraId="1295241A" w14:textId="77777777" w:rsidR="001B7DB3" w:rsidRDefault="001B7DB3">
      <w:pPr>
        <w:sectPr w:rsidR="001B7DB3">
          <w:pgSz w:w="12240" w:h="15840"/>
          <w:pgMar w:top="1580" w:right="1280" w:bottom="1220" w:left="1320" w:header="0" w:footer="1024" w:gutter="0"/>
          <w:cols w:space="720"/>
        </w:sectPr>
      </w:pPr>
    </w:p>
    <w:p w14:paraId="1295241B" w14:textId="77777777" w:rsidR="001B7DB3" w:rsidRDefault="00C3243A">
      <w:pPr>
        <w:pStyle w:val="Heading2"/>
        <w:numPr>
          <w:ilvl w:val="1"/>
          <w:numId w:val="2"/>
        </w:numPr>
        <w:tabs>
          <w:tab w:val="left" w:pos="1568"/>
          <w:tab w:val="left" w:pos="1570"/>
        </w:tabs>
        <w:spacing w:before="77" w:line="237" w:lineRule="auto"/>
        <w:ind w:left="1570" w:right="138" w:hanging="726"/>
      </w:pPr>
      <w:r>
        <w:rPr>
          <w:color w:val="383838"/>
        </w:rPr>
        <w:lastRenderedPageBreak/>
        <w:t>Prohibition of Certain Telecommunications and Video Surveillance Services or Equipment.</w:t>
      </w:r>
    </w:p>
    <w:p w14:paraId="1295241C" w14:textId="77777777" w:rsidR="001B7DB3" w:rsidRDefault="001B7DB3">
      <w:pPr>
        <w:pStyle w:val="BodyText"/>
        <w:spacing w:before="1"/>
        <w:jc w:val="left"/>
        <w:rPr>
          <w:b/>
        </w:rPr>
      </w:pPr>
    </w:p>
    <w:p w14:paraId="1295241D" w14:textId="77777777" w:rsidR="001B7DB3" w:rsidRDefault="00C3243A">
      <w:pPr>
        <w:pStyle w:val="ListParagraph"/>
        <w:numPr>
          <w:ilvl w:val="2"/>
          <w:numId w:val="2"/>
        </w:numPr>
        <w:tabs>
          <w:tab w:val="left" w:pos="1926"/>
          <w:tab w:val="left" w:pos="1929"/>
        </w:tabs>
        <w:spacing w:before="1" w:line="242" w:lineRule="auto"/>
        <w:ind w:left="1926" w:right="123" w:hanging="356"/>
        <w:jc w:val="both"/>
        <w:rPr>
          <w:color w:val="0C0C0C"/>
          <w:sz w:val="24"/>
        </w:rPr>
      </w:pPr>
      <w:r>
        <w:rPr>
          <w:color w:val="0C0C0C"/>
          <w:sz w:val="24"/>
        </w:rPr>
        <w:tab/>
        <w:t xml:space="preserve">Parties agree that no Federal funds may be obligated or expended in any contract or subcontract that includes obtaining any equipment, system, or </w:t>
      </w:r>
      <w:r>
        <w:rPr>
          <w:color w:val="242424"/>
          <w:sz w:val="24"/>
        </w:rPr>
        <w:t xml:space="preserve">service </w:t>
      </w:r>
      <w:r>
        <w:rPr>
          <w:color w:val="0C0C0C"/>
          <w:sz w:val="24"/>
        </w:rPr>
        <w:t xml:space="preserve">that uses covered telecommunications equipment or </w:t>
      </w:r>
      <w:r>
        <w:rPr>
          <w:color w:val="242424"/>
          <w:sz w:val="24"/>
        </w:rPr>
        <w:t xml:space="preserve">services </w:t>
      </w:r>
      <w:r>
        <w:rPr>
          <w:color w:val="0C0C0C"/>
          <w:sz w:val="24"/>
        </w:rPr>
        <w:t>as a substantial or essential component of any system, or as critical technology of any system.</w:t>
      </w:r>
    </w:p>
    <w:p w14:paraId="1295241E" w14:textId="77777777" w:rsidR="001B7DB3" w:rsidRDefault="00C3243A">
      <w:pPr>
        <w:pStyle w:val="BodyText"/>
        <w:spacing w:before="125"/>
        <w:ind w:left="2290" w:right="860" w:firstLine="3"/>
      </w:pPr>
      <w:r>
        <w:rPr>
          <w:color w:val="0C0C0C"/>
        </w:rPr>
        <w:t xml:space="preserve">As described in Public Law 115-232, section 889, </w:t>
      </w:r>
      <w:r>
        <w:rPr>
          <w:i/>
          <w:color w:val="0C0C0C"/>
          <w:sz w:val="23"/>
        </w:rPr>
        <w:t xml:space="preserve">Covered telecommunications </w:t>
      </w:r>
      <w:r>
        <w:rPr>
          <w:i/>
          <w:color w:val="242424"/>
          <w:sz w:val="23"/>
        </w:rPr>
        <w:t xml:space="preserve">equipment </w:t>
      </w:r>
      <w:r>
        <w:rPr>
          <w:color w:val="0C0C0C"/>
        </w:rPr>
        <w:t>is telecommunications equipment produced by Huawei Technologies Company or ZTE Corporation (or any subsidiary or affiliate of such entities).</w:t>
      </w:r>
    </w:p>
    <w:p w14:paraId="1295241F" w14:textId="77777777" w:rsidR="001B7DB3" w:rsidRDefault="00C3243A">
      <w:pPr>
        <w:pStyle w:val="ListParagraph"/>
        <w:numPr>
          <w:ilvl w:val="2"/>
          <w:numId w:val="2"/>
        </w:numPr>
        <w:tabs>
          <w:tab w:val="left" w:pos="1926"/>
          <w:tab w:val="left" w:pos="1928"/>
        </w:tabs>
        <w:spacing w:before="145"/>
        <w:ind w:left="1928" w:right="125" w:hanging="354"/>
        <w:jc w:val="both"/>
        <w:rPr>
          <w:color w:val="0C0C0C"/>
          <w:sz w:val="24"/>
        </w:rPr>
      </w:pPr>
      <w:r>
        <w:rPr>
          <w:color w:val="242424"/>
          <w:sz w:val="24"/>
        </w:rPr>
        <w:t xml:space="preserve">This prohibition does not prevent parties to this Contract or subcontractors from using covered telecommunications equipment and </w:t>
      </w:r>
      <w:r>
        <w:rPr>
          <w:color w:val="383838"/>
          <w:sz w:val="24"/>
        </w:rPr>
        <w:t xml:space="preserve">services </w:t>
      </w:r>
      <w:r>
        <w:rPr>
          <w:color w:val="242424"/>
          <w:sz w:val="24"/>
        </w:rPr>
        <w:t>for their own purposes, provided the covered telecommunications equipment or services are not procured with Federal funds.</w:t>
      </w:r>
    </w:p>
    <w:p w14:paraId="12952420" w14:textId="77777777" w:rsidR="001B7DB3" w:rsidRDefault="00C3243A">
      <w:pPr>
        <w:pStyle w:val="ListParagraph"/>
        <w:numPr>
          <w:ilvl w:val="2"/>
          <w:numId w:val="2"/>
        </w:numPr>
        <w:tabs>
          <w:tab w:val="left" w:pos="1926"/>
        </w:tabs>
        <w:spacing w:before="151"/>
        <w:ind w:left="1926" w:right="125"/>
        <w:jc w:val="both"/>
        <w:rPr>
          <w:color w:val="0C0C0C"/>
          <w:sz w:val="24"/>
        </w:rPr>
      </w:pPr>
      <w:r>
        <w:rPr>
          <w:color w:val="0C0C0C"/>
          <w:sz w:val="24"/>
        </w:rPr>
        <w:t xml:space="preserve">In implementing the prohibition under </w:t>
      </w:r>
      <w:r>
        <w:rPr>
          <w:color w:val="242424"/>
          <w:sz w:val="24"/>
          <w:u w:val="single" w:color="1C1C1C"/>
        </w:rPr>
        <w:t>Public Law 115-232</w:t>
      </w:r>
      <w:r>
        <w:rPr>
          <w:color w:val="242424"/>
          <w:sz w:val="24"/>
        </w:rPr>
        <w:t xml:space="preserve">, </w:t>
      </w:r>
      <w:r>
        <w:rPr>
          <w:color w:val="0C0C0C"/>
          <w:sz w:val="24"/>
        </w:rPr>
        <w:t xml:space="preserve">section 889, subsection (f), paragraph (1), heads of executive agencies administering loan, grant, or </w:t>
      </w:r>
      <w:r>
        <w:rPr>
          <w:color w:val="242424"/>
          <w:sz w:val="24"/>
        </w:rPr>
        <w:t xml:space="preserve">subsidy </w:t>
      </w:r>
      <w:r>
        <w:rPr>
          <w:color w:val="0C0C0C"/>
          <w:sz w:val="24"/>
        </w:rPr>
        <w:t>programs shall prioritize available funding and technical support to assist affected businesses, institutions and organizations as is reasonably necessary for those affected entities to transition from covered communications equipment and services, to procure replacement equipment and services, and to ensure that communications service to users and customers is sustained.</w:t>
      </w:r>
    </w:p>
    <w:p w14:paraId="12952421" w14:textId="77777777" w:rsidR="001B7DB3" w:rsidRDefault="00C3243A">
      <w:pPr>
        <w:pStyle w:val="ListParagraph"/>
        <w:numPr>
          <w:ilvl w:val="1"/>
          <w:numId w:val="2"/>
        </w:numPr>
        <w:tabs>
          <w:tab w:val="left" w:pos="1565"/>
        </w:tabs>
        <w:spacing w:before="240" w:line="237" w:lineRule="auto"/>
        <w:ind w:right="140" w:hanging="721"/>
        <w:rPr>
          <w:sz w:val="24"/>
        </w:rPr>
      </w:pPr>
      <w:r>
        <w:rPr>
          <w:b/>
          <w:color w:val="383838"/>
          <w:sz w:val="24"/>
        </w:rPr>
        <w:t xml:space="preserve">Termination for Cause and Convenience </w:t>
      </w:r>
      <w:r>
        <w:rPr>
          <w:color w:val="383838"/>
          <w:sz w:val="24"/>
        </w:rPr>
        <w:t>- Provisions under Contract Attachment B apply.</w:t>
      </w:r>
    </w:p>
    <w:p w14:paraId="12952422" w14:textId="77777777" w:rsidR="001B7DB3" w:rsidRDefault="001B7DB3">
      <w:pPr>
        <w:spacing w:line="237" w:lineRule="auto"/>
        <w:rPr>
          <w:sz w:val="24"/>
        </w:rPr>
        <w:sectPr w:rsidR="001B7DB3">
          <w:pgSz w:w="12240" w:h="15840"/>
          <w:pgMar w:top="1340" w:right="1280" w:bottom="1220" w:left="1320" w:header="0" w:footer="1024" w:gutter="0"/>
          <w:cols w:space="720"/>
        </w:sectPr>
      </w:pPr>
    </w:p>
    <w:p w14:paraId="12952423" w14:textId="77777777" w:rsidR="001B7DB3" w:rsidRDefault="00C3243A">
      <w:pPr>
        <w:spacing w:before="64"/>
        <w:ind w:right="72"/>
        <w:jc w:val="center"/>
        <w:rPr>
          <w:b/>
          <w:i/>
          <w:sz w:val="23"/>
        </w:rPr>
      </w:pPr>
      <w:r>
        <w:rPr>
          <w:b/>
          <w:i/>
          <w:color w:val="0C0C0C"/>
          <w:w w:val="105"/>
          <w:sz w:val="23"/>
        </w:rPr>
        <w:lastRenderedPageBreak/>
        <w:t>This form is required for purchases of $100,000 and above</w:t>
      </w:r>
    </w:p>
    <w:p w14:paraId="12952424" w14:textId="77777777" w:rsidR="001B7DB3" w:rsidRDefault="001B7DB3">
      <w:pPr>
        <w:pStyle w:val="BodyText"/>
        <w:spacing w:before="23"/>
        <w:jc w:val="left"/>
        <w:rPr>
          <w:b/>
          <w:i/>
          <w:sz w:val="23"/>
        </w:rPr>
      </w:pPr>
    </w:p>
    <w:p w14:paraId="12952425" w14:textId="77777777" w:rsidR="001B7DB3" w:rsidRDefault="00C3243A">
      <w:pPr>
        <w:ind w:right="29"/>
        <w:jc w:val="center"/>
        <w:rPr>
          <w:b/>
          <w:sz w:val="23"/>
        </w:rPr>
      </w:pPr>
      <w:r>
        <w:rPr>
          <w:b/>
          <w:color w:val="0C0C0C"/>
          <w:sz w:val="23"/>
        </w:rPr>
        <w:t>CERTIFICATION</w:t>
      </w:r>
      <w:r>
        <w:rPr>
          <w:b/>
          <w:color w:val="0C0C0C"/>
          <w:spacing w:val="74"/>
          <w:sz w:val="23"/>
        </w:rPr>
        <w:t xml:space="preserve"> </w:t>
      </w:r>
      <w:r>
        <w:rPr>
          <w:b/>
          <w:color w:val="0C0C0C"/>
          <w:sz w:val="23"/>
        </w:rPr>
        <w:t>REGARDING</w:t>
      </w:r>
      <w:r>
        <w:rPr>
          <w:b/>
          <w:color w:val="0C0C0C"/>
          <w:spacing w:val="63"/>
          <w:sz w:val="23"/>
        </w:rPr>
        <w:t xml:space="preserve"> </w:t>
      </w:r>
      <w:r>
        <w:rPr>
          <w:b/>
          <w:color w:val="0C0C0C"/>
          <w:sz w:val="23"/>
        </w:rPr>
        <w:t>LOBBYING</w:t>
      </w:r>
    </w:p>
    <w:p w14:paraId="12952426" w14:textId="77777777" w:rsidR="001B7DB3" w:rsidRDefault="00C3243A">
      <w:pPr>
        <w:spacing w:before="10"/>
        <w:ind w:right="72"/>
        <w:jc w:val="center"/>
        <w:rPr>
          <w:b/>
          <w:sz w:val="23"/>
        </w:rPr>
      </w:pPr>
      <w:r>
        <w:rPr>
          <w:b/>
          <w:color w:val="0C0C0C"/>
          <w:w w:val="105"/>
          <w:sz w:val="23"/>
        </w:rPr>
        <w:t>Required by 31 CFR Part 21</w:t>
      </w:r>
    </w:p>
    <w:p w14:paraId="12952427" w14:textId="77777777" w:rsidR="001B7DB3" w:rsidRDefault="00C3243A">
      <w:pPr>
        <w:pStyle w:val="BodyText"/>
        <w:spacing w:before="236"/>
        <w:ind w:left="119"/>
      </w:pPr>
      <w:r>
        <w:rPr>
          <w:color w:val="0C0C0C"/>
        </w:rPr>
        <w:t>The undersigned certifies, to the best of their knowledge and belief, that:</w:t>
      </w:r>
    </w:p>
    <w:p w14:paraId="12952428" w14:textId="77777777" w:rsidR="001B7DB3" w:rsidRDefault="00C3243A">
      <w:pPr>
        <w:pStyle w:val="ListParagraph"/>
        <w:numPr>
          <w:ilvl w:val="0"/>
          <w:numId w:val="1"/>
        </w:numPr>
        <w:tabs>
          <w:tab w:val="left" w:pos="844"/>
        </w:tabs>
        <w:spacing w:before="233"/>
        <w:ind w:right="124" w:hanging="502"/>
        <w:jc w:val="both"/>
        <w:rPr>
          <w:sz w:val="24"/>
        </w:rPr>
      </w:pPr>
      <w:r>
        <w:rPr>
          <w:color w:val="1C1C1C"/>
          <w:sz w:val="24"/>
        </w:rPr>
        <w:t xml:space="preserve">No </w:t>
      </w:r>
      <w:r>
        <w:rPr>
          <w:color w:val="0C0C0C"/>
          <w:sz w:val="24"/>
        </w:rPr>
        <w:t>federal appropriated funds have been paid or will be paid, by or on behalf of the undersigned, to any person for influencing or attempting to influence an officer or employee of an agency, a Member of Congress, an officer or employee of Congress, or an employee of a Member of Congress in connection with the awarding of any federal contract, the making of any federal grant, the making of any federal loan, the entering into of any cooperative agreement, and the extension, continuation, renewal, amendment, or modification of any federal contract, grant, loan, or cooperative agreement.</w:t>
      </w:r>
    </w:p>
    <w:p w14:paraId="12952429" w14:textId="77777777" w:rsidR="001B7DB3" w:rsidRDefault="00C3243A">
      <w:pPr>
        <w:pStyle w:val="ListParagraph"/>
        <w:numPr>
          <w:ilvl w:val="0"/>
          <w:numId w:val="1"/>
        </w:numPr>
        <w:tabs>
          <w:tab w:val="left" w:pos="841"/>
          <w:tab w:val="left" w:pos="844"/>
        </w:tabs>
        <w:spacing w:before="188"/>
        <w:ind w:right="121" w:hanging="584"/>
        <w:jc w:val="both"/>
        <w:rPr>
          <w:sz w:val="24"/>
        </w:rPr>
      </w:pPr>
      <w:r>
        <w:rPr>
          <w:color w:val="0C0C0C"/>
          <w:sz w:val="24"/>
        </w:rPr>
        <w:t xml:space="preserve">If any funds other than federal appropriated funds have been paid or will be paid to any person for influencing or attempting to influence an officer or employee of any agency, a Member of Congress, an officer or employee of Congress, or an employee of a Member of Congress in connection with this Federal contract, grant, loan, or cooperative agreement, the undersigned shall complete and submit Standard </w:t>
      </w:r>
      <w:r>
        <w:rPr>
          <w:color w:val="1C1C1C"/>
          <w:sz w:val="24"/>
        </w:rPr>
        <w:t xml:space="preserve">Form-LLL, </w:t>
      </w:r>
      <w:r>
        <w:rPr>
          <w:color w:val="0C0C0C"/>
          <w:sz w:val="24"/>
        </w:rPr>
        <w:t>"Disclosure Form to Report Lobbying," in accordance with its instructions.</w:t>
      </w:r>
    </w:p>
    <w:p w14:paraId="1295242A" w14:textId="77777777" w:rsidR="001B7DB3" w:rsidRDefault="00C3243A">
      <w:pPr>
        <w:pStyle w:val="ListParagraph"/>
        <w:numPr>
          <w:ilvl w:val="0"/>
          <w:numId w:val="1"/>
        </w:numPr>
        <w:tabs>
          <w:tab w:val="left" w:pos="844"/>
        </w:tabs>
        <w:spacing w:before="189"/>
        <w:ind w:right="121" w:hanging="666"/>
        <w:jc w:val="both"/>
        <w:rPr>
          <w:sz w:val="24"/>
        </w:rPr>
      </w:pPr>
      <w:r>
        <w:rPr>
          <w:color w:val="0C0C0C"/>
          <w:sz w:val="24"/>
        </w:rPr>
        <w:t>The undersigned shall require that the language of this certification be included in the award documents for all subawards at all tiers (including subcontracts, subawards, and contracts under grants, loans, and cooperative agreements) and that all Suppliers shall certify and disclose accordingly.</w:t>
      </w:r>
    </w:p>
    <w:p w14:paraId="1295242B" w14:textId="77777777" w:rsidR="001B7DB3" w:rsidRDefault="00C3243A">
      <w:pPr>
        <w:pStyle w:val="BodyText"/>
        <w:spacing w:before="184"/>
        <w:ind w:left="118" w:right="262" w:firstLine="1"/>
      </w:pPr>
      <w:r>
        <w:rPr>
          <w:color w:val="0C0C0C"/>
        </w:rPr>
        <w:t>This certification is a material representation of fact upon which reliance was placed when this transaction was made or entered into. Submission of this certification is a prerequisite for making or entering into this transaction imposed by section 1352, Title 31, of the U.S. Code. Any person who fails to file the required certification shall be subject to a civil penalty of not less than</w:t>
      </w:r>
    </w:p>
    <w:p w14:paraId="1295242C" w14:textId="77777777" w:rsidR="001B7DB3" w:rsidRDefault="00C3243A">
      <w:pPr>
        <w:pStyle w:val="BodyText"/>
        <w:spacing w:before="2"/>
        <w:ind w:left="119"/>
      </w:pPr>
      <w:r>
        <w:rPr>
          <w:color w:val="0C0C0C"/>
        </w:rPr>
        <w:t>$10,000 and not more than $100,000 for each such failure.</w:t>
      </w:r>
    </w:p>
    <w:p w14:paraId="1295242D" w14:textId="77777777" w:rsidR="001B7DB3" w:rsidRDefault="00C3243A">
      <w:pPr>
        <w:pStyle w:val="BodyText"/>
        <w:spacing w:before="233"/>
        <w:ind w:left="123" w:right="259" w:hanging="2"/>
      </w:pPr>
      <w:r>
        <w:rPr>
          <w:color w:val="0C0C0C"/>
        </w:rPr>
        <w:t>Supplier certifies or affirms the truthfulness and accuracy of each statement of its certification and disclosure, if any. In addition, the Supplier understands and agrees that the remedies found in Title 31, Chapter 38 of the U.S. Code applies to this certification and disclosure.</w:t>
      </w:r>
    </w:p>
    <w:p w14:paraId="1295242E" w14:textId="77777777" w:rsidR="001B7DB3" w:rsidRDefault="001B7DB3">
      <w:pPr>
        <w:pStyle w:val="BodyText"/>
        <w:jc w:val="left"/>
        <w:rPr>
          <w:sz w:val="20"/>
        </w:rPr>
      </w:pPr>
    </w:p>
    <w:p w14:paraId="1295242F" w14:textId="77777777" w:rsidR="001B7DB3" w:rsidRDefault="001B7DB3">
      <w:pPr>
        <w:pStyle w:val="BodyText"/>
        <w:jc w:val="left"/>
        <w:rPr>
          <w:sz w:val="20"/>
        </w:rPr>
      </w:pPr>
    </w:p>
    <w:p w14:paraId="12952430" w14:textId="77777777" w:rsidR="001B7DB3" w:rsidRDefault="00C3243A">
      <w:pPr>
        <w:pStyle w:val="BodyText"/>
        <w:spacing w:before="73"/>
        <w:jc w:val="left"/>
        <w:rPr>
          <w:sz w:val="20"/>
        </w:rPr>
      </w:pPr>
      <w:r>
        <w:rPr>
          <w:noProof/>
        </w:rPr>
        <mc:AlternateContent>
          <mc:Choice Requires="wps">
            <w:drawing>
              <wp:anchor distT="0" distB="0" distL="0" distR="0" simplePos="0" relativeHeight="487587840" behindDoc="1" locked="0" layoutInCell="1" allowOverlap="1" wp14:anchorId="12952438" wp14:editId="12952439">
                <wp:simplePos x="0" y="0"/>
                <wp:positionH relativeFrom="page">
                  <wp:posOffset>912875</wp:posOffset>
                </wp:positionH>
                <wp:positionV relativeFrom="paragraph">
                  <wp:posOffset>208240</wp:posOffset>
                </wp:positionV>
                <wp:extent cx="4276725" cy="7620"/>
                <wp:effectExtent l="0" t="0" r="0" b="0"/>
                <wp:wrapTopAndBottom/>
                <wp:docPr id="2" name="Graphic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276725" cy="7620"/>
                        </a:xfrm>
                        <a:custGeom>
                          <a:avLst/>
                          <a:gdLst/>
                          <a:ahLst/>
                          <a:cxnLst/>
                          <a:rect l="l" t="t" r="r" b="b"/>
                          <a:pathLst>
                            <a:path w="4276725" h="7620">
                              <a:moveTo>
                                <a:pt x="4276344" y="7620"/>
                              </a:moveTo>
                              <a:lnTo>
                                <a:pt x="0" y="7620"/>
                              </a:lnTo>
                              <a:lnTo>
                                <a:pt x="0" y="0"/>
                              </a:lnTo>
                              <a:lnTo>
                                <a:pt x="4276344" y="0"/>
                              </a:lnTo>
                              <a:lnTo>
                                <a:pt x="4276344" y="762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2BB0FF9B" id="Graphic 2" o:spid="_x0000_s1026" style="position:absolute;margin-left:71.9pt;margin-top:16.4pt;width:336.75pt;height:.6pt;z-index:-15728640;visibility:visible;mso-wrap-style:square;mso-wrap-distance-left:0;mso-wrap-distance-top:0;mso-wrap-distance-right:0;mso-wrap-distance-bottom:0;mso-position-horizontal:absolute;mso-position-horizontal-relative:page;mso-position-vertical:absolute;mso-position-vertical-relative:text;v-text-anchor:top" coordsize="4276725,7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" path="m4276344,7620l,7620,,,4276344,r,7620xe" fillcolor="black" stroked="f">
                <v:path arrowok="t"/>
                <w10:wrap type="topAndBottom" anchorx="page"/>
              </v:shape>
            </w:pict>
          </mc:Fallback>
        </mc:AlternateContent>
      </w:r>
    </w:p>
    <w:p w14:paraId="12952431" w14:textId="77777777" w:rsidR="001B7DB3" w:rsidRDefault="00C3243A">
      <w:pPr>
        <w:ind w:left="119"/>
        <w:jc w:val="both"/>
        <w:rPr>
          <w:b/>
          <w:sz w:val="23"/>
        </w:rPr>
      </w:pPr>
      <w:r>
        <w:rPr>
          <w:b/>
          <w:color w:val="0C0C0C"/>
          <w:w w:val="105"/>
          <w:sz w:val="23"/>
        </w:rPr>
        <w:t>Signature of Supplier's Authorized Official</w:t>
      </w:r>
    </w:p>
    <w:p w14:paraId="12952432" w14:textId="77777777" w:rsidR="001B7DB3" w:rsidRDefault="001B7DB3">
      <w:pPr>
        <w:pStyle w:val="BodyText"/>
        <w:jc w:val="left"/>
        <w:rPr>
          <w:b/>
          <w:sz w:val="20"/>
        </w:rPr>
      </w:pPr>
    </w:p>
    <w:p w14:paraId="12952433" w14:textId="77777777" w:rsidR="001B7DB3" w:rsidRDefault="00C3243A">
      <w:pPr>
        <w:pStyle w:val="BodyText"/>
        <w:spacing w:before="67"/>
        <w:jc w:val="left"/>
        <w:rPr>
          <w:b/>
          <w:sz w:val="20"/>
        </w:rPr>
      </w:pPr>
      <w:r>
        <w:rPr>
          <w:noProof/>
        </w:rPr>
        <mc:AlternateContent>
          <mc:Choice Requires="wps">
            <w:drawing>
              <wp:anchor distT="0" distB="0" distL="0" distR="0" simplePos="0" relativeHeight="487588352" behindDoc="1" locked="0" layoutInCell="1" allowOverlap="1" wp14:anchorId="1295243A" wp14:editId="1295243B">
                <wp:simplePos x="0" y="0"/>
                <wp:positionH relativeFrom="page">
                  <wp:posOffset>912876</wp:posOffset>
                </wp:positionH>
                <wp:positionV relativeFrom="paragraph">
                  <wp:posOffset>204179</wp:posOffset>
                </wp:positionV>
                <wp:extent cx="4354195" cy="7620"/>
                <wp:effectExtent l="0" t="0" r="0" b="0"/>
                <wp:wrapTopAndBottom/>
                <wp:docPr id="3" name="Graphic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354195" cy="7620"/>
                        </a:xfrm>
                        <a:custGeom>
                          <a:avLst/>
                          <a:gdLst/>
                          <a:ahLst/>
                          <a:cxnLst/>
                          <a:rect l="l" t="t" r="r" b="b"/>
                          <a:pathLst>
                            <a:path w="4354195" h="7620">
                              <a:moveTo>
                                <a:pt x="4354068" y="0"/>
                              </a:moveTo>
                              <a:lnTo>
                                <a:pt x="4276331" y="0"/>
                              </a:lnTo>
                              <a:lnTo>
                                <a:pt x="4273296" y="0"/>
                              </a:lnTo>
                              <a:lnTo>
                                <a:pt x="0" y="0"/>
                              </a:lnTo>
                              <a:lnTo>
                                <a:pt x="0" y="7620"/>
                              </a:lnTo>
                              <a:lnTo>
                                <a:pt x="4273296" y="7620"/>
                              </a:lnTo>
                              <a:lnTo>
                                <a:pt x="4276331" y="7620"/>
                              </a:lnTo>
                              <a:lnTo>
                                <a:pt x="4354068" y="7620"/>
                              </a:lnTo>
                              <a:lnTo>
                                <a:pt x="4354068"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23A55D60" id="Graphic 3" o:spid="_x0000_s1026" style="position:absolute;margin-left:71.9pt;margin-top:16.1pt;width:342.85pt;height:.6pt;z-index:-15728128;visibility:visible;mso-wrap-style:square;mso-wrap-distance-left:0;mso-wrap-distance-top:0;mso-wrap-distance-right:0;mso-wrap-distance-bottom:0;mso-position-horizontal:absolute;mso-position-horizontal-relative:page;mso-position-vertical:absolute;mso-position-vertical-relative:text;v-text-anchor:top" coordsize="4354195,7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" path="m4354068,r-77737,l4273296,,,,,7620r4273296,l4276331,7620r77737,l4354068,xe" fillcolor="black" stroked="f">
                <v:path arrowok="t"/>
                <w10:wrap type="topAndBottom" anchorx="page"/>
              </v:shape>
            </w:pict>
          </mc:Fallback>
        </mc:AlternateContent>
      </w:r>
    </w:p>
    <w:p w14:paraId="12952434" w14:textId="77777777" w:rsidR="001B7DB3" w:rsidRDefault="00C3243A">
      <w:pPr>
        <w:pStyle w:val="BodyText"/>
        <w:tabs>
          <w:tab w:val="left" w:pos="5180"/>
        </w:tabs>
        <w:ind w:left="120"/>
      </w:pPr>
      <w:r>
        <w:rPr>
          <w:color w:val="0C0C0C"/>
        </w:rPr>
        <w:t>Name</w:t>
      </w:r>
      <w:r>
        <w:rPr>
          <w:color w:val="0C0C0C"/>
        </w:rPr>
        <w:tab/>
        <w:t>Date</w:t>
      </w:r>
    </w:p>
    <w:p w14:paraId="12952435" w14:textId="77777777" w:rsidR="001B7DB3" w:rsidRDefault="001B7DB3">
      <w:pPr>
        <w:pStyle w:val="BodyText"/>
        <w:jc w:val="left"/>
        <w:rPr>
          <w:sz w:val="20"/>
        </w:rPr>
      </w:pPr>
    </w:p>
    <w:p w14:paraId="12952436" w14:textId="77777777" w:rsidR="001B7DB3" w:rsidRDefault="00C3243A">
      <w:pPr>
        <w:pStyle w:val="BodyText"/>
        <w:spacing w:before="56"/>
        <w:jc w:val="left"/>
        <w:rPr>
          <w:sz w:val="20"/>
        </w:rPr>
      </w:pPr>
      <w:r>
        <w:rPr>
          <w:noProof/>
        </w:rPr>
        <mc:AlternateContent>
          <mc:Choice Requires="wps">
            <w:drawing>
              <wp:anchor distT="0" distB="0" distL="0" distR="0" simplePos="0" relativeHeight="487588864" behindDoc="1" locked="0" layoutInCell="1" allowOverlap="1" wp14:anchorId="1295243C" wp14:editId="1295243D">
                <wp:simplePos x="0" y="0"/>
                <wp:positionH relativeFrom="page">
                  <wp:posOffset>912876</wp:posOffset>
                </wp:positionH>
                <wp:positionV relativeFrom="paragraph">
                  <wp:posOffset>196877</wp:posOffset>
                </wp:positionV>
                <wp:extent cx="4354195" cy="7620"/>
                <wp:effectExtent l="0" t="0" r="0" b="0"/>
                <wp:wrapTopAndBottom/>
                <wp:docPr id="4" name="Graphic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354195" cy="7620"/>
                        </a:xfrm>
                        <a:custGeom>
                          <a:avLst/>
                          <a:gdLst/>
                          <a:ahLst/>
                          <a:cxnLst/>
                          <a:rect l="l" t="t" r="r" b="b"/>
                          <a:pathLst>
                            <a:path w="4354195" h="7620">
                              <a:moveTo>
                                <a:pt x="4354068" y="0"/>
                              </a:moveTo>
                              <a:lnTo>
                                <a:pt x="4276331" y="0"/>
                              </a:lnTo>
                              <a:lnTo>
                                <a:pt x="4273296" y="0"/>
                              </a:lnTo>
                              <a:lnTo>
                                <a:pt x="0" y="0"/>
                              </a:lnTo>
                              <a:lnTo>
                                <a:pt x="0" y="7620"/>
                              </a:lnTo>
                              <a:lnTo>
                                <a:pt x="4273296" y="7620"/>
                              </a:lnTo>
                              <a:lnTo>
                                <a:pt x="4276331" y="7620"/>
                              </a:lnTo>
                              <a:lnTo>
                                <a:pt x="4354068" y="7620"/>
                              </a:lnTo>
                              <a:lnTo>
                                <a:pt x="4354068"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652F6658" id="Graphic 4" o:spid="_x0000_s1026" style="position:absolute;margin-left:71.9pt;margin-top:15.5pt;width:342.85pt;height:.6pt;z-index:-15727616;visibility:visible;mso-wrap-style:square;mso-wrap-distance-left:0;mso-wrap-distance-top:0;mso-wrap-distance-right:0;mso-wrap-distance-bottom:0;mso-position-horizontal:absolute;mso-position-horizontal-relative:page;mso-position-vertical:absolute;mso-position-vertical-relative:text;v-text-anchor:top" coordsize="4354195,7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" path="m4354068,r-77737,l4273296,,,,,7620r4273296,l4276331,7620r77737,l4354068,xe" fillcolor="black" stroked="f">
                <v:path arrowok="t"/>
                <w10:wrap type="topAndBottom" anchorx="page"/>
              </v:shape>
            </w:pict>
          </mc:Fallback>
        </mc:AlternateContent>
      </w:r>
    </w:p>
    <w:p w14:paraId="12952437" w14:textId="77777777" w:rsidR="001B7DB3" w:rsidRDefault="00C3243A">
      <w:pPr>
        <w:pStyle w:val="BodyText"/>
        <w:ind w:left="119"/>
        <w:jc w:val="left"/>
      </w:pPr>
      <w:r>
        <w:rPr>
          <w:color w:val="0C0C0C"/>
        </w:rPr>
        <w:t>Title</w:t>
      </w:r>
    </w:p>
    <w:sectPr w:rsidR="001B7DB3">
      <w:pgSz w:w="12240" w:h="15840"/>
      <w:pgMar w:top="1360" w:right="1280" w:bottom="1220" w:left="1320" w:header="0" w:footer="1024"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2952443" w14:textId="77777777" w:rsidR="00C3243A" w:rsidRDefault="00C3243A">
      <w:r>
        <w:separator/>
      </w:r>
    </w:p>
  </w:endnote>
  <w:endnote w:type="continuationSeparator" w:id="0">
    <w:p w14:paraId="12952445" w14:textId="77777777" w:rsidR="00C3243A" w:rsidRDefault="00C324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95243E" w14:textId="3D1DD9DB" w:rsidR="001B7DB3" w:rsidRDefault="00E93DA0">
    <w:pPr>
      <w:pStyle w:val="BodyText"/>
      <w:spacing w:line="14" w:lineRule="auto"/>
      <w:jc w:val="left"/>
      <w:rPr>
        <w:sz w:val="20"/>
      </w:rPr>
    </w:pPr>
    <w:r w:rsidRPr="00E93DA0">
      <w:rPr>
        <w:noProof/>
        <w:sz w:val="20"/>
      </w:rPr>
      <mc:AlternateContent>
        <mc:Choice Requires="wps">
          <w:drawing>
            <wp:anchor distT="45720" distB="45720" distL="114300" distR="114300" simplePos="0" relativeHeight="487501824" behindDoc="0" locked="0" layoutInCell="1" allowOverlap="1" wp14:anchorId="3D3B79E1" wp14:editId="4AC0E89E">
              <wp:simplePos x="0" y="0"/>
              <wp:positionH relativeFrom="column">
                <wp:posOffset>5181600</wp:posOffset>
              </wp:positionH>
              <wp:positionV relativeFrom="paragraph">
                <wp:posOffset>58420</wp:posOffset>
              </wp:positionV>
              <wp:extent cx="1162050" cy="297180"/>
              <wp:effectExtent l="0" t="0" r="19050" b="2667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62050" cy="297180"/>
                      </a:xfrm>
                      <a:prstGeom prst="rect">
                        <a:avLst/>
                      </a:prstGeom>
                      <a:solidFill>
                        <a:srgbClr val="FFFFFF"/>
                      </a:solidFill>
                      <a:ln w="9525">
                        <a:solidFill>
                          <a:srgbClr val="000000"/>
                        </a:solidFill>
                        <a:miter lim="800000"/>
                        <a:headEnd/>
                        <a:tailEnd/>
                      </a:ln>
                    </wps:spPr>
                    <wps:txbx>
                      <w:txbxContent>
                        <w:p w14:paraId="4D8C5A0B" w14:textId="07E6FDE8" w:rsidR="00E93DA0" w:rsidRDefault="00E93DA0">
                          <w:r>
                            <w:t>04/04/2025</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D3B79E1" id="_x0000_t202" coordsize="21600,21600" o:spt="202" path="m,l,21600r21600,l21600,xe">
              <v:stroke joinstyle="miter"/>
              <v:path gradientshapeok="t" o:connecttype="rect"/>
            </v:shapetype>
            <v:shape id="Text Box 2" o:spid="_x0000_s1026" type="#_x0000_t202" style="position:absolute;margin-left:408pt;margin-top:4.6pt;width:91.5pt;height:23.4pt;z-index:48750182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">
              <v:textbox>
                <w:txbxContent>
                  <w:p w14:paraId="4D8C5A0B" w14:textId="07E6FDE8" w:rsidR="00E93DA0" w:rsidRDefault="00E93DA0">
                    <w:r>
                      <w:t>04/04/2025</w:t>
                    </w:r>
                  </w:p>
                </w:txbxContent>
              </v:textbox>
              <w10:wrap type="square"/>
            </v:shape>
          </w:pict>
        </mc:Fallback>
      </mc:AlternateContent>
    </w:r>
    <w:r w:rsidR="00C3243A">
      <w:rPr>
        <w:noProof/>
      </w:rPr>
      <mc:AlternateContent>
        <mc:Choice Requires="wps">
          <w:drawing>
            <wp:anchor distT="0" distB="0" distL="0" distR="0" simplePos="0" relativeHeight="487499776" behindDoc="1" locked="0" layoutInCell="1" allowOverlap="1" wp14:anchorId="1295243F" wp14:editId="12952440">
              <wp:simplePos x="0" y="0"/>
              <wp:positionH relativeFrom="page">
                <wp:posOffset>905551</wp:posOffset>
              </wp:positionH>
              <wp:positionV relativeFrom="page">
                <wp:posOffset>9264508</wp:posOffset>
              </wp:positionV>
              <wp:extent cx="793750" cy="173355"/>
              <wp:effectExtent l="0" t="0" r="0" b="0"/>
              <wp:wrapNone/>
              <wp:docPr id="1" name="Text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93750" cy="173355"/>
                      </a:xfrm>
                      <a:prstGeom prst="rect">
                        <a:avLst/>
                      </a:prstGeom>
                    </wps:spPr>
                    <wps:txbx>
                      <w:txbxContent>
                        <w:p w14:paraId="12952441" w14:textId="77777777" w:rsidR="001B7DB3" w:rsidRDefault="00C3243A">
                          <w:pPr>
                            <w:spacing w:before="11"/>
                            <w:ind w:left="20"/>
                            <w:rPr>
                              <w:b/>
                              <w:sz w:val="21"/>
                            </w:rPr>
                          </w:pPr>
                          <w:r>
                            <w:rPr>
                              <w:rFonts w:ascii="Arial"/>
                              <w:color w:val="0C0C0C"/>
                              <w:sz w:val="20"/>
                            </w:rPr>
                            <w:t xml:space="preserve">Page </w:t>
                          </w:r>
                          <w:r>
                            <w:rPr>
                              <w:b/>
                              <w:color w:val="0C0C0C"/>
                              <w:sz w:val="21"/>
                            </w:rPr>
                            <w:fldChar w:fldCharType="begin"/>
                          </w:r>
                          <w:r>
                            <w:rPr>
                              <w:b/>
                              <w:color w:val="0C0C0C"/>
                              <w:sz w:val="21"/>
                            </w:rPr>
                            <w:instrText xml:space="preserve"> PAGE </w:instrText>
                          </w:r>
                          <w:r>
                            <w:rPr>
                              <w:b/>
                              <w:color w:val="0C0C0C"/>
                              <w:sz w:val="21"/>
                            </w:rPr>
                            <w:fldChar w:fldCharType="separate"/>
                          </w:r>
                          <w:r>
                            <w:rPr>
                              <w:b/>
                              <w:color w:val="0C0C0C"/>
                              <w:sz w:val="21"/>
                            </w:rPr>
                            <w:t>10</w:t>
                          </w:r>
                          <w:r>
                            <w:rPr>
                              <w:b/>
                              <w:color w:val="0C0C0C"/>
                              <w:sz w:val="21"/>
                            </w:rPr>
                            <w:fldChar w:fldCharType="end"/>
                          </w:r>
                          <w:r>
                            <w:rPr>
                              <w:b/>
                              <w:color w:val="0C0C0C"/>
                              <w:sz w:val="21"/>
                            </w:rPr>
                            <w:t xml:space="preserve"> </w:t>
                          </w:r>
                          <w:r>
                            <w:rPr>
                              <w:rFonts w:ascii="Arial"/>
                              <w:color w:val="0C0C0C"/>
                              <w:sz w:val="20"/>
                            </w:rPr>
                            <w:t xml:space="preserve">of </w:t>
                          </w:r>
                          <w:r>
                            <w:rPr>
                              <w:b/>
                              <w:color w:val="0C0C0C"/>
                              <w:sz w:val="21"/>
                            </w:rPr>
                            <w:fldChar w:fldCharType="begin"/>
                          </w:r>
                          <w:r>
                            <w:rPr>
                              <w:b/>
                              <w:color w:val="0C0C0C"/>
                              <w:sz w:val="21"/>
                            </w:rPr>
                            <w:instrText xml:space="preserve"> NUMPAGES </w:instrText>
                          </w:r>
                          <w:r>
                            <w:rPr>
                              <w:b/>
                              <w:color w:val="0C0C0C"/>
                              <w:sz w:val="21"/>
                            </w:rPr>
                            <w:fldChar w:fldCharType="separate"/>
                          </w:r>
                          <w:r>
                            <w:rPr>
                              <w:b/>
                              <w:color w:val="0C0C0C"/>
                              <w:sz w:val="21"/>
                            </w:rPr>
                            <w:t>10</w:t>
                          </w:r>
                          <w:r>
                            <w:rPr>
                              <w:b/>
                              <w:color w:val="0C0C0C"/>
                              <w:sz w:val="21"/>
                            </w:rPr>
                            <w:fldChar w:fldCharType="end"/>
                          </w:r>
                        </w:p>
                      </w:txbxContent>
                    </wps:txbx>
                    <wps:bodyPr wrap="square" lIns="0" tIns="0" rIns="0" bIns="0" rtlCol="0">
                      <a:noAutofit/>
                    </wps:bodyPr>
                  </wps:wsp>
                </a:graphicData>
              </a:graphic>
            </wp:anchor>
          </w:drawing>
        </mc:Choice>
        <mc:Fallback>
          <w:pict>
            <v:shape w14:anchorId="1295243F" id="Textbox 1" o:spid="_x0000_s1027" type="#_x0000_t202" style="position:absolute;margin-left:71.3pt;margin-top:729.5pt;width:62.5pt;height:13.65pt;z-index:-1581670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" filled="f" stroked="f">
              <v:textbox inset="0,0,0,0">
                <w:txbxContent>
                  <w:p w14:paraId="12952441" w14:textId="77777777" w:rsidR="001B7DB3" w:rsidRDefault="00C3243A">
                    <w:pPr>
                      <w:spacing w:before="11"/>
                      <w:ind w:left="20"/>
                      <w:rPr>
                        <w:b/>
                        <w:sz w:val="21"/>
                      </w:rPr>
                    </w:pPr>
                    <w:r>
                      <w:rPr>
                        <w:rFonts w:ascii="Arial"/>
                        <w:color w:val="0C0C0C"/>
                        <w:sz w:val="20"/>
                      </w:rPr>
                      <w:t xml:space="preserve">Page </w:t>
                    </w:r>
                    <w:r>
                      <w:rPr>
                        <w:b/>
                        <w:color w:val="0C0C0C"/>
                        <w:sz w:val="21"/>
                      </w:rPr>
                      <w:fldChar w:fldCharType="begin"/>
                    </w:r>
                    <w:r>
                      <w:rPr>
                        <w:b/>
                        <w:color w:val="0C0C0C"/>
                        <w:sz w:val="21"/>
                      </w:rPr>
                      <w:instrText xml:space="preserve"> PAGE </w:instrText>
                    </w:r>
                    <w:r>
                      <w:rPr>
                        <w:b/>
                        <w:color w:val="0C0C0C"/>
                        <w:sz w:val="21"/>
                      </w:rPr>
                      <w:fldChar w:fldCharType="separate"/>
                    </w:r>
                    <w:r>
                      <w:rPr>
                        <w:b/>
                        <w:color w:val="0C0C0C"/>
                        <w:sz w:val="21"/>
                      </w:rPr>
                      <w:t>10</w:t>
                    </w:r>
                    <w:r>
                      <w:rPr>
                        <w:b/>
                        <w:color w:val="0C0C0C"/>
                        <w:sz w:val="21"/>
                      </w:rPr>
                      <w:fldChar w:fldCharType="end"/>
                    </w:r>
                    <w:r>
                      <w:rPr>
                        <w:b/>
                        <w:color w:val="0C0C0C"/>
                        <w:sz w:val="21"/>
                      </w:rPr>
                      <w:t xml:space="preserve"> </w:t>
                    </w:r>
                    <w:r>
                      <w:rPr>
                        <w:rFonts w:ascii="Arial"/>
                        <w:color w:val="0C0C0C"/>
                        <w:sz w:val="20"/>
                      </w:rPr>
                      <w:t xml:space="preserve">of </w:t>
                    </w:r>
                    <w:r>
                      <w:rPr>
                        <w:b/>
                        <w:color w:val="0C0C0C"/>
                        <w:sz w:val="21"/>
                      </w:rPr>
                      <w:fldChar w:fldCharType="begin"/>
                    </w:r>
                    <w:r>
                      <w:rPr>
                        <w:b/>
                        <w:color w:val="0C0C0C"/>
                        <w:sz w:val="21"/>
                      </w:rPr>
                      <w:instrText xml:space="preserve"> NUMPAGES </w:instrText>
                    </w:r>
                    <w:r>
                      <w:rPr>
                        <w:b/>
                        <w:color w:val="0C0C0C"/>
                        <w:sz w:val="21"/>
                      </w:rPr>
                      <w:fldChar w:fldCharType="separate"/>
                    </w:r>
                    <w:r>
                      <w:rPr>
                        <w:b/>
                        <w:color w:val="0C0C0C"/>
                        <w:sz w:val="21"/>
                      </w:rPr>
                      <w:t>10</w:t>
                    </w:r>
                    <w:r>
                      <w:rPr>
                        <w:b/>
                        <w:color w:val="0C0C0C"/>
                        <w:sz w:val="21"/>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295243F" w14:textId="77777777" w:rsidR="00C3243A" w:rsidRDefault="00C3243A">
      <w:r>
        <w:separator/>
      </w:r>
    </w:p>
  </w:footnote>
  <w:footnote w:type="continuationSeparator" w:id="0">
    <w:p w14:paraId="12952441" w14:textId="77777777" w:rsidR="00C3243A" w:rsidRDefault="00C3243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BF51F4D"/>
    <w:multiLevelType w:val="multilevel"/>
    <w:tmpl w:val="B044C6B2"/>
    <w:lvl w:ilvl="0">
      <w:start w:val="1"/>
      <w:numFmt w:val="decimal"/>
      <w:lvlText w:val="%1"/>
      <w:lvlJc w:val="left"/>
      <w:pPr>
        <w:ind w:left="846" w:hanging="721"/>
        <w:jc w:val="left"/>
      </w:pPr>
      <w:rPr>
        <w:rFonts w:ascii="Times New Roman" w:eastAsia="Times New Roman" w:hAnsi="Times New Roman" w:cs="Times New Roman" w:hint="default"/>
        <w:b/>
        <w:bCs/>
        <w:i w:val="0"/>
        <w:iCs w:val="0"/>
        <w:color w:val="0C0C0C"/>
        <w:spacing w:val="0"/>
        <w:w w:val="99"/>
        <w:sz w:val="24"/>
        <w:szCs w:val="24"/>
        <w:lang w:val="en-US" w:eastAsia="en-US" w:bidi="ar-SA"/>
      </w:rPr>
    </w:lvl>
    <w:lvl w:ilvl="1">
      <w:start w:val="1"/>
      <w:numFmt w:val="decimal"/>
      <w:lvlText w:val="%1.%2"/>
      <w:lvlJc w:val="left"/>
      <w:pPr>
        <w:ind w:left="1529" w:hanging="719"/>
        <w:jc w:val="left"/>
      </w:pPr>
      <w:rPr>
        <w:rFonts w:ascii="Times New Roman" w:eastAsia="Times New Roman" w:hAnsi="Times New Roman" w:cs="Times New Roman" w:hint="default"/>
        <w:b/>
        <w:bCs/>
        <w:i w:val="0"/>
        <w:iCs w:val="0"/>
        <w:color w:val="0C0C0C"/>
        <w:spacing w:val="0"/>
        <w:w w:val="99"/>
        <w:sz w:val="24"/>
        <w:szCs w:val="24"/>
        <w:lang w:val="en-US" w:eastAsia="en-US" w:bidi="ar-SA"/>
      </w:rPr>
    </w:lvl>
    <w:lvl w:ilvl="2">
      <w:start w:val="1"/>
      <w:numFmt w:val="lowerLetter"/>
      <w:lvlText w:val="%3."/>
      <w:lvlJc w:val="left"/>
      <w:pPr>
        <w:ind w:left="1930" w:hanging="361"/>
        <w:jc w:val="left"/>
      </w:pPr>
      <w:rPr>
        <w:rFonts w:ascii="Times New Roman" w:eastAsia="Times New Roman" w:hAnsi="Times New Roman" w:cs="Times New Roman" w:hint="default"/>
        <w:b w:val="0"/>
        <w:bCs w:val="0"/>
        <w:i w:val="0"/>
        <w:iCs w:val="0"/>
        <w:color w:val="0C0C0C"/>
        <w:spacing w:val="0"/>
        <w:w w:val="97"/>
        <w:sz w:val="24"/>
        <w:szCs w:val="24"/>
        <w:lang w:val="en-US" w:eastAsia="en-US" w:bidi="ar-SA"/>
      </w:rPr>
    </w:lvl>
    <w:lvl w:ilvl="3">
      <w:numFmt w:val="bullet"/>
      <w:lvlText w:val="•"/>
      <w:lvlJc w:val="left"/>
      <w:pPr>
        <w:ind w:left="1940" w:hanging="361"/>
      </w:pPr>
      <w:rPr>
        <w:rFonts w:hint="default"/>
        <w:lang w:val="en-US" w:eastAsia="en-US" w:bidi="ar-SA"/>
      </w:rPr>
    </w:lvl>
    <w:lvl w:ilvl="4">
      <w:numFmt w:val="bullet"/>
      <w:lvlText w:val="•"/>
      <w:lvlJc w:val="left"/>
      <w:pPr>
        <w:ind w:left="3040" w:hanging="361"/>
      </w:pPr>
      <w:rPr>
        <w:rFonts w:hint="default"/>
        <w:lang w:val="en-US" w:eastAsia="en-US" w:bidi="ar-SA"/>
      </w:rPr>
    </w:lvl>
    <w:lvl w:ilvl="5">
      <w:numFmt w:val="bullet"/>
      <w:lvlText w:val="•"/>
      <w:lvlJc w:val="left"/>
      <w:pPr>
        <w:ind w:left="4140" w:hanging="361"/>
      </w:pPr>
      <w:rPr>
        <w:rFonts w:hint="default"/>
        <w:lang w:val="en-US" w:eastAsia="en-US" w:bidi="ar-SA"/>
      </w:rPr>
    </w:lvl>
    <w:lvl w:ilvl="6">
      <w:numFmt w:val="bullet"/>
      <w:lvlText w:val="•"/>
      <w:lvlJc w:val="left"/>
      <w:pPr>
        <w:ind w:left="5240" w:hanging="361"/>
      </w:pPr>
      <w:rPr>
        <w:rFonts w:hint="default"/>
        <w:lang w:val="en-US" w:eastAsia="en-US" w:bidi="ar-SA"/>
      </w:rPr>
    </w:lvl>
    <w:lvl w:ilvl="7">
      <w:numFmt w:val="bullet"/>
      <w:lvlText w:val="•"/>
      <w:lvlJc w:val="left"/>
      <w:pPr>
        <w:ind w:left="6340" w:hanging="361"/>
      </w:pPr>
      <w:rPr>
        <w:rFonts w:hint="default"/>
        <w:lang w:val="en-US" w:eastAsia="en-US" w:bidi="ar-SA"/>
      </w:rPr>
    </w:lvl>
    <w:lvl w:ilvl="8">
      <w:numFmt w:val="bullet"/>
      <w:lvlText w:val="•"/>
      <w:lvlJc w:val="left"/>
      <w:pPr>
        <w:ind w:left="7440" w:hanging="361"/>
      </w:pPr>
      <w:rPr>
        <w:rFonts w:hint="default"/>
        <w:lang w:val="en-US" w:eastAsia="en-US" w:bidi="ar-SA"/>
      </w:rPr>
    </w:lvl>
  </w:abstractNum>
  <w:abstractNum w:abstractNumId="1" w15:restartNumberingAfterBreak="0">
    <w:nsid w:val="7E88712A"/>
    <w:multiLevelType w:val="hybridMultilevel"/>
    <w:tmpl w:val="51DA7C56"/>
    <w:lvl w:ilvl="0" w:tplc="50BE000A">
      <w:start w:val="1"/>
      <w:numFmt w:val="upperRoman"/>
      <w:lvlText w:val="%1."/>
      <w:lvlJc w:val="left"/>
      <w:pPr>
        <w:ind w:left="844" w:hanging="505"/>
        <w:jc w:val="right"/>
      </w:pPr>
      <w:rPr>
        <w:rFonts w:ascii="Times New Roman" w:eastAsia="Times New Roman" w:hAnsi="Times New Roman" w:cs="Times New Roman" w:hint="default"/>
        <w:b w:val="0"/>
        <w:bCs w:val="0"/>
        <w:i w:val="0"/>
        <w:iCs w:val="0"/>
        <w:color w:val="0C0C0C"/>
        <w:spacing w:val="0"/>
        <w:w w:val="101"/>
        <w:sz w:val="24"/>
        <w:szCs w:val="24"/>
        <w:lang w:val="en-US" w:eastAsia="en-US" w:bidi="ar-SA"/>
      </w:rPr>
    </w:lvl>
    <w:lvl w:ilvl="1" w:tplc="D264C33E">
      <w:numFmt w:val="bullet"/>
      <w:lvlText w:val="•"/>
      <w:lvlJc w:val="left"/>
      <w:pPr>
        <w:ind w:left="1720" w:hanging="505"/>
      </w:pPr>
      <w:rPr>
        <w:rFonts w:hint="default"/>
        <w:lang w:val="en-US" w:eastAsia="en-US" w:bidi="ar-SA"/>
      </w:rPr>
    </w:lvl>
    <w:lvl w:ilvl="2" w:tplc="A00A51BC">
      <w:numFmt w:val="bullet"/>
      <w:lvlText w:val="•"/>
      <w:lvlJc w:val="left"/>
      <w:pPr>
        <w:ind w:left="2600" w:hanging="505"/>
      </w:pPr>
      <w:rPr>
        <w:rFonts w:hint="default"/>
        <w:lang w:val="en-US" w:eastAsia="en-US" w:bidi="ar-SA"/>
      </w:rPr>
    </w:lvl>
    <w:lvl w:ilvl="3" w:tplc="21B223F4">
      <w:numFmt w:val="bullet"/>
      <w:lvlText w:val="•"/>
      <w:lvlJc w:val="left"/>
      <w:pPr>
        <w:ind w:left="3480" w:hanging="505"/>
      </w:pPr>
      <w:rPr>
        <w:rFonts w:hint="default"/>
        <w:lang w:val="en-US" w:eastAsia="en-US" w:bidi="ar-SA"/>
      </w:rPr>
    </w:lvl>
    <w:lvl w:ilvl="4" w:tplc="B3007AAC">
      <w:numFmt w:val="bullet"/>
      <w:lvlText w:val="•"/>
      <w:lvlJc w:val="left"/>
      <w:pPr>
        <w:ind w:left="4360" w:hanging="505"/>
      </w:pPr>
      <w:rPr>
        <w:rFonts w:hint="default"/>
        <w:lang w:val="en-US" w:eastAsia="en-US" w:bidi="ar-SA"/>
      </w:rPr>
    </w:lvl>
    <w:lvl w:ilvl="5" w:tplc="A4549960">
      <w:numFmt w:val="bullet"/>
      <w:lvlText w:val="•"/>
      <w:lvlJc w:val="left"/>
      <w:pPr>
        <w:ind w:left="5240" w:hanging="505"/>
      </w:pPr>
      <w:rPr>
        <w:rFonts w:hint="default"/>
        <w:lang w:val="en-US" w:eastAsia="en-US" w:bidi="ar-SA"/>
      </w:rPr>
    </w:lvl>
    <w:lvl w:ilvl="6" w:tplc="90BC1E96">
      <w:numFmt w:val="bullet"/>
      <w:lvlText w:val="•"/>
      <w:lvlJc w:val="left"/>
      <w:pPr>
        <w:ind w:left="6120" w:hanging="505"/>
      </w:pPr>
      <w:rPr>
        <w:rFonts w:hint="default"/>
        <w:lang w:val="en-US" w:eastAsia="en-US" w:bidi="ar-SA"/>
      </w:rPr>
    </w:lvl>
    <w:lvl w:ilvl="7" w:tplc="B32662EC">
      <w:numFmt w:val="bullet"/>
      <w:lvlText w:val="•"/>
      <w:lvlJc w:val="left"/>
      <w:pPr>
        <w:ind w:left="7000" w:hanging="505"/>
      </w:pPr>
      <w:rPr>
        <w:rFonts w:hint="default"/>
        <w:lang w:val="en-US" w:eastAsia="en-US" w:bidi="ar-SA"/>
      </w:rPr>
    </w:lvl>
    <w:lvl w:ilvl="8" w:tplc="669CFF4E">
      <w:numFmt w:val="bullet"/>
      <w:lvlText w:val="•"/>
      <w:lvlJc w:val="left"/>
      <w:pPr>
        <w:ind w:left="7880" w:hanging="505"/>
      </w:pPr>
      <w:rPr>
        <w:rFonts w:hint="default"/>
        <w:lang w:val="en-US" w:eastAsia="en-US" w:bidi="ar-SA"/>
      </w:rPr>
    </w:lvl>
  </w:abstractNum>
  <w:num w:numId="1" w16cid:durableId="212618791">
    <w:abstractNumId w:val="1"/>
  </w:num>
  <w:num w:numId="2" w16cid:durableId="149684385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revisionView w:inkAnnotations="0"/>
  <w:defaultTabStop w:val="720"/>
  <w:drawingGridHorizontalSpacing w:val="110"/>
  <w:displayHorizontalDrawingGridEvery w:val="2"/>
  <w:characterSpacingControl w:val="doNotCompress"/>
  <w:hdrShapeDefaults>
    <o:shapedefaults v:ext="edit" spidmax="6145"/>
  </w:hdrShapeDefault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ironcladData" w:val="1|4e1822d1ab3ce4ec77a02e532ce861f2|3c799ba5447cbd802cab52b2bf8c560b553770fa77fe2318ce60e6dfbe54bdd2d1334bf8dfa95a1a81d467646579ef453d9a4f66bdc43a39a16e89ea61a3701af80d2718874d79e1185bdba3e96af7f600a7b67b123411f028855de2ce19d4bc233f55d6253e8fcf6b161e40f5cfdc36a6c21b3acff9b57e18653a2c44c4efe5"/>
  </w:docVars>
  <w:rsids>
    <w:rsidRoot w:val="001B7DB3"/>
    <w:rsid w:val="000240E2"/>
    <w:rsid w:val="000C37C2"/>
    <w:rsid w:val="001B7DB3"/>
    <w:rsid w:val="00251CAD"/>
    <w:rsid w:val="004A0DDB"/>
    <w:rsid w:val="0086500C"/>
    <w:rsid w:val="008B6510"/>
    <w:rsid w:val="009F7404"/>
    <w:rsid w:val="00A27683"/>
    <w:rsid w:val="00C3243A"/>
    <w:rsid w:val="00E93DA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129523C0"/>
  <w15:docId w15:val="{70BA4006-5162-442C-8CE0-5CD974CE99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eastAsia="Times New Roman" w:hAnsi="Times New Roman" w:cs="Times New Roman"/>
    </w:rPr>
  </w:style>
  <w:style w:type="paragraph" w:styleId="Heading1">
    <w:name w:val="heading 1"/>
    <w:basedOn w:val="Normal"/>
    <w:uiPriority w:val="9"/>
    <w:qFormat/>
    <w:pPr>
      <w:ind w:left="843" w:hanging="720"/>
      <w:outlineLvl w:val="0"/>
    </w:pPr>
    <w:rPr>
      <w:b/>
      <w:bCs/>
      <w:sz w:val="24"/>
      <w:szCs w:val="24"/>
    </w:rPr>
  </w:style>
  <w:style w:type="paragraph" w:styleId="Heading2">
    <w:name w:val="heading 2"/>
    <w:basedOn w:val="Normal"/>
    <w:uiPriority w:val="9"/>
    <w:unhideWhenUsed/>
    <w:qFormat/>
    <w:pPr>
      <w:spacing w:before="65"/>
      <w:ind w:left="1569" w:hanging="725"/>
      <w:outlineLvl w:val="1"/>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jc w:val="both"/>
    </w:pPr>
    <w:rPr>
      <w:sz w:val="24"/>
      <w:szCs w:val="24"/>
    </w:rPr>
  </w:style>
  <w:style w:type="paragraph" w:styleId="Title">
    <w:name w:val="Title"/>
    <w:basedOn w:val="Normal"/>
    <w:uiPriority w:val="10"/>
    <w:qFormat/>
    <w:pPr>
      <w:spacing w:before="61"/>
      <w:ind w:left="2610" w:right="2162" w:firstLine="831"/>
    </w:pPr>
    <w:rPr>
      <w:b/>
      <w:bCs/>
      <w:sz w:val="31"/>
      <w:szCs w:val="31"/>
    </w:rPr>
  </w:style>
  <w:style w:type="paragraph" w:styleId="ListParagraph">
    <w:name w:val="List Paragraph"/>
    <w:basedOn w:val="Normal"/>
    <w:uiPriority w:val="1"/>
    <w:qFormat/>
    <w:pPr>
      <w:ind w:left="1926" w:hanging="721"/>
      <w:jc w:val="both"/>
    </w:p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E93DA0"/>
    <w:pPr>
      <w:tabs>
        <w:tab w:val="center" w:pos="4680"/>
        <w:tab w:val="right" w:pos="9360"/>
      </w:tabs>
    </w:pPr>
  </w:style>
  <w:style w:type="character" w:customStyle="1" w:styleId="HeaderChar">
    <w:name w:val="Header Char"/>
    <w:basedOn w:val="DefaultParagraphFont"/>
    <w:link w:val="Header"/>
    <w:uiPriority w:val="99"/>
    <w:rsid w:val="00E93DA0"/>
    <w:rPr>
      <w:rFonts w:ascii="Times New Roman" w:eastAsia="Times New Roman" w:hAnsi="Times New Roman" w:cs="Times New Roman"/>
    </w:rPr>
  </w:style>
  <w:style w:type="paragraph" w:styleId="Footer">
    <w:name w:val="footer"/>
    <w:basedOn w:val="Normal"/>
    <w:link w:val="FooterChar"/>
    <w:uiPriority w:val="99"/>
    <w:unhideWhenUsed/>
    <w:rsid w:val="00E93DA0"/>
    <w:pPr>
      <w:tabs>
        <w:tab w:val="center" w:pos="4680"/>
        <w:tab w:val="right" w:pos="9360"/>
      </w:tabs>
    </w:pPr>
  </w:style>
  <w:style w:type="character" w:customStyle="1" w:styleId="FooterChar">
    <w:name w:val="Footer Char"/>
    <w:basedOn w:val="DefaultParagraphFont"/>
    <w:link w:val="Footer"/>
    <w:uiPriority w:val="99"/>
    <w:rsid w:val="00E93DA0"/>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10</Pages>
  <Words>3831</Words>
  <Characters>21843</Characters>
  <Application>Microsoft Office Word</Application>
  <DocSecurity>0</DocSecurity>
  <Lines>182</Lines>
  <Paragraphs>51</Paragraphs>
  <ScaleCrop>false</ScaleCrop>
  <HeadingPairs>
    <vt:vector size="2" baseType="variant">
      <vt:variant>
        <vt:lpstr>Title</vt:lpstr>
      </vt:variant>
      <vt:variant>
        <vt:i4>1</vt:i4>
      </vt:variant>
    </vt:vector>
  </HeadingPairs>
  <TitlesOfParts>
    <vt:vector size="1" baseType="lpstr">
      <vt:lpstr>Attachment G - Federal Funding Terms</vt:lpstr>
    </vt:vector>
  </TitlesOfParts>
  <Company/>
  <LinksUpToDate>false</LinksUpToDate>
  <CharactersWithSpaces>25623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Attachment G - Federal Funding Terms</dc:title>
  <dc:subject>Attachment G includes federal funding terms used in solicitations.</dc:subject>
  <dc:creator>OMES Central Purcahsing </dc:creator>
  <cp:keywords>attachment g; federal; funding; term; solicitation</cp:keywords>
  <cp:lastModifiedBy>Jake Lowrey</cp:lastModifiedBy>
  <cp:revision>3</cp:revision>
  <dcterms:created xsi:type="dcterms:W3CDTF">2025-04-07T19:13:00Z</dcterms:created>
  <dcterms:modified xsi:type="dcterms:W3CDTF">2025-04-07T19:31:00Z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2024-08-29T00:00:00Z</vt:filetime>
  </property>
  <property fmtid="{D5CDD505-2E9C-101B-9397-08002B2CF9AE}" pid="3" name="LastSaved">
    <vt:filetime>2025-03-18T00:00:00Z</vt:filetime>
  </property>
  <property fmtid="{D5CDD505-2E9C-101B-9397-08002B2CF9AE}" pid="4" name="Producer">
    <vt:lpwstr>Microsoft: Print To PDF</vt:lpwstr>
  </property>
</Properties>
</file>