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74" w:rsidRPr="00501874" w:rsidRDefault="00501874" w:rsidP="00501874">
      <w:pPr>
        <w:widowControl w:val="0"/>
        <w:pBdr>
          <w:top w:val="nil"/>
          <w:left w:val="nil"/>
          <w:bottom w:val="nil"/>
          <w:right w:val="nil"/>
          <w:between w:val="nil"/>
        </w:pBdr>
        <w:spacing w:after="120"/>
        <w:ind w:left="360"/>
        <w:jc w:val="center"/>
        <w:rPr>
          <w:rFonts w:ascii="Arial" w:eastAsia="Arial" w:hAnsi="Arial" w:cs="Arial"/>
          <w:b/>
          <w:color w:val="000000"/>
        </w:rPr>
      </w:pPr>
      <w:r w:rsidRPr="00501874">
        <w:rPr>
          <w:rFonts w:ascii="Arial" w:eastAsia="Arial" w:hAnsi="Arial" w:cs="Arial"/>
          <w:b/>
          <w:color w:val="000000"/>
        </w:rPr>
        <w:t>ODWC STANDARD AGREEMENT</w:t>
      </w:r>
    </w:p>
    <w:p w:rsidR="00501874" w:rsidRPr="00501874" w:rsidRDefault="00501874" w:rsidP="00501874">
      <w:pPr>
        <w:widowControl w:val="0"/>
        <w:pBdr>
          <w:top w:val="nil"/>
          <w:left w:val="nil"/>
          <w:bottom w:val="nil"/>
          <w:right w:val="nil"/>
          <w:between w:val="nil"/>
        </w:pBdr>
        <w:spacing w:after="120"/>
        <w:ind w:left="360"/>
        <w:jc w:val="center"/>
        <w:rPr>
          <w:rFonts w:ascii="Arial" w:eastAsia="Arial" w:hAnsi="Arial" w:cs="Arial"/>
          <w:b/>
          <w:color w:val="000000"/>
        </w:rPr>
      </w:pPr>
      <w:r w:rsidRPr="00501874">
        <w:rPr>
          <w:rFonts w:ascii="Arial" w:eastAsia="Arial" w:hAnsi="Arial" w:cs="Arial"/>
          <w:b/>
          <w:color w:val="000000"/>
        </w:rPr>
        <w:t>Attachment "B"</w:t>
      </w:r>
    </w:p>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b/>
          <w:color w:val="000000"/>
        </w:rPr>
      </w:pPr>
    </w:p>
    <w:tbl>
      <w:tblPr>
        <w:tblW w:w="8925"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0"/>
        <w:gridCol w:w="4125"/>
      </w:tblGrid>
      <w:tr w:rsidR="00501874" w:rsidRPr="00501874" w:rsidTr="00633A32">
        <w:trPr>
          <w:tblHeader/>
        </w:trPr>
        <w:tc>
          <w:tcPr>
            <w:tcW w:w="4800" w:type="dxa"/>
            <w:tcBorders>
              <w:bottom w:val="nil"/>
            </w:tcBorders>
            <w:shd w:val="clear" w:color="auto" w:fill="E6E6E6"/>
          </w:tcPr>
          <w:p w:rsidR="00501874" w:rsidRPr="00501874" w:rsidRDefault="00501874" w:rsidP="00501874">
            <w:pPr>
              <w:widowControl w:val="0"/>
              <w:pBdr>
                <w:top w:val="nil"/>
                <w:left w:val="nil"/>
                <w:bottom w:val="nil"/>
                <w:right w:val="nil"/>
                <w:between w:val="nil"/>
              </w:pBdr>
              <w:jc w:val="both"/>
              <w:rPr>
                <w:rFonts w:ascii="Arial" w:eastAsia="Arial" w:hAnsi="Arial" w:cs="Arial"/>
                <w:color w:val="000000"/>
                <w:sz w:val="20"/>
                <w:szCs w:val="20"/>
              </w:rPr>
            </w:pPr>
            <w:r w:rsidRPr="00501874">
              <w:rPr>
                <w:rFonts w:ascii="Arial" w:eastAsia="Arial" w:hAnsi="Arial" w:cs="Arial"/>
                <w:b/>
                <w:color w:val="000000"/>
                <w:sz w:val="20"/>
                <w:szCs w:val="20"/>
              </w:rPr>
              <w:t>Issue:</w:t>
            </w:r>
          </w:p>
        </w:tc>
        <w:tc>
          <w:tcPr>
            <w:tcW w:w="4125" w:type="dxa"/>
            <w:tcBorders>
              <w:bottom w:val="nil"/>
            </w:tcBorders>
            <w:shd w:val="clear" w:color="auto" w:fill="E6E6E6"/>
          </w:tcPr>
          <w:p w:rsidR="00501874" w:rsidRPr="00501874" w:rsidRDefault="00501874" w:rsidP="00501874">
            <w:pPr>
              <w:widowControl w:val="0"/>
              <w:pBdr>
                <w:top w:val="nil"/>
                <w:left w:val="nil"/>
                <w:bottom w:val="nil"/>
                <w:right w:val="nil"/>
                <w:between w:val="nil"/>
              </w:pBdr>
              <w:jc w:val="center"/>
              <w:rPr>
                <w:rFonts w:ascii="Arial" w:eastAsia="Arial" w:hAnsi="Arial" w:cs="Arial"/>
                <w:color w:val="000000"/>
                <w:sz w:val="20"/>
                <w:szCs w:val="20"/>
              </w:rPr>
            </w:pPr>
            <w:r w:rsidRPr="00501874">
              <w:rPr>
                <w:rFonts w:ascii="Arial" w:eastAsia="Arial" w:hAnsi="Arial" w:cs="Arial"/>
                <w:b/>
                <w:color w:val="000000"/>
                <w:sz w:val="20"/>
                <w:szCs w:val="20"/>
              </w:rPr>
              <w:t>Vendor's response (Y &amp; N)</w:t>
            </w:r>
          </w:p>
        </w:tc>
      </w:tr>
      <w:tr w:rsidR="00501874" w:rsidRPr="00501874" w:rsidTr="00792800">
        <w:tc>
          <w:tcPr>
            <w:tcW w:w="4800" w:type="dxa"/>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Do you agree that the contents of your response to Sections 5, 6, 7 and 8 will become part of any contract that may be entered into as a result of this RFP?</w:t>
            </w:r>
          </w:p>
        </w:tc>
        <w:tc>
          <w:tcPr>
            <w:tcW w:w="4125" w:type="dxa"/>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Will you agree to begin measuring the service level (Appendix A) upon the implementation of the Solution?</w:t>
            </w:r>
          </w:p>
        </w:tc>
        <w:tc>
          <w:tcPr>
            <w:tcW w:w="4125" w:type="dxa"/>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The contract will include performance standards, measurement criteria and significant corresponding financial remedies.</w:t>
            </w:r>
          </w:p>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Do you agree to include the Service Levels and remedies for non-compliance as defined in Appendix A in the final contract?</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Please describe Vendor’s expectations of any Work Products developed and their ownership for Vendor’s proposed approach and solution– See Contract definition 2.Y and section 7.   Vendor should also redline section 7 to align with this response, if redlines are proposed.</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Do you agree to include mutually agreed upon solution enhancements, which will be periodically updated during the term of the contract?</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Do you agree that all provisions of the ODWC Contract NOT redlined or so noted are acceptable?</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 xml:space="preserve">Vendor acknowledges that no federal funds may be used to obtain any Solution under a contract awarded, pursuant to this RFP, to any Vendor who appears on any excluded lists on the federal government’s System for Award Management (SAM) at </w:t>
            </w:r>
            <w:hyperlink r:id="rId6">
              <w:r w:rsidRPr="00501874">
                <w:rPr>
                  <w:rFonts w:ascii="Arial" w:eastAsia="Arial" w:hAnsi="Arial" w:cs="Arial"/>
                  <w:color w:val="0000FF"/>
                  <w:sz w:val="20"/>
                  <w:szCs w:val="20"/>
                  <w:u w:val="single"/>
                </w:rPr>
                <w:t>www.sam.gov</w:t>
              </w:r>
            </w:hyperlink>
            <w:r w:rsidRPr="00501874">
              <w:rPr>
                <w:rFonts w:ascii="Arial" w:eastAsia="Arial" w:hAnsi="Arial" w:cs="Arial"/>
                <w:color w:val="000000"/>
                <w:sz w:val="20"/>
                <w:szCs w:val="20"/>
              </w:rPr>
              <w:t>.</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If Vendor proposes a solution that will require the State to execute a EULA, either as a signed agreement or as “</w:t>
            </w:r>
            <w:proofErr w:type="spellStart"/>
            <w:r w:rsidRPr="00501874">
              <w:rPr>
                <w:rFonts w:ascii="Arial" w:eastAsia="Arial" w:hAnsi="Arial" w:cs="Arial"/>
                <w:color w:val="000000"/>
                <w:sz w:val="20"/>
                <w:szCs w:val="20"/>
              </w:rPr>
              <w:t>clickwrap</w:t>
            </w:r>
            <w:proofErr w:type="spellEnd"/>
            <w:r w:rsidRPr="00501874">
              <w:rPr>
                <w:rFonts w:ascii="Arial" w:eastAsia="Arial" w:hAnsi="Arial" w:cs="Arial"/>
                <w:color w:val="000000"/>
                <w:sz w:val="20"/>
                <w:szCs w:val="20"/>
              </w:rPr>
              <w:t>”, with a software manufacturer, Vendor shall, for each such software manufacturer, obtain the written consent of such software manufacturer to the terms and conditions of ODWC’s “License Agreement Addendum” and provide a copy of each such consent with its proposal.</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highlight w:val="cyan"/>
              </w:rPr>
            </w:pPr>
            <w:r w:rsidRPr="00501874">
              <w:rPr>
                <w:rFonts w:ascii="Arial" w:eastAsia="Arial" w:hAnsi="Arial" w:cs="Arial"/>
                <w:color w:val="000000"/>
                <w:sz w:val="20"/>
                <w:szCs w:val="20"/>
              </w:rPr>
              <w:t>Do you affirm that your response meets all of the Mandatory requirements listed in section 2.O.?</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trHeight w:val="1060"/>
        </w:trPr>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lastRenderedPageBreak/>
              <w:t>Do you agree, should a contract be awarded</w:t>
            </w:r>
            <w:proofErr w:type="gramStart"/>
            <w:r w:rsidRPr="00501874">
              <w:rPr>
                <w:rFonts w:ascii="Arial" w:eastAsia="Arial" w:hAnsi="Arial" w:cs="Arial"/>
                <w:color w:val="000000"/>
                <w:sz w:val="20"/>
                <w:szCs w:val="20"/>
              </w:rPr>
              <w:t>,  to</w:t>
            </w:r>
            <w:proofErr w:type="gramEnd"/>
            <w:r w:rsidRPr="00501874">
              <w:rPr>
                <w:rFonts w:ascii="Arial" w:eastAsia="Arial" w:hAnsi="Arial" w:cs="Arial"/>
                <w:color w:val="000000"/>
                <w:sz w:val="20"/>
                <w:szCs w:val="20"/>
              </w:rPr>
              <w:t xml:space="preserve"> register your organization with the OK Office of Management and Enterprise Services (OMES) Central Purchasing Division at </w:t>
            </w:r>
            <w:hyperlink r:id="rId7">
              <w:r w:rsidRPr="00501874">
                <w:rPr>
                  <w:rFonts w:ascii="Arial" w:eastAsia="Arial" w:hAnsi="Arial" w:cs="Arial"/>
                  <w:color w:val="0000FF"/>
                  <w:sz w:val="20"/>
                  <w:szCs w:val="20"/>
                  <w:u w:val="single"/>
                </w:rPr>
                <w:t>vendors.ok.gov</w:t>
              </w:r>
            </w:hyperlink>
            <w:r w:rsidRPr="00501874">
              <w:rPr>
                <w:rFonts w:ascii="Arial" w:eastAsia="Arial" w:hAnsi="Arial" w:cs="Arial"/>
                <w:color w:val="000000"/>
                <w:sz w:val="20"/>
                <w:szCs w:val="20"/>
              </w:rPr>
              <w:t xml:space="preserve">? </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bookmarkStart w:id="0" w:name="_GoBack"/>
            <w:bookmarkEnd w:id="0"/>
          </w:p>
        </w:tc>
      </w:tr>
      <w:tr w:rsidR="00501874" w:rsidRPr="00501874" w:rsidTr="00792800">
        <w:trPr>
          <w:trHeight w:val="1060"/>
        </w:trPr>
        <w:tc>
          <w:tcPr>
            <w:tcW w:w="4800"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highlight w:val="cyan"/>
              </w:rPr>
            </w:pPr>
            <w:r w:rsidRPr="00501874">
              <w:rPr>
                <w:rFonts w:ascii="Arial" w:eastAsia="Arial" w:hAnsi="Arial" w:cs="Arial"/>
                <w:color w:val="000000"/>
                <w:sz w:val="20"/>
                <w:szCs w:val="20"/>
              </w:rPr>
              <w:t>Do you affirm that your organization and all affiliates are current with all sales tax obligations to the State as of the due date of the proposals in response to this RFP?</w:t>
            </w:r>
          </w:p>
        </w:tc>
        <w:tc>
          <w:tcPr>
            <w:tcW w:w="4125" w:type="dxa"/>
            <w:tcBorders>
              <w:top w:val="single" w:sz="4" w:space="0" w:color="000000"/>
              <w:left w:val="single" w:sz="4" w:space="0" w:color="000000"/>
              <w:bottom w:val="single" w:sz="4" w:space="0" w:color="000000"/>
              <w:right w:val="single" w:sz="4" w:space="0" w:color="000000"/>
            </w:tcBorders>
          </w:tcPr>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p>
        </w:tc>
      </w:tr>
    </w:tbl>
    <w:p w:rsidR="00501874" w:rsidRDefault="00501874" w:rsidP="00501874">
      <w:pPr>
        <w:keepNext/>
        <w:widowControl w:val="0"/>
        <w:pBdr>
          <w:top w:val="nil"/>
          <w:left w:val="nil"/>
          <w:bottom w:val="single" w:sz="18" w:space="1" w:color="000000"/>
          <w:right w:val="nil"/>
          <w:between w:val="nil"/>
        </w:pBdr>
        <w:spacing w:after="60"/>
        <w:ind w:left="1440" w:hanging="360"/>
        <w:outlineLvl w:val="0"/>
        <w:rPr>
          <w:rFonts w:ascii="Arial" w:eastAsia="Arial" w:hAnsi="Arial" w:cs="Arial"/>
          <w:b/>
          <w:color w:val="000000"/>
          <w:sz w:val="20"/>
          <w:szCs w:val="20"/>
        </w:rPr>
      </w:pPr>
      <w:bookmarkStart w:id="1" w:name="_27jua8u" w:colFirst="0" w:colLast="0"/>
      <w:bookmarkEnd w:id="1"/>
    </w:p>
    <w:p w:rsidR="00501874" w:rsidRDefault="00501874" w:rsidP="00501874">
      <w:pPr>
        <w:keepNext/>
        <w:widowControl w:val="0"/>
        <w:pBdr>
          <w:top w:val="nil"/>
          <w:left w:val="nil"/>
          <w:bottom w:val="single" w:sz="18" w:space="1" w:color="000000"/>
          <w:right w:val="nil"/>
          <w:between w:val="nil"/>
        </w:pBdr>
        <w:spacing w:after="60"/>
        <w:ind w:left="1440" w:hanging="360"/>
        <w:outlineLvl w:val="0"/>
        <w:rPr>
          <w:rFonts w:ascii="Arial" w:eastAsia="Arial" w:hAnsi="Arial" w:cs="Arial"/>
          <w:b/>
          <w:color w:val="000000"/>
          <w:sz w:val="20"/>
          <w:szCs w:val="20"/>
        </w:rPr>
      </w:pPr>
    </w:p>
    <w:p w:rsidR="00501874" w:rsidRDefault="00501874" w:rsidP="00501874">
      <w:pPr>
        <w:keepNext/>
        <w:widowControl w:val="0"/>
        <w:pBdr>
          <w:top w:val="nil"/>
          <w:left w:val="nil"/>
          <w:bottom w:val="single" w:sz="18" w:space="1" w:color="000000"/>
          <w:right w:val="nil"/>
          <w:between w:val="nil"/>
        </w:pBdr>
        <w:spacing w:after="60"/>
        <w:ind w:left="1440" w:hanging="360"/>
        <w:outlineLvl w:val="0"/>
        <w:rPr>
          <w:rFonts w:ascii="Arial" w:eastAsia="Arial" w:hAnsi="Arial" w:cs="Arial"/>
          <w:b/>
          <w:color w:val="000000"/>
          <w:sz w:val="20"/>
          <w:szCs w:val="20"/>
        </w:rPr>
      </w:pPr>
    </w:p>
    <w:p w:rsidR="00501874" w:rsidRDefault="00501874" w:rsidP="00501874">
      <w:pPr>
        <w:keepNext/>
        <w:widowControl w:val="0"/>
        <w:pBdr>
          <w:top w:val="nil"/>
          <w:left w:val="nil"/>
          <w:bottom w:val="single" w:sz="18" w:space="1" w:color="000000"/>
          <w:right w:val="nil"/>
          <w:between w:val="nil"/>
        </w:pBdr>
        <w:spacing w:after="60"/>
        <w:ind w:left="1440" w:hanging="360"/>
        <w:outlineLvl w:val="0"/>
        <w:rPr>
          <w:rFonts w:ascii="Arial" w:eastAsia="Arial" w:hAnsi="Arial" w:cs="Arial"/>
          <w:b/>
          <w:color w:val="000000"/>
          <w:sz w:val="20"/>
          <w:szCs w:val="20"/>
        </w:rPr>
      </w:pPr>
    </w:p>
    <w:p w:rsidR="00501874" w:rsidRDefault="00501874" w:rsidP="00501874">
      <w:pPr>
        <w:keepNext/>
        <w:widowControl w:val="0"/>
        <w:pBdr>
          <w:top w:val="nil"/>
          <w:left w:val="nil"/>
          <w:bottom w:val="single" w:sz="18" w:space="1" w:color="000000"/>
          <w:right w:val="nil"/>
          <w:between w:val="nil"/>
        </w:pBdr>
        <w:spacing w:after="60"/>
        <w:ind w:left="1440" w:hanging="360"/>
        <w:outlineLvl w:val="0"/>
        <w:rPr>
          <w:rFonts w:ascii="Arial" w:eastAsia="Arial" w:hAnsi="Arial" w:cs="Arial"/>
          <w:b/>
          <w:color w:val="000000"/>
          <w:sz w:val="20"/>
          <w:szCs w:val="20"/>
        </w:rPr>
      </w:pPr>
    </w:p>
    <w:p w:rsidR="00501874" w:rsidRPr="00501874" w:rsidRDefault="00501874" w:rsidP="00501874">
      <w:pPr>
        <w:keepNext/>
        <w:widowControl w:val="0"/>
        <w:pBdr>
          <w:top w:val="nil"/>
          <w:left w:val="nil"/>
          <w:bottom w:val="single" w:sz="18" w:space="1" w:color="000000"/>
          <w:right w:val="nil"/>
          <w:between w:val="nil"/>
        </w:pBdr>
        <w:spacing w:after="60"/>
        <w:ind w:left="1440" w:hanging="360"/>
        <w:outlineLvl w:val="0"/>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sidRPr="00501874">
        <w:rPr>
          <w:rFonts w:ascii="Arial" w:eastAsia="Arial" w:hAnsi="Arial" w:cs="Arial"/>
          <w:b/>
          <w:color w:val="000000"/>
          <w:sz w:val="20"/>
          <w:szCs w:val="20"/>
        </w:rPr>
        <w:t xml:space="preserve">Service Level Agreements (SLAs)  </w:t>
      </w:r>
    </w:p>
    <w:p w:rsidR="00501874" w:rsidRPr="00501874" w:rsidRDefault="00501874" w:rsidP="00501874">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 xml:space="preserve">           To be effective upon Solution implementation. The below are examples of possible </w:t>
      </w:r>
      <w:r w:rsidR="00533CBE">
        <w:rPr>
          <w:rFonts w:ascii="Arial" w:eastAsia="Arial" w:hAnsi="Arial" w:cs="Arial"/>
          <w:color w:val="000000"/>
          <w:sz w:val="20"/>
          <w:szCs w:val="20"/>
        </w:rPr>
        <w:tab/>
      </w:r>
      <w:r w:rsidR="00533CBE">
        <w:rPr>
          <w:rFonts w:ascii="Arial" w:eastAsia="Arial" w:hAnsi="Arial" w:cs="Arial"/>
          <w:color w:val="000000"/>
          <w:sz w:val="20"/>
          <w:szCs w:val="20"/>
        </w:rPr>
        <w:tab/>
        <w:t xml:space="preserve">    </w:t>
      </w:r>
      <w:proofErr w:type="gramStart"/>
      <w:r w:rsidRPr="00501874">
        <w:rPr>
          <w:rFonts w:ascii="Arial" w:eastAsia="Arial" w:hAnsi="Arial" w:cs="Arial"/>
          <w:color w:val="000000"/>
          <w:sz w:val="20"/>
          <w:szCs w:val="20"/>
        </w:rPr>
        <w:t>Service  Level</w:t>
      </w:r>
      <w:proofErr w:type="gramEnd"/>
      <w:r w:rsidRPr="00501874">
        <w:rPr>
          <w:rFonts w:ascii="Arial" w:eastAsia="Arial" w:hAnsi="Arial" w:cs="Arial"/>
          <w:color w:val="000000"/>
          <w:sz w:val="20"/>
          <w:szCs w:val="20"/>
        </w:rPr>
        <w:t xml:space="preserve"> Agreements.  Vendor should provide a complete list of SLAs using the </w:t>
      </w:r>
      <w:r w:rsidR="00533CBE">
        <w:rPr>
          <w:rFonts w:ascii="Arial" w:eastAsia="Arial" w:hAnsi="Arial" w:cs="Arial"/>
          <w:color w:val="000000"/>
          <w:sz w:val="20"/>
          <w:szCs w:val="20"/>
        </w:rPr>
        <w:tab/>
        <w:t xml:space="preserve">   </w:t>
      </w:r>
      <w:r w:rsidR="00533CBE">
        <w:rPr>
          <w:rFonts w:ascii="Arial" w:eastAsia="Arial" w:hAnsi="Arial" w:cs="Arial"/>
          <w:color w:val="000000"/>
          <w:sz w:val="20"/>
          <w:szCs w:val="20"/>
        </w:rPr>
        <w:tab/>
        <w:t xml:space="preserve">    </w:t>
      </w:r>
      <w:r w:rsidRPr="00501874">
        <w:rPr>
          <w:rFonts w:ascii="Arial" w:eastAsia="Arial" w:hAnsi="Arial" w:cs="Arial"/>
          <w:color w:val="000000"/>
          <w:sz w:val="20"/>
          <w:szCs w:val="20"/>
        </w:rPr>
        <w:t>template below.</w:t>
      </w:r>
    </w:p>
    <w:tbl>
      <w:tblPr>
        <w:tblW w:w="1078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960"/>
        <w:gridCol w:w="2960"/>
        <w:gridCol w:w="1960"/>
        <w:gridCol w:w="980"/>
        <w:gridCol w:w="1360"/>
        <w:gridCol w:w="1560"/>
      </w:tblGrid>
      <w:tr w:rsidR="00501874" w:rsidRPr="00501874" w:rsidTr="00633A32">
        <w:trPr>
          <w:tblHeader/>
          <w:jc w:val="center"/>
        </w:trPr>
        <w:tc>
          <w:tcPr>
            <w:tcW w:w="1960" w:type="dxa"/>
            <w:tcBorders>
              <w:top w:val="single" w:sz="18" w:space="0" w:color="000000"/>
              <w:bottom w:val="single" w:sz="6" w:space="0" w:color="000000"/>
            </w:tcBorders>
            <w:shd w:val="clear" w:color="auto" w:fill="F2F2F2"/>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b/>
                <w:color w:val="000000"/>
                <w:sz w:val="20"/>
                <w:szCs w:val="20"/>
              </w:rPr>
              <w:t>Performance Standard</w:t>
            </w:r>
          </w:p>
        </w:tc>
        <w:tc>
          <w:tcPr>
            <w:tcW w:w="2960" w:type="dxa"/>
            <w:tcBorders>
              <w:top w:val="single" w:sz="18" w:space="0" w:color="000000"/>
              <w:bottom w:val="single" w:sz="6" w:space="0" w:color="000000"/>
            </w:tcBorders>
            <w:shd w:val="clear" w:color="auto" w:fill="F2F2F2"/>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b/>
                <w:color w:val="000000"/>
                <w:sz w:val="20"/>
                <w:szCs w:val="20"/>
              </w:rPr>
              <w:t>Measurement</w:t>
            </w:r>
          </w:p>
        </w:tc>
        <w:tc>
          <w:tcPr>
            <w:tcW w:w="1960" w:type="dxa"/>
            <w:tcBorders>
              <w:top w:val="single" w:sz="18" w:space="0" w:color="000000"/>
              <w:bottom w:val="single" w:sz="6" w:space="0" w:color="000000"/>
            </w:tcBorders>
            <w:shd w:val="clear" w:color="auto" w:fill="F2F2F2"/>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b/>
                <w:color w:val="000000"/>
                <w:sz w:val="20"/>
                <w:szCs w:val="20"/>
              </w:rPr>
              <w:t>Measurement Period</w:t>
            </w:r>
          </w:p>
        </w:tc>
        <w:tc>
          <w:tcPr>
            <w:tcW w:w="980" w:type="dxa"/>
            <w:tcBorders>
              <w:top w:val="single" w:sz="18" w:space="0" w:color="000000"/>
              <w:bottom w:val="single" w:sz="6" w:space="0" w:color="000000"/>
            </w:tcBorders>
            <w:shd w:val="clear" w:color="auto" w:fill="F2F2F2"/>
          </w:tcPr>
          <w:p w:rsidR="00501874" w:rsidRPr="00501874" w:rsidRDefault="00501874" w:rsidP="00792800">
            <w:pPr>
              <w:widowControl w:val="0"/>
              <w:pBdr>
                <w:top w:val="nil"/>
                <w:left w:val="nil"/>
                <w:bottom w:val="nil"/>
                <w:right w:val="nil"/>
                <w:between w:val="nil"/>
              </w:pBdr>
              <w:spacing w:after="120"/>
              <w:rPr>
                <w:rFonts w:ascii="Arial" w:eastAsia="Arial" w:hAnsi="Arial" w:cs="Arial"/>
                <w:color w:val="000000"/>
                <w:sz w:val="20"/>
                <w:szCs w:val="20"/>
              </w:rPr>
            </w:pPr>
            <w:r w:rsidRPr="00501874">
              <w:rPr>
                <w:rFonts w:ascii="Arial" w:eastAsia="Arial" w:hAnsi="Arial" w:cs="Arial"/>
                <w:b/>
                <w:color w:val="000000"/>
                <w:sz w:val="20"/>
                <w:szCs w:val="20"/>
              </w:rPr>
              <w:t>% Level</w:t>
            </w:r>
          </w:p>
        </w:tc>
        <w:tc>
          <w:tcPr>
            <w:tcW w:w="1360" w:type="dxa"/>
            <w:tcBorders>
              <w:top w:val="single" w:sz="18" w:space="0" w:color="000000"/>
              <w:bottom w:val="single" w:sz="6" w:space="0" w:color="000000"/>
            </w:tcBorders>
            <w:shd w:val="clear" w:color="auto" w:fill="F2F2F2"/>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b/>
                <w:color w:val="000000"/>
                <w:sz w:val="20"/>
                <w:szCs w:val="20"/>
              </w:rPr>
              <w:t>Service Price</w:t>
            </w:r>
          </w:p>
        </w:tc>
        <w:tc>
          <w:tcPr>
            <w:tcW w:w="1560" w:type="dxa"/>
            <w:tcBorders>
              <w:top w:val="single" w:sz="18" w:space="0" w:color="000000"/>
              <w:bottom w:val="single" w:sz="6" w:space="0" w:color="000000"/>
            </w:tcBorders>
            <w:shd w:val="clear" w:color="auto" w:fill="F2F2F2"/>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b/>
                <w:color w:val="000000"/>
                <w:sz w:val="20"/>
                <w:szCs w:val="20"/>
              </w:rPr>
              <w:t>Remedy</w:t>
            </w:r>
          </w:p>
        </w:tc>
      </w:tr>
      <w:tr w:rsidR="00501874" w:rsidRPr="00501874" w:rsidTr="00792800">
        <w:trPr>
          <w:jc w:val="center"/>
        </w:trPr>
        <w:tc>
          <w:tcPr>
            <w:tcW w:w="1960" w:type="dxa"/>
            <w:tcBorders>
              <w:top w:val="single" w:sz="6" w:space="0" w:color="000000"/>
            </w:tcBorders>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Answer Time</w:t>
            </w:r>
          </w:p>
        </w:tc>
        <w:tc>
          <w:tcPr>
            <w:tcW w:w="2960" w:type="dxa"/>
            <w:tcBorders>
              <w:top w:val="single" w:sz="6" w:space="0" w:color="000000"/>
            </w:tcBorders>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All Calls in 30 Sec</w:t>
            </w:r>
          </w:p>
        </w:tc>
        <w:tc>
          <w:tcPr>
            <w:tcW w:w="1960" w:type="dxa"/>
            <w:tcBorders>
              <w:top w:val="single" w:sz="6" w:space="0" w:color="000000"/>
            </w:tcBorders>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Monthly</w:t>
            </w:r>
          </w:p>
        </w:tc>
        <w:tc>
          <w:tcPr>
            <w:tcW w:w="980" w:type="dxa"/>
            <w:tcBorders>
              <w:top w:val="single" w:sz="6" w:space="0" w:color="000000"/>
            </w:tcBorders>
          </w:tcPr>
          <w:p w:rsidR="00501874" w:rsidRPr="00501874" w:rsidRDefault="00501874" w:rsidP="00792800">
            <w:pPr>
              <w:widowControl w:val="0"/>
              <w:pBdr>
                <w:top w:val="nil"/>
                <w:left w:val="nil"/>
                <w:bottom w:val="nil"/>
                <w:right w:val="nil"/>
                <w:between w:val="nil"/>
              </w:pBdr>
              <w:spacing w:after="120"/>
              <w:jc w:val="center"/>
              <w:rPr>
                <w:rFonts w:ascii="Arial" w:eastAsia="Arial" w:hAnsi="Arial" w:cs="Arial"/>
                <w:color w:val="000000"/>
                <w:sz w:val="20"/>
                <w:szCs w:val="20"/>
              </w:rPr>
            </w:pPr>
            <w:r w:rsidRPr="00501874">
              <w:rPr>
                <w:rFonts w:ascii="Arial" w:eastAsia="Arial" w:hAnsi="Arial" w:cs="Arial"/>
                <w:color w:val="000000"/>
                <w:sz w:val="20"/>
                <w:szCs w:val="20"/>
              </w:rPr>
              <w:t>95%</w:t>
            </w:r>
          </w:p>
        </w:tc>
        <w:tc>
          <w:tcPr>
            <w:tcW w:w="1360" w:type="dxa"/>
            <w:tcBorders>
              <w:top w:val="single" w:sz="6" w:space="0" w:color="000000"/>
            </w:tcBorders>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100%</w:t>
            </w:r>
          </w:p>
        </w:tc>
        <w:tc>
          <w:tcPr>
            <w:tcW w:w="1560" w:type="dxa"/>
            <w:tcBorders>
              <w:top w:val="single" w:sz="6" w:space="0" w:color="000000"/>
            </w:tcBorders>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$1000/1%</w:t>
            </w:r>
          </w:p>
        </w:tc>
      </w:tr>
      <w:tr w:rsidR="00501874" w:rsidRPr="00501874" w:rsidTr="00792800">
        <w:trPr>
          <w:trHeight w:val="580"/>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Restoring from backup data</w:t>
            </w: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within two (2) hours</w:t>
            </w: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Solution Availability</w:t>
            </w: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minimum of 99.5%</w:t>
            </w:r>
          </w:p>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24/7/365</w:t>
            </w: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Hourly</w:t>
            </w:r>
          </w:p>
        </w:tc>
        <w:tc>
          <w:tcPr>
            <w:tcW w:w="980" w:type="dxa"/>
          </w:tcPr>
          <w:p w:rsidR="00501874" w:rsidRPr="00501874" w:rsidRDefault="00501874" w:rsidP="00792800">
            <w:pPr>
              <w:widowControl w:val="0"/>
              <w:pBdr>
                <w:top w:val="nil"/>
                <w:left w:val="nil"/>
                <w:bottom w:val="nil"/>
                <w:right w:val="nil"/>
                <w:between w:val="nil"/>
              </w:pBdr>
              <w:spacing w:after="120"/>
              <w:jc w:val="center"/>
              <w:rPr>
                <w:rFonts w:ascii="Arial" w:eastAsia="Arial" w:hAnsi="Arial" w:cs="Arial"/>
                <w:color w:val="000000"/>
                <w:sz w:val="20"/>
                <w:szCs w:val="20"/>
              </w:rPr>
            </w:pPr>
            <w:r w:rsidRPr="00501874">
              <w:rPr>
                <w:rFonts w:ascii="Arial" w:eastAsia="Arial" w:hAnsi="Arial" w:cs="Arial"/>
                <w:color w:val="000000"/>
                <w:sz w:val="20"/>
                <w:szCs w:val="20"/>
              </w:rPr>
              <w:t>99.5%</w:t>
            </w: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100%</w:t>
            </w: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$1000/1%</w:t>
            </w: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Concurrent Users</w:t>
            </w: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Up to 200 internal ODWC users</w:t>
            </w:r>
          </w:p>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r w:rsidRPr="00501874">
              <w:rPr>
                <w:rFonts w:ascii="Arial" w:eastAsia="Arial" w:hAnsi="Arial" w:cs="Arial"/>
                <w:color w:val="000000"/>
                <w:sz w:val="20"/>
                <w:szCs w:val="20"/>
              </w:rPr>
              <w:t>Up to 500 License Dealers</w:t>
            </w: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r w:rsidR="00501874" w:rsidRPr="00501874" w:rsidTr="00792800">
        <w:trPr>
          <w:jc w:val="center"/>
        </w:trPr>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2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9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98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3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c>
          <w:tcPr>
            <w:tcW w:w="1560" w:type="dxa"/>
          </w:tcPr>
          <w:p w:rsidR="00501874" w:rsidRPr="00501874" w:rsidRDefault="00501874" w:rsidP="00792800">
            <w:pPr>
              <w:widowControl w:val="0"/>
              <w:pBdr>
                <w:top w:val="nil"/>
                <w:left w:val="nil"/>
                <w:bottom w:val="nil"/>
                <w:right w:val="nil"/>
                <w:between w:val="nil"/>
              </w:pBdr>
              <w:spacing w:after="120"/>
              <w:ind w:left="360"/>
              <w:rPr>
                <w:rFonts w:ascii="Arial" w:eastAsia="Arial" w:hAnsi="Arial" w:cs="Arial"/>
                <w:color w:val="000000"/>
                <w:sz w:val="20"/>
                <w:szCs w:val="20"/>
              </w:rPr>
            </w:pPr>
          </w:p>
        </w:tc>
      </w:tr>
    </w:tbl>
    <w:p w:rsidR="00590BAA" w:rsidRDefault="00590BAA" w:rsidP="00501874">
      <w:bookmarkStart w:id="2" w:name="_mzyqjaxe1kcu" w:colFirst="0" w:colLast="0"/>
      <w:bookmarkEnd w:id="2"/>
    </w:p>
    <w:sectPr w:rsidR="00590BA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A3" w:rsidRDefault="007E0DA3" w:rsidP="00501874">
      <w:r>
        <w:separator/>
      </w:r>
    </w:p>
  </w:endnote>
  <w:endnote w:type="continuationSeparator" w:id="0">
    <w:p w:rsidR="007E0DA3" w:rsidRDefault="007E0DA3" w:rsidP="0050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2A" w:rsidRDefault="00633A32">
    <w:pPr>
      <w:pBdr>
        <w:top w:val="single" w:sz="6" w:space="0" w:color="000000"/>
      </w:pBdr>
      <w:tabs>
        <w:tab w:val="center" w:pos="4680"/>
        <w:tab w:val="right" w:pos="9270"/>
      </w:tabs>
      <w:rPr>
        <w:smallCaps/>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A3" w:rsidRDefault="007E0DA3" w:rsidP="00501874">
      <w:r>
        <w:separator/>
      </w:r>
    </w:p>
  </w:footnote>
  <w:footnote w:type="continuationSeparator" w:id="0">
    <w:p w:rsidR="007E0DA3" w:rsidRDefault="007E0DA3" w:rsidP="0050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74"/>
    <w:rsid w:val="000131DB"/>
    <w:rsid w:val="00023B35"/>
    <w:rsid w:val="00060283"/>
    <w:rsid w:val="000A2B0D"/>
    <w:rsid w:val="000C6E12"/>
    <w:rsid w:val="000E59A8"/>
    <w:rsid w:val="001439EA"/>
    <w:rsid w:val="00145E17"/>
    <w:rsid w:val="0015105B"/>
    <w:rsid w:val="0016761F"/>
    <w:rsid w:val="00185AE4"/>
    <w:rsid w:val="001955E8"/>
    <w:rsid w:val="001F7568"/>
    <w:rsid w:val="00222DD1"/>
    <w:rsid w:val="002567D0"/>
    <w:rsid w:val="002636C3"/>
    <w:rsid w:val="002C02ED"/>
    <w:rsid w:val="002F07AD"/>
    <w:rsid w:val="00352FB3"/>
    <w:rsid w:val="00365EC9"/>
    <w:rsid w:val="003A7322"/>
    <w:rsid w:val="003B6531"/>
    <w:rsid w:val="003D638D"/>
    <w:rsid w:val="004149A1"/>
    <w:rsid w:val="00414B32"/>
    <w:rsid w:val="0044209B"/>
    <w:rsid w:val="0044784B"/>
    <w:rsid w:val="00455B2F"/>
    <w:rsid w:val="004874A8"/>
    <w:rsid w:val="004C4316"/>
    <w:rsid w:val="004F5B3B"/>
    <w:rsid w:val="00501874"/>
    <w:rsid w:val="005118B1"/>
    <w:rsid w:val="00526D08"/>
    <w:rsid w:val="00533CBE"/>
    <w:rsid w:val="00542974"/>
    <w:rsid w:val="00563341"/>
    <w:rsid w:val="005759C5"/>
    <w:rsid w:val="00576F22"/>
    <w:rsid w:val="00590B1B"/>
    <w:rsid w:val="00590BAA"/>
    <w:rsid w:val="005C12ED"/>
    <w:rsid w:val="005D4960"/>
    <w:rsid w:val="005F166C"/>
    <w:rsid w:val="005F31DC"/>
    <w:rsid w:val="00605C4A"/>
    <w:rsid w:val="00633A32"/>
    <w:rsid w:val="00655A7C"/>
    <w:rsid w:val="0066223B"/>
    <w:rsid w:val="0066373E"/>
    <w:rsid w:val="006732B0"/>
    <w:rsid w:val="006B1525"/>
    <w:rsid w:val="006B25B6"/>
    <w:rsid w:val="006D6217"/>
    <w:rsid w:val="006E1708"/>
    <w:rsid w:val="007011AD"/>
    <w:rsid w:val="00723077"/>
    <w:rsid w:val="007349F8"/>
    <w:rsid w:val="007442DC"/>
    <w:rsid w:val="00755ECF"/>
    <w:rsid w:val="00781948"/>
    <w:rsid w:val="007E0DA3"/>
    <w:rsid w:val="0084315C"/>
    <w:rsid w:val="0088424A"/>
    <w:rsid w:val="00890CCB"/>
    <w:rsid w:val="008D0CF8"/>
    <w:rsid w:val="008D10D9"/>
    <w:rsid w:val="008E1338"/>
    <w:rsid w:val="008F2633"/>
    <w:rsid w:val="008F2DC9"/>
    <w:rsid w:val="00924398"/>
    <w:rsid w:val="009356EA"/>
    <w:rsid w:val="009A3BB6"/>
    <w:rsid w:val="009A6276"/>
    <w:rsid w:val="009E01F1"/>
    <w:rsid w:val="00A46271"/>
    <w:rsid w:val="00A64B37"/>
    <w:rsid w:val="00A67083"/>
    <w:rsid w:val="00AC330D"/>
    <w:rsid w:val="00AC56DF"/>
    <w:rsid w:val="00B404AC"/>
    <w:rsid w:val="00B55B80"/>
    <w:rsid w:val="00BA5EFF"/>
    <w:rsid w:val="00BB532E"/>
    <w:rsid w:val="00BD3A6E"/>
    <w:rsid w:val="00C246E2"/>
    <w:rsid w:val="00C41A79"/>
    <w:rsid w:val="00C55C9A"/>
    <w:rsid w:val="00C707DE"/>
    <w:rsid w:val="00CA5333"/>
    <w:rsid w:val="00CB6ABB"/>
    <w:rsid w:val="00CE0F43"/>
    <w:rsid w:val="00CF2725"/>
    <w:rsid w:val="00D47BDA"/>
    <w:rsid w:val="00DD2C2D"/>
    <w:rsid w:val="00E044C5"/>
    <w:rsid w:val="00E071A7"/>
    <w:rsid w:val="00E53124"/>
    <w:rsid w:val="00E54C80"/>
    <w:rsid w:val="00E62D13"/>
    <w:rsid w:val="00E64A8D"/>
    <w:rsid w:val="00EA0572"/>
    <w:rsid w:val="00EB0FB4"/>
    <w:rsid w:val="00EB2C2C"/>
    <w:rsid w:val="00EF0D69"/>
    <w:rsid w:val="00F00A0F"/>
    <w:rsid w:val="00F1031F"/>
    <w:rsid w:val="00F21597"/>
    <w:rsid w:val="00F73714"/>
    <w:rsid w:val="00F8616C"/>
    <w:rsid w:val="00F90FE3"/>
    <w:rsid w:val="00F93548"/>
    <w:rsid w:val="00FC0A60"/>
    <w:rsid w:val="00FD0E76"/>
    <w:rsid w:val="00FE249B"/>
    <w:rsid w:val="00FE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D7F825-EBB9-4A3C-A557-11664CAC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1874"/>
    <w:pPr>
      <w:tabs>
        <w:tab w:val="center" w:pos="4680"/>
        <w:tab w:val="right" w:pos="9360"/>
      </w:tabs>
    </w:pPr>
  </w:style>
  <w:style w:type="character" w:customStyle="1" w:styleId="HeaderChar">
    <w:name w:val="Header Char"/>
    <w:basedOn w:val="DefaultParagraphFont"/>
    <w:link w:val="Header"/>
    <w:rsid w:val="00501874"/>
    <w:rPr>
      <w:sz w:val="24"/>
      <w:szCs w:val="24"/>
    </w:rPr>
  </w:style>
  <w:style w:type="paragraph" w:styleId="Footer">
    <w:name w:val="footer"/>
    <w:basedOn w:val="Normal"/>
    <w:link w:val="FooterChar"/>
    <w:rsid w:val="00501874"/>
    <w:pPr>
      <w:tabs>
        <w:tab w:val="center" w:pos="4680"/>
        <w:tab w:val="right" w:pos="9360"/>
      </w:tabs>
    </w:pPr>
  </w:style>
  <w:style w:type="character" w:customStyle="1" w:styleId="FooterChar">
    <w:name w:val="Footer Char"/>
    <w:basedOn w:val="DefaultParagraphFont"/>
    <w:link w:val="Footer"/>
    <w:rsid w:val="005018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vendors.ok.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3200000218 Attachment B</dc:title>
  <dc:subject>Oklahoma Department of Wildlife Conservation standard agreement.</dc:subject>
  <dc:creator>C. Luetkeymer</dc:creator>
  <cp:keywords>Oklahoma, department, wildlife, conservation, standard, agreement</cp:keywords>
  <cp:lastModifiedBy>Jake Lowrey</cp:lastModifiedBy>
  <cp:revision>3</cp:revision>
  <dcterms:created xsi:type="dcterms:W3CDTF">2017-11-28T21:30:00Z</dcterms:created>
  <dcterms:modified xsi:type="dcterms:W3CDTF">2017-11-28T21:33:00Z</dcterms:modified>
</cp:coreProperties>
</file>