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63DC" w14:textId="34B2D756" w:rsidR="0075605E" w:rsidRPr="00010B89" w:rsidRDefault="00810BF7" w:rsidP="00810BF7">
      <w:pPr>
        <w:jc w:val="center"/>
        <w:rPr>
          <w:rFonts w:ascii="Arial" w:hAnsi="Arial" w:cs="Arial"/>
          <w:sz w:val="36"/>
          <w:szCs w:val="36"/>
        </w:rPr>
      </w:pPr>
      <w:r>
        <w:rPr>
          <w:rFonts w:ascii="Arial" w:hAnsi="Arial" w:cs="Arial"/>
          <w:sz w:val="72"/>
          <w:szCs w:val="72"/>
        </w:rPr>
        <w:pict w14:anchorId="65D14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pt;height:138.75pt">
            <v:imagedata r:id="rId7" o:title="OMES-logo-horiz-RGB"/>
          </v:shape>
        </w:pict>
      </w:r>
    </w:p>
    <w:p w14:paraId="6A5DBC78" w14:textId="77777777" w:rsidR="0075605E" w:rsidRPr="00010B89" w:rsidRDefault="0075605E" w:rsidP="0075605E">
      <w:pPr>
        <w:rPr>
          <w:rFonts w:ascii="Arial" w:hAnsi="Arial" w:cs="Arial"/>
          <w:sz w:val="36"/>
          <w:szCs w:val="36"/>
        </w:rPr>
      </w:pPr>
    </w:p>
    <w:p w14:paraId="291447B9" w14:textId="77777777" w:rsidR="0075605E" w:rsidRPr="00010B89" w:rsidRDefault="0075605E" w:rsidP="0075605E">
      <w:pPr>
        <w:rPr>
          <w:rFonts w:ascii="Arial" w:hAnsi="Arial" w:cs="Arial"/>
          <w:sz w:val="36"/>
          <w:szCs w:val="36"/>
        </w:rPr>
      </w:pPr>
    </w:p>
    <w:p w14:paraId="0A104EEA" w14:textId="77777777" w:rsidR="0075605E" w:rsidRPr="00010B89" w:rsidRDefault="0075605E" w:rsidP="0075605E">
      <w:pPr>
        <w:rPr>
          <w:rFonts w:ascii="Arial" w:hAnsi="Arial" w:cs="Arial"/>
          <w:sz w:val="36"/>
          <w:szCs w:val="36"/>
        </w:rPr>
      </w:pPr>
    </w:p>
    <w:p w14:paraId="2EB01E28" w14:textId="77777777" w:rsidR="0075605E" w:rsidRPr="00C7252D" w:rsidRDefault="0075605E" w:rsidP="0075605E">
      <w:pPr>
        <w:jc w:val="center"/>
        <w:rPr>
          <w:rFonts w:ascii="Arial" w:hAnsi="Arial" w:cs="Arial"/>
          <w:b/>
          <w:sz w:val="84"/>
          <w:szCs w:val="84"/>
        </w:rPr>
      </w:pPr>
      <w:r>
        <w:rPr>
          <w:rFonts w:ascii="Arial" w:hAnsi="Arial" w:cs="Arial"/>
          <w:b/>
          <w:sz w:val="84"/>
          <w:szCs w:val="84"/>
        </w:rPr>
        <w:t xml:space="preserve">Social </w:t>
      </w:r>
      <w:r w:rsidR="00F84520">
        <w:rPr>
          <w:rFonts w:ascii="Arial" w:hAnsi="Arial" w:cs="Arial"/>
          <w:b/>
          <w:sz w:val="84"/>
          <w:szCs w:val="84"/>
        </w:rPr>
        <w:t>Networking and Social Media</w:t>
      </w:r>
      <w:r w:rsidRPr="00C7252D">
        <w:rPr>
          <w:rFonts w:ascii="Arial" w:hAnsi="Arial" w:cs="Arial"/>
          <w:b/>
          <w:sz w:val="84"/>
          <w:szCs w:val="84"/>
        </w:rPr>
        <w:t xml:space="preserve"> </w:t>
      </w:r>
      <w:r w:rsidR="00552D7C">
        <w:rPr>
          <w:rFonts w:ascii="Arial" w:hAnsi="Arial" w:cs="Arial"/>
          <w:b/>
          <w:sz w:val="84"/>
          <w:szCs w:val="84"/>
        </w:rPr>
        <w:t>Development Methodology</w:t>
      </w:r>
    </w:p>
    <w:p w14:paraId="3581B262" w14:textId="77777777" w:rsidR="0075605E" w:rsidRPr="00010B89" w:rsidRDefault="0075605E" w:rsidP="0075605E">
      <w:pPr>
        <w:rPr>
          <w:rFonts w:ascii="Arial" w:hAnsi="Arial" w:cs="Arial"/>
          <w:sz w:val="36"/>
          <w:szCs w:val="36"/>
        </w:rPr>
      </w:pPr>
    </w:p>
    <w:p w14:paraId="4BA528E0" w14:textId="77777777" w:rsidR="0075605E" w:rsidRDefault="0075605E" w:rsidP="0075605E">
      <w:pPr>
        <w:rPr>
          <w:rFonts w:ascii="Arial" w:hAnsi="Arial" w:cs="Arial"/>
          <w:sz w:val="36"/>
          <w:szCs w:val="36"/>
        </w:rPr>
      </w:pPr>
    </w:p>
    <w:p w14:paraId="1A1DF9F6" w14:textId="77777777" w:rsidR="0075605E" w:rsidRDefault="0075605E" w:rsidP="0075605E">
      <w:pPr>
        <w:rPr>
          <w:rFonts w:ascii="Arial" w:hAnsi="Arial" w:cs="Arial"/>
          <w:sz w:val="36"/>
          <w:szCs w:val="36"/>
        </w:rPr>
      </w:pPr>
    </w:p>
    <w:p w14:paraId="0B0B0B04" w14:textId="77777777" w:rsidR="0075605E" w:rsidRDefault="0075605E" w:rsidP="0075605E">
      <w:pPr>
        <w:rPr>
          <w:rFonts w:ascii="Arial" w:hAnsi="Arial" w:cs="Arial"/>
          <w:sz w:val="36"/>
          <w:szCs w:val="36"/>
        </w:rPr>
      </w:pPr>
    </w:p>
    <w:p w14:paraId="44080894" w14:textId="77777777" w:rsidR="0075605E" w:rsidRPr="00304A1D" w:rsidRDefault="0075605E" w:rsidP="0075605E">
      <w:pPr>
        <w:jc w:val="center"/>
        <w:rPr>
          <w:rFonts w:ascii="Arial" w:hAnsi="Arial" w:cs="Arial"/>
          <w:sz w:val="48"/>
          <w:szCs w:val="48"/>
        </w:rPr>
      </w:pPr>
      <w:r>
        <w:rPr>
          <w:rFonts w:ascii="Arial" w:hAnsi="Arial" w:cs="Arial"/>
          <w:sz w:val="48"/>
          <w:szCs w:val="48"/>
        </w:rPr>
        <w:t xml:space="preserve">Published </w:t>
      </w:r>
      <w:r w:rsidR="0035659B">
        <w:rPr>
          <w:rFonts w:ascii="Arial" w:hAnsi="Arial" w:cs="Arial"/>
          <w:sz w:val="48"/>
          <w:szCs w:val="48"/>
        </w:rPr>
        <w:t>Nov. 25</w:t>
      </w:r>
      <w:r w:rsidR="009360BC">
        <w:rPr>
          <w:rFonts w:ascii="Arial" w:hAnsi="Arial" w:cs="Arial"/>
          <w:sz w:val="48"/>
          <w:szCs w:val="48"/>
        </w:rPr>
        <w:t>, 2013</w:t>
      </w:r>
    </w:p>
    <w:p w14:paraId="033DE678" w14:textId="77777777" w:rsidR="0075605E" w:rsidRPr="004F1F60" w:rsidRDefault="0075605E" w:rsidP="0075605E">
      <w:pPr>
        <w:jc w:val="center"/>
        <w:rPr>
          <w:rFonts w:ascii="Arial" w:hAnsi="Arial" w:cs="Arial"/>
        </w:rPr>
      </w:pPr>
      <w:r w:rsidRPr="00304A1D">
        <w:rPr>
          <w:rFonts w:ascii="Arial" w:hAnsi="Arial" w:cs="Arial"/>
        </w:rPr>
        <w:t xml:space="preserve">(Issued, </w:t>
      </w:r>
      <w:r w:rsidR="00304A1D">
        <w:rPr>
          <w:rFonts w:ascii="Arial" w:hAnsi="Arial" w:cs="Arial"/>
        </w:rPr>
        <w:t>March</w:t>
      </w:r>
      <w:r w:rsidR="00410256">
        <w:rPr>
          <w:rFonts w:ascii="Arial" w:hAnsi="Arial" w:cs="Arial"/>
        </w:rPr>
        <w:t xml:space="preserve"> 2010</w:t>
      </w:r>
      <w:r w:rsidRPr="004F1F60">
        <w:rPr>
          <w:rFonts w:ascii="Arial" w:hAnsi="Arial" w:cs="Arial"/>
        </w:rPr>
        <w:t>)</w:t>
      </w:r>
    </w:p>
    <w:p w14:paraId="78BF2EC1" w14:textId="77777777" w:rsidR="0075605E" w:rsidRPr="00010B89" w:rsidRDefault="0075605E" w:rsidP="0075605E">
      <w:pPr>
        <w:rPr>
          <w:rFonts w:ascii="Arial" w:hAnsi="Arial" w:cs="Arial"/>
          <w:sz w:val="36"/>
          <w:szCs w:val="36"/>
        </w:rPr>
      </w:pPr>
    </w:p>
    <w:p w14:paraId="5971A5EA" w14:textId="77777777" w:rsidR="0075605E" w:rsidRPr="00010B89" w:rsidRDefault="0075605E" w:rsidP="0075605E">
      <w:pPr>
        <w:rPr>
          <w:rFonts w:ascii="Arial" w:hAnsi="Arial" w:cs="Arial"/>
          <w:sz w:val="36"/>
          <w:szCs w:val="36"/>
        </w:rPr>
      </w:pPr>
    </w:p>
    <w:p w14:paraId="77F6DFE4" w14:textId="77777777" w:rsidR="0075605E" w:rsidRPr="00010B89" w:rsidRDefault="0075605E" w:rsidP="0075605E">
      <w:pPr>
        <w:rPr>
          <w:rFonts w:ascii="Arial" w:hAnsi="Arial" w:cs="Arial"/>
          <w:sz w:val="36"/>
          <w:szCs w:val="36"/>
        </w:rPr>
      </w:pPr>
    </w:p>
    <w:p w14:paraId="54F81E85" w14:textId="77777777" w:rsidR="0075605E" w:rsidRPr="00010B89" w:rsidRDefault="0075605E" w:rsidP="0075605E">
      <w:pPr>
        <w:rPr>
          <w:rFonts w:ascii="Arial" w:hAnsi="Arial" w:cs="Arial"/>
          <w:sz w:val="36"/>
          <w:szCs w:val="36"/>
        </w:rPr>
      </w:pPr>
    </w:p>
    <w:p w14:paraId="4DB7B559" w14:textId="3E25FD60" w:rsidR="007D4471" w:rsidRPr="00304DDB" w:rsidRDefault="0075605E" w:rsidP="005B2EA0">
      <w:pPr>
        <w:jc w:val="center"/>
        <w:rPr>
          <w:b/>
        </w:rPr>
      </w:pPr>
      <w:proofErr w:type="gramStart"/>
      <w:r w:rsidRPr="00304DDB">
        <w:rPr>
          <w:rFonts w:ascii="Arial" w:hAnsi="Arial" w:cs="Arial"/>
          <w:i/>
        </w:rPr>
        <w:t>Version 1.</w:t>
      </w:r>
      <w:r w:rsidR="000F1479">
        <w:rPr>
          <w:rFonts w:ascii="Arial" w:hAnsi="Arial" w:cs="Arial"/>
          <w:i/>
        </w:rPr>
        <w:t>5</w:t>
      </w:r>
      <w:r w:rsidRPr="00304DDB">
        <w:rPr>
          <w:rFonts w:ascii="Arial" w:hAnsi="Arial" w:cs="Arial"/>
          <w:i/>
        </w:rPr>
        <w:t xml:space="preserve"> Issued by the Office of </w:t>
      </w:r>
      <w:r w:rsidR="0035659B" w:rsidRPr="00304DDB">
        <w:rPr>
          <w:rFonts w:ascii="Arial" w:hAnsi="Arial" w:cs="Arial"/>
          <w:i/>
        </w:rPr>
        <w:t>Management and Enterprise Services</w:t>
      </w:r>
      <w:r w:rsidR="000F1479">
        <w:rPr>
          <w:rFonts w:ascii="Arial" w:hAnsi="Arial" w:cs="Arial"/>
          <w:i/>
        </w:rPr>
        <w:t>,</w:t>
      </w:r>
      <w:proofErr w:type="gramEnd"/>
      <w:r w:rsidR="000F1479">
        <w:rPr>
          <w:rFonts w:ascii="Arial" w:hAnsi="Arial" w:cs="Arial"/>
          <w:i/>
        </w:rPr>
        <w:t xml:space="preserve"> updated 10/18/2023.</w:t>
      </w:r>
      <w:r w:rsidR="007D4471" w:rsidRPr="00304DDB">
        <w:rPr>
          <w:b/>
        </w:rPr>
        <w:t xml:space="preserve"> </w:t>
      </w:r>
    </w:p>
    <w:p w14:paraId="1BB4F9CA" w14:textId="77777777" w:rsidR="00552D7C" w:rsidRDefault="00552D7C" w:rsidP="007D4471">
      <w:pPr>
        <w:pStyle w:val="Heading2"/>
        <w:numPr>
          <w:ilvl w:val="0"/>
          <w:numId w:val="1"/>
        </w:numPr>
        <w:sectPr w:rsidR="00552D7C" w:rsidSect="0075605E">
          <w:pgSz w:w="12240" w:h="15840"/>
          <w:pgMar w:top="1440" w:right="1800" w:bottom="1440" w:left="1800" w:header="720" w:footer="720" w:gutter="0"/>
          <w:cols w:space="720"/>
          <w:docGrid w:linePitch="360"/>
        </w:sectPr>
      </w:pPr>
    </w:p>
    <w:p w14:paraId="08DF87CA" w14:textId="77777777" w:rsidR="007D4471" w:rsidRDefault="007D4471" w:rsidP="008F7A80">
      <w:pPr>
        <w:pStyle w:val="Heading2"/>
      </w:pPr>
      <w:r>
        <w:lastRenderedPageBreak/>
        <w:t xml:space="preserve">SOCIAL </w:t>
      </w:r>
      <w:r w:rsidR="005B2EA0">
        <w:t xml:space="preserve">NETWORKING AND </w:t>
      </w:r>
      <w:r w:rsidR="00F84520">
        <w:t xml:space="preserve">SOCIAL MEDIA </w:t>
      </w:r>
      <w:r>
        <w:t>DEVELOPMENT METHODOLOGY</w:t>
      </w:r>
    </w:p>
    <w:p w14:paraId="0268F5DA" w14:textId="77777777" w:rsidR="00CE69BD" w:rsidRDefault="007D4471" w:rsidP="007D4471">
      <w:r>
        <w:rPr>
          <w:b/>
          <w:bCs/>
        </w:rPr>
        <w:br/>
      </w:r>
      <w:r>
        <w:t xml:space="preserve">Prior to using </w:t>
      </w:r>
      <w:r w:rsidR="00927907">
        <w:t>or</w:t>
      </w:r>
      <w:r>
        <w:t xml:space="preserve"> creating a </w:t>
      </w:r>
      <w:r w:rsidR="00F84520">
        <w:t xml:space="preserve">social </w:t>
      </w:r>
      <w:r w:rsidR="00252C5E">
        <w:t>networking</w:t>
      </w:r>
      <w:r w:rsidR="00F84520">
        <w:t xml:space="preserve">, Web 2.0 or social </w:t>
      </w:r>
      <w:r w:rsidR="00252C5E">
        <w:t>media</w:t>
      </w:r>
      <w:r w:rsidR="005B2EA0">
        <w:t xml:space="preserve"> </w:t>
      </w:r>
      <w:r>
        <w:t xml:space="preserve">account or implementing any new </w:t>
      </w:r>
      <w:r w:rsidR="00AE00B1">
        <w:t>w</w:t>
      </w:r>
      <w:r>
        <w:t xml:space="preserve">eb application tool, it is important to properly </w:t>
      </w:r>
      <w:r w:rsidR="008F4A4C">
        <w:t>plan</w:t>
      </w:r>
      <w:r>
        <w:t>. The high-level development guidelines below are an example for</w:t>
      </w:r>
      <w:r w:rsidR="00CE69BD">
        <w:t xml:space="preserve"> State of Oklahoma</w:t>
      </w:r>
      <w:r>
        <w:t xml:space="preserve"> agencies to follow.</w:t>
      </w:r>
    </w:p>
    <w:p w14:paraId="0FAC58C8" w14:textId="77777777" w:rsidR="00AE00B1" w:rsidRDefault="00AE00B1" w:rsidP="007D4471"/>
    <w:p w14:paraId="61D6A70E" w14:textId="7E7CBC9E" w:rsidR="00AE00B1" w:rsidRDefault="00AE00B1" w:rsidP="00AE00B1">
      <w:r>
        <w:t xml:space="preserve">For unapproved technologies, please be aware that the Information Services Division of the Office of </w:t>
      </w:r>
      <w:r w:rsidR="0035659B">
        <w:t>Management and Enterprise Services</w:t>
      </w:r>
      <w:r>
        <w:t xml:space="preserve"> is currently evaluating the Terms of Service/Terms of Use agreements for </w:t>
      </w:r>
      <w:proofErr w:type="gramStart"/>
      <w:r>
        <w:t>a number of</w:t>
      </w:r>
      <w:proofErr w:type="gramEnd"/>
      <w:r>
        <w:t xml:space="preserve"> social media, Web 2.0 and social networking technology providers, including a review of efforts undertaken by the Federal government to renegotiate agreements with a number of these providers.</w:t>
      </w:r>
    </w:p>
    <w:p w14:paraId="02D3AFFD" w14:textId="77777777" w:rsidR="00AE00B1" w:rsidRDefault="00AE00B1" w:rsidP="00AE00B1"/>
    <w:p w14:paraId="0E131F9B" w14:textId="77777777" w:rsidR="00AE00B1" w:rsidRDefault="00AE00B1" w:rsidP="007D4471">
      <w:r>
        <w:t xml:space="preserve">Once a vendor has been approved, </w:t>
      </w:r>
      <w:r w:rsidR="0035659B">
        <w:t>OMES</w:t>
      </w:r>
      <w:r>
        <w:t xml:space="preserve"> will post the revised agreement and link to the vendor on its website, along with instructions for implementation.</w:t>
      </w:r>
    </w:p>
    <w:p w14:paraId="0EB0349D" w14:textId="77777777" w:rsidR="00CE69BD" w:rsidRDefault="00CE69BD" w:rsidP="00CE69BD">
      <w:pPr>
        <w:pStyle w:val="Heading3"/>
        <w:numPr>
          <w:ilvl w:val="0"/>
          <w:numId w:val="8"/>
        </w:numPr>
      </w:pPr>
      <w:r>
        <w:t>Agency Policy</w:t>
      </w:r>
    </w:p>
    <w:p w14:paraId="18DF111A" w14:textId="77777777" w:rsidR="00CE69BD" w:rsidRDefault="00CE69BD" w:rsidP="00CE69BD"/>
    <w:p w14:paraId="409FD069" w14:textId="77777777" w:rsidR="00CE69BD" w:rsidRDefault="00CE69BD" w:rsidP="00CE69BD">
      <w:r>
        <w:t xml:space="preserve">Establish a policy governing acceptable/unacceptable use of social networking, Web </w:t>
      </w:r>
      <w:proofErr w:type="gramStart"/>
      <w:r>
        <w:t>2.0</w:t>
      </w:r>
      <w:proofErr w:type="gramEnd"/>
      <w:r>
        <w:t xml:space="preserve"> or social media sites within the agency. Be sure </w:t>
      </w:r>
      <w:r w:rsidR="00446ED4">
        <w:t>to cover</w:t>
      </w:r>
      <w:r>
        <w:t xml:space="preserve"> the following</w:t>
      </w:r>
      <w:r w:rsidR="00446ED4">
        <w:t xml:space="preserve"> topics</w:t>
      </w:r>
      <w:r>
        <w:t>:</w:t>
      </w:r>
    </w:p>
    <w:p w14:paraId="4E0B2E4D" w14:textId="77777777" w:rsidR="00CE69BD" w:rsidRDefault="00CE69BD" w:rsidP="00CE69BD">
      <w:pPr>
        <w:numPr>
          <w:ilvl w:val="0"/>
          <w:numId w:val="7"/>
        </w:numPr>
      </w:pPr>
      <w:r>
        <w:t xml:space="preserve">Creation and maintenance of official State agency </w:t>
      </w:r>
      <w:proofErr w:type="gramStart"/>
      <w:r>
        <w:t>sites;</w:t>
      </w:r>
      <w:proofErr w:type="gramEnd"/>
    </w:p>
    <w:p w14:paraId="1DFC17DE" w14:textId="77777777" w:rsidR="00CE69BD" w:rsidRDefault="00CE69BD" w:rsidP="00CE69BD">
      <w:pPr>
        <w:numPr>
          <w:ilvl w:val="0"/>
          <w:numId w:val="7"/>
        </w:numPr>
      </w:pPr>
      <w:r>
        <w:t xml:space="preserve">Agency postings to non-agency </w:t>
      </w:r>
      <w:proofErr w:type="gramStart"/>
      <w:r>
        <w:t>sites;</w:t>
      </w:r>
      <w:proofErr w:type="gramEnd"/>
    </w:p>
    <w:p w14:paraId="6B2C5598" w14:textId="77777777" w:rsidR="00252C5E" w:rsidRDefault="00CE69BD" w:rsidP="00252C5E">
      <w:pPr>
        <w:numPr>
          <w:ilvl w:val="0"/>
          <w:numId w:val="7"/>
        </w:numPr>
      </w:pPr>
      <w:r>
        <w:t xml:space="preserve">Use of agency computers to access social networking, Web 2.0 and social media </w:t>
      </w:r>
      <w:proofErr w:type="gramStart"/>
      <w:r>
        <w:t>sites;</w:t>
      </w:r>
      <w:proofErr w:type="gramEnd"/>
    </w:p>
    <w:p w14:paraId="1EDCA008" w14:textId="77777777" w:rsidR="009B0398" w:rsidRDefault="00A34229" w:rsidP="009B0398">
      <w:pPr>
        <w:numPr>
          <w:ilvl w:val="0"/>
          <w:numId w:val="7"/>
        </w:numPr>
      </w:pPr>
      <w:r>
        <w:t>Site blocking</w:t>
      </w:r>
      <w:r w:rsidR="009B0398">
        <w:t xml:space="preserve"> and the use of </w:t>
      </w:r>
      <w:r w:rsidR="00AE00B1">
        <w:t>w</w:t>
      </w:r>
      <w:r w:rsidR="009B0398">
        <w:t xml:space="preserve">eb filtering software or firewall </w:t>
      </w:r>
      <w:proofErr w:type="gramStart"/>
      <w:r w:rsidR="009B0398">
        <w:t>settings;</w:t>
      </w:r>
      <w:proofErr w:type="gramEnd"/>
      <w:r w:rsidR="009B0398">
        <w:t xml:space="preserve"> </w:t>
      </w:r>
    </w:p>
    <w:p w14:paraId="10F41778" w14:textId="77777777" w:rsidR="00A34229" w:rsidRDefault="009B0398" w:rsidP="009B0398">
      <w:pPr>
        <w:numPr>
          <w:ilvl w:val="0"/>
          <w:numId w:val="7"/>
        </w:numPr>
      </w:pPr>
      <w:r>
        <w:t xml:space="preserve">Exceptions to site blocking to allow </w:t>
      </w:r>
      <w:r w:rsidR="00C45BDA">
        <w:t xml:space="preserve">individuals access as </w:t>
      </w:r>
      <w:proofErr w:type="gramStart"/>
      <w:r w:rsidR="00C45BDA">
        <w:t>approved;</w:t>
      </w:r>
      <w:proofErr w:type="gramEnd"/>
    </w:p>
    <w:p w14:paraId="7F3511C9" w14:textId="77777777" w:rsidR="00CE69BD" w:rsidRDefault="00CE69BD" w:rsidP="00CE69BD">
      <w:pPr>
        <w:numPr>
          <w:ilvl w:val="0"/>
          <w:numId w:val="7"/>
        </w:numPr>
      </w:pPr>
      <w:r>
        <w:t xml:space="preserve">Review period for the policy. </w:t>
      </w:r>
      <w:r w:rsidR="00446ED4">
        <w:t>The poli</w:t>
      </w:r>
      <w:r w:rsidR="00A34229">
        <w:t xml:space="preserve">cy should </w:t>
      </w:r>
      <w:r w:rsidR="00C45BDA">
        <w:t>be reviewed annually; and</w:t>
      </w:r>
    </w:p>
    <w:p w14:paraId="31F838E4" w14:textId="77777777" w:rsidR="00C45BDA" w:rsidRPr="00CE69BD" w:rsidRDefault="00C45BDA" w:rsidP="00CE69BD">
      <w:pPr>
        <w:numPr>
          <w:ilvl w:val="0"/>
          <w:numId w:val="7"/>
        </w:numPr>
      </w:pPr>
      <w:r>
        <w:t>Personal devices, Universal Serial Bus (USB) and all removable media (see Appendix A for an example of this policy)</w:t>
      </w:r>
    </w:p>
    <w:p w14:paraId="1AAB59D3" w14:textId="77777777" w:rsidR="007D4471" w:rsidRDefault="007D4471" w:rsidP="005C486C">
      <w:pPr>
        <w:pStyle w:val="Heading3"/>
        <w:numPr>
          <w:ilvl w:val="0"/>
          <w:numId w:val="8"/>
        </w:numPr>
      </w:pPr>
      <w:r>
        <w:t>Business Concept / Requirements Definition / Approval</w:t>
      </w:r>
    </w:p>
    <w:p w14:paraId="3AA1A2B5" w14:textId="77777777" w:rsidR="00CE69BD" w:rsidRDefault="00CE69BD"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5EBD64A" w14:textId="77777777" w:rsidR="007D4471" w:rsidRDefault="007D4471" w:rsidP="007D4471">
      <w:r>
        <w:t>A well thought out business case should be written to answer the following questions.</w:t>
      </w:r>
    </w:p>
    <w:p w14:paraId="2388BB3D" w14:textId="77777777" w:rsidR="007D4471" w:rsidRDefault="007D4471" w:rsidP="007D4471"/>
    <w:p w14:paraId="4F83CB48" w14:textId="77777777" w:rsidR="007D4471" w:rsidRDefault="007D4471" w:rsidP="007D4471">
      <w:pPr>
        <w:numPr>
          <w:ilvl w:val="0"/>
          <w:numId w:val="4"/>
        </w:numPr>
      </w:pPr>
      <w:r>
        <w:t>Who: Who is initiating this request? Who is going to be creating the technology and maintaining it?</w:t>
      </w:r>
      <w:r w:rsidR="00927907">
        <w:t xml:space="preserve"> Who will have approval authority over the content?</w:t>
      </w:r>
    </w:p>
    <w:p w14:paraId="0E1A64DF" w14:textId="77777777" w:rsidR="007D4471" w:rsidRDefault="007D4471" w:rsidP="007D4471"/>
    <w:p w14:paraId="259C7F14" w14:textId="77777777" w:rsidR="007D4471" w:rsidRDefault="007D4471" w:rsidP="007D4471">
      <w:pPr>
        <w:numPr>
          <w:ilvl w:val="0"/>
          <w:numId w:val="4"/>
        </w:numPr>
      </w:pPr>
      <w:r>
        <w:t xml:space="preserve">What: What is it that you want to create? Define the scope of the project. What </w:t>
      </w:r>
      <w:proofErr w:type="gramStart"/>
      <w:r>
        <w:t>are</w:t>
      </w:r>
      <w:proofErr w:type="gramEnd"/>
      <w:r>
        <w:t xml:space="preserve"> the software requirements and Internet access needed to create the project? Do the Terms of Service/use violate and provisions of the State Constitution or state statute? Are any fees involved and is the money in the budget for this project? </w:t>
      </w:r>
      <w:r w:rsidR="00EA3D26">
        <w:t>What are your strategic goals? What metrics will you capture that correspond to your goals?</w:t>
      </w:r>
    </w:p>
    <w:p w14:paraId="7FC3E15A" w14:textId="77777777" w:rsidR="007D4471" w:rsidRDefault="007D4471" w:rsidP="007D4471"/>
    <w:p w14:paraId="18A937A7" w14:textId="77777777" w:rsidR="007D4471" w:rsidRDefault="007D4471" w:rsidP="007D4471">
      <w:pPr>
        <w:numPr>
          <w:ilvl w:val="0"/>
          <w:numId w:val="4"/>
        </w:numPr>
      </w:pPr>
      <w:r>
        <w:t xml:space="preserve">Why: Define the audience(s) focus and marketing plan for the site. This should include the overall goal of the site, page, </w:t>
      </w:r>
      <w:r w:rsidR="00F84520">
        <w:t xml:space="preserve">social media, Web </w:t>
      </w:r>
      <w:proofErr w:type="gramStart"/>
      <w:r w:rsidR="00F84520">
        <w:t>2.0</w:t>
      </w:r>
      <w:proofErr w:type="gramEnd"/>
      <w:r w:rsidR="00F84520">
        <w:t xml:space="preserve"> or social networking </w:t>
      </w:r>
      <w:r>
        <w:t>technology being deployed.</w:t>
      </w:r>
    </w:p>
    <w:p w14:paraId="2EC8C22F" w14:textId="77777777" w:rsidR="007D4471" w:rsidRDefault="007D4471" w:rsidP="007D4471"/>
    <w:p w14:paraId="66CE479C" w14:textId="77777777" w:rsidR="007D4471" w:rsidRDefault="007D4471" w:rsidP="007D4471">
      <w:pPr>
        <w:numPr>
          <w:ilvl w:val="0"/>
          <w:numId w:val="4"/>
        </w:numPr>
      </w:pPr>
      <w:r>
        <w:t xml:space="preserve">How: How often will the content be updated and posted to the site, (blog, page, or tool)? What type of content will be posted (give examples of the topics or categories of content the page, blog or tool will address)? How will approval of the content be handled? What does the approval process look like and </w:t>
      </w:r>
      <w:r w:rsidR="00927907">
        <w:t xml:space="preserve">how does it </w:t>
      </w:r>
      <w:r>
        <w:t>work?</w:t>
      </w:r>
      <w:r w:rsidR="00EA3D26">
        <w:t xml:space="preserve"> How will you measure the return on investment (ROI)? </w:t>
      </w:r>
    </w:p>
    <w:p w14:paraId="129E10E7" w14:textId="77777777" w:rsidR="00252C5E" w:rsidRDefault="00252C5E" w:rsidP="005C486C">
      <w:pPr>
        <w:pStyle w:val="Heading3"/>
        <w:numPr>
          <w:ilvl w:val="0"/>
          <w:numId w:val="8"/>
        </w:numPr>
      </w:pPr>
      <w:r>
        <w:t>Awareness Training</w:t>
      </w:r>
    </w:p>
    <w:p w14:paraId="54FB309A" w14:textId="77777777" w:rsidR="00252C5E" w:rsidRDefault="00252C5E" w:rsidP="00252C5E"/>
    <w:p w14:paraId="4384771C" w14:textId="77777777" w:rsidR="00252C5E" w:rsidRDefault="00252C5E" w:rsidP="00252C5E">
      <w:r>
        <w:t xml:space="preserve">Employees with access to social networking, Web 2.0 or social media technologies need to recognize the security risks. Agencies are encouraged to provide training </w:t>
      </w:r>
      <w:r w:rsidR="00FD6AAE">
        <w:t xml:space="preserve">on a regular basis </w:t>
      </w:r>
      <w:r>
        <w:t>about these risks to employees before they use them for official agency business. Some of the recommended information security guidelines agencies should follow include:</w:t>
      </w:r>
    </w:p>
    <w:p w14:paraId="4BDA4DFB" w14:textId="77777777" w:rsidR="00FD6AAE" w:rsidRDefault="00FD6AAE" w:rsidP="00252C5E">
      <w:pPr>
        <w:numPr>
          <w:ilvl w:val="0"/>
          <w:numId w:val="12"/>
        </w:numPr>
        <w:rPr>
          <w:b/>
        </w:rPr>
      </w:pPr>
      <w:r>
        <w:rPr>
          <w:b/>
        </w:rPr>
        <w:t>Content</w:t>
      </w:r>
    </w:p>
    <w:p w14:paraId="10EE63BD" w14:textId="77777777" w:rsidR="00FD6AAE" w:rsidRDefault="00F27BEA" w:rsidP="00FD6AAE">
      <w:pPr>
        <w:numPr>
          <w:ilvl w:val="1"/>
          <w:numId w:val="12"/>
        </w:numPr>
      </w:pPr>
      <w:r>
        <w:t xml:space="preserve">Appropriate versus inappropriate </w:t>
      </w:r>
    </w:p>
    <w:p w14:paraId="2474FD10" w14:textId="77777777" w:rsidR="00FD6AAE" w:rsidRDefault="00FD6AAE" w:rsidP="00FD6AAE">
      <w:pPr>
        <w:numPr>
          <w:ilvl w:val="1"/>
          <w:numId w:val="12"/>
        </w:numPr>
      </w:pPr>
      <w:r>
        <w:t>What content is considered confidential (HIPAA, FERPA, etc.)</w:t>
      </w:r>
    </w:p>
    <w:p w14:paraId="371D1984" w14:textId="77777777" w:rsidR="00252C5E" w:rsidRPr="006B4D5B" w:rsidRDefault="00252C5E" w:rsidP="00252C5E">
      <w:pPr>
        <w:numPr>
          <w:ilvl w:val="0"/>
          <w:numId w:val="12"/>
        </w:numPr>
        <w:rPr>
          <w:b/>
        </w:rPr>
      </w:pPr>
      <w:r w:rsidRPr="006B4D5B">
        <w:rPr>
          <w:b/>
        </w:rPr>
        <w:t>Usage and prevention</w:t>
      </w:r>
    </w:p>
    <w:p w14:paraId="7268BA76" w14:textId="77777777" w:rsidR="00252C5E" w:rsidRDefault="00252C5E" w:rsidP="00252C5E">
      <w:pPr>
        <w:numPr>
          <w:ilvl w:val="1"/>
          <w:numId w:val="12"/>
        </w:numPr>
      </w:pPr>
      <w:r>
        <w:t>Use of state computer equipment is for official state business only.</w:t>
      </w:r>
    </w:p>
    <w:p w14:paraId="36C63515" w14:textId="77777777" w:rsidR="00252C5E" w:rsidRDefault="00252C5E" w:rsidP="00252C5E">
      <w:pPr>
        <w:numPr>
          <w:ilvl w:val="1"/>
          <w:numId w:val="12"/>
        </w:numPr>
      </w:pPr>
      <w:r>
        <w:t xml:space="preserve">For devices accessing these sites, ensure anti-virus </w:t>
      </w:r>
      <w:r w:rsidR="006B4D5B">
        <w:t xml:space="preserve">software </w:t>
      </w:r>
      <w:r>
        <w:t>is current.</w:t>
      </w:r>
    </w:p>
    <w:p w14:paraId="6CEF35FA" w14:textId="77777777" w:rsidR="00252C5E" w:rsidRDefault="00252C5E" w:rsidP="00252C5E">
      <w:pPr>
        <w:numPr>
          <w:ilvl w:val="1"/>
          <w:numId w:val="12"/>
        </w:numPr>
      </w:pPr>
      <w:r>
        <w:t xml:space="preserve">Ensure anti-spyware </w:t>
      </w:r>
      <w:r w:rsidR="006B4D5B">
        <w:t xml:space="preserve">software </w:t>
      </w:r>
      <w:r>
        <w:t>is current.</w:t>
      </w:r>
    </w:p>
    <w:p w14:paraId="2FF69F5F" w14:textId="77777777" w:rsidR="00252C5E" w:rsidRDefault="00252C5E" w:rsidP="00252C5E">
      <w:pPr>
        <w:numPr>
          <w:ilvl w:val="1"/>
          <w:numId w:val="12"/>
        </w:numPr>
      </w:pPr>
      <w:r>
        <w:t>Ensure that operating system and application patches are applied.</w:t>
      </w:r>
    </w:p>
    <w:p w14:paraId="234CDA8D" w14:textId="77777777" w:rsidR="00252C5E" w:rsidRDefault="00252C5E" w:rsidP="00252C5E">
      <w:pPr>
        <w:numPr>
          <w:ilvl w:val="1"/>
          <w:numId w:val="12"/>
        </w:numPr>
      </w:pPr>
      <w:r>
        <w:t>Ensure that application updates and patches are applied.</w:t>
      </w:r>
    </w:p>
    <w:p w14:paraId="5669214C" w14:textId="77777777" w:rsidR="00B558AE" w:rsidRDefault="00B558AE" w:rsidP="00252C5E">
      <w:pPr>
        <w:numPr>
          <w:ilvl w:val="1"/>
          <w:numId w:val="12"/>
        </w:numPr>
      </w:pPr>
      <w:r>
        <w:t>Ensure that users do not</w:t>
      </w:r>
      <w:r w:rsidRPr="00DE52A2">
        <w:t xml:space="preserve"> have “administrator privileges” on state owned computers that access the Internet.</w:t>
      </w:r>
    </w:p>
    <w:p w14:paraId="1A2F44CB" w14:textId="77777777" w:rsidR="00252C5E" w:rsidRPr="006B4D5B" w:rsidRDefault="00252C5E" w:rsidP="00252C5E">
      <w:pPr>
        <w:numPr>
          <w:ilvl w:val="0"/>
          <w:numId w:val="12"/>
        </w:numPr>
        <w:rPr>
          <w:b/>
        </w:rPr>
      </w:pPr>
      <w:r w:rsidRPr="006B4D5B">
        <w:rPr>
          <w:b/>
        </w:rPr>
        <w:t>URL Shortening</w:t>
      </w:r>
    </w:p>
    <w:p w14:paraId="226ECD9B" w14:textId="77777777" w:rsidR="00252C5E" w:rsidRDefault="00252C5E" w:rsidP="006B4D5B">
      <w:pPr>
        <w:numPr>
          <w:ilvl w:val="1"/>
          <w:numId w:val="12"/>
        </w:numPr>
      </w:pPr>
      <w:r>
        <w:t xml:space="preserve">URL shortening tools, such as </w:t>
      </w:r>
      <w:proofErr w:type="spellStart"/>
      <w:r>
        <w:t>tinyurl</w:t>
      </w:r>
      <w:proofErr w:type="spellEnd"/>
      <w:r>
        <w:t xml:space="preserve"> and Bit.ly, conceal the actual </w:t>
      </w:r>
      <w:r w:rsidR="00AE00B1">
        <w:t>website</w:t>
      </w:r>
      <w:r>
        <w:t xml:space="preserve"> link an</w:t>
      </w:r>
      <w:r w:rsidR="00AE70C4">
        <w:t xml:space="preserve">d can direct users to malicious </w:t>
      </w:r>
      <w:r w:rsidR="00AE00B1">
        <w:t>web</w:t>
      </w:r>
      <w:r>
        <w:t>sites.</w:t>
      </w:r>
    </w:p>
    <w:p w14:paraId="52B95C16" w14:textId="77777777" w:rsidR="009C6F4D" w:rsidRDefault="009C6F4D" w:rsidP="009C6F4D">
      <w:pPr>
        <w:numPr>
          <w:ilvl w:val="1"/>
          <w:numId w:val="12"/>
        </w:numPr>
      </w:pPr>
      <w:r>
        <w:t xml:space="preserve">Since the sunsetting of the URL </w:t>
      </w:r>
      <w:proofErr w:type="spellStart"/>
      <w:r>
        <w:t>shorterner</w:t>
      </w:r>
      <w:proofErr w:type="spellEnd"/>
      <w:r>
        <w:t xml:space="preserve"> provided by </w:t>
      </w:r>
      <w:hyperlink r:id="rId8" w:history="1">
        <w:r w:rsidRPr="00E24EB3">
          <w:rPr>
            <w:rStyle w:val="Hyperlink"/>
          </w:rPr>
          <w:t>Go.USA.gov</w:t>
        </w:r>
      </w:hyperlink>
      <w:r>
        <w:t>, there is currently no approved shortener.</w:t>
      </w:r>
    </w:p>
    <w:p w14:paraId="2C0E9C79" w14:textId="77777777" w:rsidR="009C6F4D" w:rsidRDefault="009C6F4D" w:rsidP="009C6F4D">
      <w:pPr>
        <w:numPr>
          <w:ilvl w:val="1"/>
          <w:numId w:val="12"/>
        </w:numPr>
      </w:pPr>
      <w:r>
        <w:t>If you determine you need a shortened URL, consider requesting a redirect URL.</w:t>
      </w:r>
    </w:p>
    <w:p w14:paraId="63FB6481" w14:textId="77777777" w:rsidR="00252C5E" w:rsidRPr="006B4D5B" w:rsidRDefault="00252C5E" w:rsidP="00252C5E">
      <w:pPr>
        <w:numPr>
          <w:ilvl w:val="0"/>
          <w:numId w:val="12"/>
        </w:numPr>
        <w:rPr>
          <w:b/>
        </w:rPr>
      </w:pPr>
      <w:r w:rsidRPr="006B4D5B">
        <w:rPr>
          <w:b/>
        </w:rPr>
        <w:t>Social Engineering/Phishing</w:t>
      </w:r>
    </w:p>
    <w:p w14:paraId="3E4B968F" w14:textId="77777777" w:rsidR="00252C5E" w:rsidRDefault="00252C5E" w:rsidP="006B4D5B">
      <w:pPr>
        <w:numPr>
          <w:ilvl w:val="1"/>
          <w:numId w:val="12"/>
        </w:numPr>
      </w:pPr>
      <w:r>
        <w:t xml:space="preserve">These sites are the #1 target for social engineering, </w:t>
      </w:r>
      <w:proofErr w:type="gramStart"/>
      <w:r>
        <w:t>phishing</w:t>
      </w:r>
      <w:proofErr w:type="gramEnd"/>
      <w:r>
        <w:t xml:space="preserve"> and malware attacks.</w:t>
      </w:r>
    </w:p>
    <w:p w14:paraId="74DBC2CA" w14:textId="0B7BC825" w:rsidR="009C6F4D" w:rsidRDefault="00252C5E" w:rsidP="006B4D5B">
      <w:pPr>
        <w:numPr>
          <w:ilvl w:val="1"/>
          <w:numId w:val="12"/>
        </w:numPr>
      </w:pPr>
      <w:r>
        <w:t xml:space="preserve">Identities are anonymous on the web; you may not be communicating with </w:t>
      </w:r>
      <w:proofErr w:type="gramStart"/>
      <w:r>
        <w:t>whom</w:t>
      </w:r>
      <w:proofErr w:type="gramEnd"/>
      <w:r>
        <w:t xml:space="preserve"> you think you are.</w:t>
      </w:r>
    </w:p>
    <w:p w14:paraId="1AB777CE" w14:textId="77777777" w:rsidR="00252C5E" w:rsidRDefault="009C6F4D" w:rsidP="009C6F4D">
      <w:pPr>
        <w:ind w:left="1440"/>
      </w:pPr>
      <w:r>
        <w:br w:type="page"/>
      </w:r>
    </w:p>
    <w:p w14:paraId="2DCCAD3B" w14:textId="77777777" w:rsidR="00252C5E" w:rsidRPr="006B4D5B" w:rsidRDefault="00252C5E" w:rsidP="00252C5E">
      <w:pPr>
        <w:numPr>
          <w:ilvl w:val="0"/>
          <w:numId w:val="12"/>
        </w:numPr>
        <w:rPr>
          <w:b/>
        </w:rPr>
      </w:pPr>
      <w:r w:rsidRPr="006B4D5B">
        <w:rPr>
          <w:b/>
        </w:rPr>
        <w:t>Passwords</w:t>
      </w:r>
    </w:p>
    <w:p w14:paraId="201E6F00" w14:textId="77777777" w:rsidR="00252C5E" w:rsidRDefault="00252C5E" w:rsidP="006B4D5B">
      <w:pPr>
        <w:numPr>
          <w:ilvl w:val="1"/>
          <w:numId w:val="12"/>
        </w:numPr>
      </w:pPr>
      <w:r>
        <w:t xml:space="preserve">Never use your </w:t>
      </w:r>
      <w:proofErr w:type="gramStart"/>
      <w:r>
        <w:t>State</w:t>
      </w:r>
      <w:proofErr w:type="gramEnd"/>
      <w:r>
        <w:t xml:space="preserve"> </w:t>
      </w:r>
      <w:r w:rsidR="006B4D5B">
        <w:t>agency</w:t>
      </w:r>
      <w:r>
        <w:t xml:space="preserve"> username or password or </w:t>
      </w:r>
      <w:r w:rsidR="006B4D5B">
        <w:t xml:space="preserve">network </w:t>
      </w:r>
      <w:r>
        <w:t>credentials on these sites.</w:t>
      </w:r>
    </w:p>
    <w:p w14:paraId="4A95202D" w14:textId="77777777" w:rsidR="00252C5E" w:rsidRDefault="00252C5E" w:rsidP="006B4D5B">
      <w:pPr>
        <w:numPr>
          <w:ilvl w:val="1"/>
          <w:numId w:val="12"/>
        </w:numPr>
      </w:pPr>
      <w:r>
        <w:t xml:space="preserve">Strong and unique passwords must be used for each individual </w:t>
      </w:r>
      <w:r w:rsidR="00AE00B1">
        <w:t>web</w:t>
      </w:r>
      <w:r>
        <w:t>site.</w:t>
      </w:r>
    </w:p>
    <w:p w14:paraId="56003BA2" w14:textId="77777777" w:rsidR="00252C5E" w:rsidRPr="006B4D5B" w:rsidRDefault="00252C5E" w:rsidP="00252C5E">
      <w:pPr>
        <w:numPr>
          <w:ilvl w:val="0"/>
          <w:numId w:val="12"/>
        </w:numPr>
        <w:rPr>
          <w:b/>
        </w:rPr>
      </w:pPr>
      <w:r w:rsidRPr="006B4D5B">
        <w:rPr>
          <w:b/>
        </w:rPr>
        <w:t>Privacy</w:t>
      </w:r>
    </w:p>
    <w:p w14:paraId="61FC9529" w14:textId="77777777" w:rsidR="00252C5E" w:rsidRDefault="00252C5E" w:rsidP="006B4D5B">
      <w:pPr>
        <w:numPr>
          <w:ilvl w:val="1"/>
          <w:numId w:val="12"/>
        </w:numPr>
      </w:pPr>
      <w:r>
        <w:t xml:space="preserve">Confidential information should never be </w:t>
      </w:r>
      <w:r w:rsidR="006B4D5B">
        <w:t xml:space="preserve">posted to any social networking, Web </w:t>
      </w:r>
      <w:proofErr w:type="gramStart"/>
      <w:r w:rsidR="006B4D5B">
        <w:t>2.0</w:t>
      </w:r>
      <w:proofErr w:type="gramEnd"/>
      <w:r w:rsidR="006B4D5B">
        <w:t xml:space="preserve"> or social media </w:t>
      </w:r>
      <w:r>
        <w:t>site.</w:t>
      </w:r>
    </w:p>
    <w:p w14:paraId="31F32188" w14:textId="77777777" w:rsidR="00252C5E" w:rsidRDefault="00252C5E" w:rsidP="006B4D5B">
      <w:pPr>
        <w:numPr>
          <w:ilvl w:val="1"/>
          <w:numId w:val="12"/>
        </w:numPr>
      </w:pPr>
      <w:r>
        <w:t>Professional and personal content on these sites should never be mixed.</w:t>
      </w:r>
    </w:p>
    <w:p w14:paraId="575A3DDD" w14:textId="77777777" w:rsidR="00252C5E" w:rsidRDefault="00252C5E" w:rsidP="006B4D5B">
      <w:pPr>
        <w:numPr>
          <w:ilvl w:val="1"/>
          <w:numId w:val="12"/>
        </w:numPr>
      </w:pPr>
      <w:r>
        <w:t>Don’t share personal information, travel plans or information about others without their consent.</w:t>
      </w:r>
    </w:p>
    <w:p w14:paraId="3C0430DC" w14:textId="77777777" w:rsidR="00252C5E" w:rsidRDefault="00252C5E" w:rsidP="006B4D5B">
      <w:pPr>
        <w:numPr>
          <w:ilvl w:val="1"/>
          <w:numId w:val="12"/>
        </w:numPr>
      </w:pPr>
      <w:r>
        <w:t xml:space="preserve">Enable and utilize privacy features included with </w:t>
      </w:r>
      <w:proofErr w:type="gramStart"/>
      <w:r>
        <w:t>the social</w:t>
      </w:r>
      <w:proofErr w:type="gramEnd"/>
      <w:r>
        <w:t xml:space="preserve"> networking</w:t>
      </w:r>
      <w:r w:rsidR="006B4D5B">
        <w:t>, Web 2.0, or social media</w:t>
      </w:r>
      <w:r>
        <w:t xml:space="preserve"> sites.</w:t>
      </w:r>
    </w:p>
    <w:p w14:paraId="07D33F24" w14:textId="77777777" w:rsidR="00252C5E" w:rsidRPr="006B4D5B" w:rsidRDefault="00252C5E" w:rsidP="00252C5E">
      <w:pPr>
        <w:numPr>
          <w:ilvl w:val="0"/>
          <w:numId w:val="12"/>
        </w:numPr>
        <w:rPr>
          <w:b/>
        </w:rPr>
      </w:pPr>
      <w:r w:rsidRPr="006B4D5B">
        <w:rPr>
          <w:b/>
        </w:rPr>
        <w:t>Malware</w:t>
      </w:r>
    </w:p>
    <w:p w14:paraId="4E2A0C0A" w14:textId="77777777" w:rsidR="00252C5E" w:rsidRDefault="00252C5E" w:rsidP="006B4D5B">
      <w:pPr>
        <w:numPr>
          <w:ilvl w:val="1"/>
          <w:numId w:val="12"/>
        </w:numPr>
      </w:pPr>
      <w:r>
        <w:t>Custom written video players may contain malware; think twice before you click.</w:t>
      </w:r>
    </w:p>
    <w:p w14:paraId="3E1CABCE" w14:textId="77777777" w:rsidR="00252C5E" w:rsidRDefault="00252C5E" w:rsidP="006B4D5B">
      <w:pPr>
        <w:numPr>
          <w:ilvl w:val="1"/>
          <w:numId w:val="12"/>
        </w:numPr>
      </w:pPr>
      <w:r>
        <w:t xml:space="preserve">Do not visit unknown or </w:t>
      </w:r>
      <w:proofErr w:type="gramStart"/>
      <w:r>
        <w:t>un-trusted</w:t>
      </w:r>
      <w:proofErr w:type="gramEnd"/>
      <w:r>
        <w:t xml:space="preserve"> </w:t>
      </w:r>
      <w:r w:rsidR="00AE00B1">
        <w:t>web</w:t>
      </w:r>
      <w:r>
        <w:t>sites.</w:t>
      </w:r>
    </w:p>
    <w:p w14:paraId="6CF7E54F" w14:textId="77777777" w:rsidR="00252C5E" w:rsidRDefault="00AE00B1" w:rsidP="006B4D5B">
      <w:pPr>
        <w:numPr>
          <w:ilvl w:val="1"/>
          <w:numId w:val="12"/>
        </w:numPr>
      </w:pPr>
      <w:r>
        <w:t>w</w:t>
      </w:r>
      <w:r w:rsidR="00252C5E">
        <w:t>ebsites can redirect and download malware to your computer if not patched.</w:t>
      </w:r>
    </w:p>
    <w:p w14:paraId="7D2501FB" w14:textId="77777777" w:rsidR="00252C5E" w:rsidRDefault="00252C5E" w:rsidP="006B4D5B">
      <w:pPr>
        <w:numPr>
          <w:ilvl w:val="1"/>
          <w:numId w:val="12"/>
        </w:numPr>
      </w:pPr>
      <w:r>
        <w:t xml:space="preserve">Do not download files from linked </w:t>
      </w:r>
      <w:r w:rsidR="00AE00B1">
        <w:t>web</w:t>
      </w:r>
      <w:r>
        <w:t>sites you do not know or trust.</w:t>
      </w:r>
    </w:p>
    <w:p w14:paraId="0FC9E4CF" w14:textId="77777777" w:rsidR="00252C5E" w:rsidRDefault="00252C5E" w:rsidP="006B4D5B">
      <w:pPr>
        <w:numPr>
          <w:ilvl w:val="1"/>
          <w:numId w:val="12"/>
        </w:numPr>
      </w:pPr>
      <w:r>
        <w:t>Malicious files can be in the form of commonly accepted file formats such as PDF documents, Microsoft Office products and others.</w:t>
      </w:r>
    </w:p>
    <w:p w14:paraId="4F5B9EF5" w14:textId="77777777" w:rsidR="00252C5E" w:rsidRPr="006B4D5B" w:rsidRDefault="00252C5E" w:rsidP="00252C5E">
      <w:pPr>
        <w:numPr>
          <w:ilvl w:val="0"/>
          <w:numId w:val="12"/>
        </w:numPr>
        <w:rPr>
          <w:b/>
        </w:rPr>
      </w:pPr>
      <w:r w:rsidRPr="006B4D5B">
        <w:rPr>
          <w:b/>
        </w:rPr>
        <w:t>Reporting</w:t>
      </w:r>
    </w:p>
    <w:p w14:paraId="08EDFAF8" w14:textId="77777777" w:rsidR="00252C5E" w:rsidRDefault="00252C5E" w:rsidP="006B4D5B">
      <w:pPr>
        <w:numPr>
          <w:ilvl w:val="1"/>
          <w:numId w:val="12"/>
        </w:numPr>
      </w:pPr>
      <w:r>
        <w:t>Work with your IT staff to ensure your computer is properly patched.</w:t>
      </w:r>
    </w:p>
    <w:p w14:paraId="2CC1A707" w14:textId="77777777" w:rsidR="00252C5E" w:rsidRPr="00252C5E" w:rsidRDefault="00252C5E" w:rsidP="006B4D5B">
      <w:pPr>
        <w:numPr>
          <w:ilvl w:val="1"/>
          <w:numId w:val="12"/>
        </w:numPr>
      </w:pPr>
      <w:r>
        <w:t xml:space="preserve">Always report incidents promptly to your Information Security Officer </w:t>
      </w:r>
      <w:r w:rsidR="006B4D5B">
        <w:t>following the process in the Oklahoma Information Security Policy, Procedures and Guidelines.</w:t>
      </w:r>
    </w:p>
    <w:p w14:paraId="1C319475" w14:textId="77777777" w:rsidR="007D4471" w:rsidRDefault="007D4471" w:rsidP="005C486C">
      <w:pPr>
        <w:pStyle w:val="Heading3"/>
        <w:numPr>
          <w:ilvl w:val="0"/>
          <w:numId w:val="8"/>
        </w:numPr>
      </w:pPr>
      <w:r>
        <w:t>Content Definition</w:t>
      </w:r>
    </w:p>
    <w:p w14:paraId="351908F9" w14:textId="77777777" w:rsidR="007D4471" w:rsidRDefault="007D4471"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C7A0257" w14:textId="77777777" w:rsidR="007D4471" w:rsidRDefault="007D4471" w:rsidP="007D4471">
      <w:r>
        <w:t xml:space="preserve">Draft a sample of the type(s) of content that will be displayed using the technology and submit the sample(s) with the proposal. Also, draft a brief description on the purpose of the </w:t>
      </w:r>
      <w:bookmarkStart w:id="0" w:name="OLE_LINK1"/>
      <w:bookmarkStart w:id="1" w:name="OLE_LINK2"/>
      <w:r w:rsidR="00F84520">
        <w:t xml:space="preserve">social </w:t>
      </w:r>
      <w:r w:rsidR="005C486C">
        <w:t>networking</w:t>
      </w:r>
      <w:r w:rsidR="00F84520">
        <w:t xml:space="preserve">, Web 2.0 or social </w:t>
      </w:r>
      <w:r w:rsidR="005C486C">
        <w:t xml:space="preserve">media </w:t>
      </w:r>
      <w:r>
        <w:t xml:space="preserve">technology </w:t>
      </w:r>
      <w:bookmarkEnd w:id="0"/>
      <w:bookmarkEnd w:id="1"/>
      <w:r>
        <w:t>being deployed.</w:t>
      </w:r>
      <w:r w:rsidR="005C486C">
        <w:t xml:space="preserve"> </w:t>
      </w:r>
      <w:r w:rsidR="009B0398">
        <w:t xml:space="preserve">Official </w:t>
      </w:r>
      <w:r w:rsidR="005C486C">
        <w:t xml:space="preserve">agency postings to unofficial agency social networking, Web </w:t>
      </w:r>
      <w:proofErr w:type="gramStart"/>
      <w:r w:rsidR="005C486C">
        <w:t>2.0</w:t>
      </w:r>
      <w:proofErr w:type="gramEnd"/>
      <w:r w:rsidR="005C486C">
        <w:t xml:space="preserve"> or social media sites:</w:t>
      </w:r>
    </w:p>
    <w:p w14:paraId="0FB87AD5" w14:textId="77777777" w:rsidR="005C486C" w:rsidRDefault="005C486C" w:rsidP="005C486C">
      <w:pPr>
        <w:numPr>
          <w:ilvl w:val="0"/>
          <w:numId w:val="10"/>
        </w:numPr>
      </w:pPr>
      <w:r>
        <w:t xml:space="preserve">Should require agency management </w:t>
      </w:r>
      <w:proofErr w:type="gramStart"/>
      <w:r>
        <w:t>approval;</w:t>
      </w:r>
      <w:proofErr w:type="gramEnd"/>
    </w:p>
    <w:p w14:paraId="334CEBD6" w14:textId="77777777" w:rsidR="005C486C" w:rsidRDefault="005C486C" w:rsidP="005C486C">
      <w:pPr>
        <w:numPr>
          <w:ilvl w:val="0"/>
          <w:numId w:val="10"/>
        </w:numPr>
      </w:pPr>
      <w:r>
        <w:t>Should be clearly identified with the employee and agency name; and</w:t>
      </w:r>
    </w:p>
    <w:p w14:paraId="29003BE6" w14:textId="77777777" w:rsidR="005C486C" w:rsidRDefault="005C486C" w:rsidP="005C486C">
      <w:pPr>
        <w:numPr>
          <w:ilvl w:val="0"/>
          <w:numId w:val="9"/>
        </w:numPr>
      </w:pPr>
      <w:r>
        <w:t>Should not include confidential information and should conform to the Oklahoma Information Security Policy, Procedures and Guidelines.</w:t>
      </w:r>
    </w:p>
    <w:p w14:paraId="0906A127" w14:textId="77777777" w:rsidR="007D4471" w:rsidRDefault="007D4471" w:rsidP="009B0398">
      <w:pPr>
        <w:pStyle w:val="Heading3"/>
        <w:numPr>
          <w:ilvl w:val="0"/>
          <w:numId w:val="8"/>
        </w:numPr>
      </w:pPr>
      <w:r>
        <w:t>Design/Look</w:t>
      </w:r>
    </w:p>
    <w:p w14:paraId="5E610A4A" w14:textId="77777777" w:rsidR="005C486C" w:rsidRDefault="005C486C"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D4B0C5" w14:textId="77777777" w:rsidR="007D4471" w:rsidRPr="00E4434F" w:rsidRDefault="007D4471" w:rsidP="007D4471">
      <w:r>
        <w:t xml:space="preserve">When applicable, </w:t>
      </w:r>
      <w:r w:rsidR="0035659B">
        <w:t>OMES ISD</w:t>
      </w:r>
      <w:r>
        <w:t xml:space="preserve"> shall define standards, including a look and feel (or template), for state agencies to use when implementing </w:t>
      </w:r>
      <w:r w:rsidR="00927907">
        <w:t xml:space="preserve">individual approved </w:t>
      </w:r>
      <w:r w:rsidR="00F84520">
        <w:t xml:space="preserve">social </w:t>
      </w:r>
      <w:r w:rsidR="009B0398">
        <w:t>networking</w:t>
      </w:r>
      <w:r w:rsidR="00F84520">
        <w:t xml:space="preserve">, Web </w:t>
      </w:r>
      <w:proofErr w:type="gramStart"/>
      <w:r w:rsidR="00F84520">
        <w:t>2.0</w:t>
      </w:r>
      <w:proofErr w:type="gramEnd"/>
      <w:r w:rsidR="00F84520">
        <w:t xml:space="preserve"> or social </w:t>
      </w:r>
      <w:r w:rsidR="009B0398">
        <w:t xml:space="preserve">media </w:t>
      </w:r>
      <w:r w:rsidR="00F84520">
        <w:t>t</w:t>
      </w:r>
      <w:r>
        <w:t xml:space="preserve">echnologies. As these standards are developed, </w:t>
      </w:r>
      <w:r w:rsidR="0035659B">
        <w:t>OMES</w:t>
      </w:r>
      <w:r w:rsidRPr="00E4434F">
        <w:t xml:space="preserve"> will communicate the st</w:t>
      </w:r>
      <w:r>
        <w:t xml:space="preserve">andards to all state agencies. </w:t>
      </w:r>
      <w:r w:rsidRPr="00E4434F">
        <w:t>In turn, all agencies are required to review this standard and make all staff members aware of their responsibility.</w:t>
      </w:r>
    </w:p>
    <w:p w14:paraId="398E4105" w14:textId="77777777" w:rsidR="00A7484A" w:rsidRDefault="00A7484A" w:rsidP="009B0398">
      <w:pPr>
        <w:pStyle w:val="Heading3"/>
        <w:numPr>
          <w:ilvl w:val="0"/>
          <w:numId w:val="8"/>
        </w:numPr>
      </w:pPr>
      <w:r>
        <w:lastRenderedPageBreak/>
        <w:t>Metrics/Analytics</w:t>
      </w:r>
    </w:p>
    <w:p w14:paraId="21613349" w14:textId="77777777" w:rsidR="00A7484A" w:rsidRDefault="00A7484A" w:rsidP="00A7484A"/>
    <w:p w14:paraId="28F94286" w14:textId="77777777" w:rsidR="00A7484A" w:rsidRDefault="00A7484A" w:rsidP="00A7484A">
      <w:r>
        <w:t xml:space="preserve">Establish how and what you will track </w:t>
      </w:r>
      <w:proofErr w:type="gramStart"/>
      <w:r>
        <w:t>in order to</w:t>
      </w:r>
      <w:proofErr w:type="gramEnd"/>
      <w:r>
        <w:t xml:space="preserve"> measure the effectiveness of your social media and social networking presence. Here are some items that you may want to consider:</w:t>
      </w:r>
    </w:p>
    <w:p w14:paraId="7D79E1B2" w14:textId="77777777" w:rsidR="00A7484A" w:rsidRDefault="00A7484A" w:rsidP="00A7484A"/>
    <w:p w14:paraId="47D473C2" w14:textId="77777777" w:rsidR="00A7484A" w:rsidRDefault="00A7484A" w:rsidP="00A7484A">
      <w:pPr>
        <w:numPr>
          <w:ilvl w:val="0"/>
          <w:numId w:val="9"/>
        </w:numPr>
      </w:pPr>
      <w:r>
        <w:t xml:space="preserve">If you offer a service to your customers, you will want to measure how many of the clicks or followers translate to paying </w:t>
      </w:r>
      <w:proofErr w:type="gramStart"/>
      <w:r>
        <w:t>customers</w:t>
      </w:r>
      <w:proofErr w:type="gramEnd"/>
    </w:p>
    <w:p w14:paraId="3C69AA53" w14:textId="77777777" w:rsidR="00A7484A" w:rsidRDefault="008E1FB0" w:rsidP="00A7484A">
      <w:pPr>
        <w:numPr>
          <w:ilvl w:val="0"/>
          <w:numId w:val="9"/>
        </w:numPr>
      </w:pPr>
      <w:r>
        <w:t xml:space="preserve">How will you measure the impact </w:t>
      </w:r>
      <w:proofErr w:type="gramStart"/>
      <w:r>
        <w:t>to</w:t>
      </w:r>
      <w:proofErr w:type="gramEnd"/>
      <w:r>
        <w:t xml:space="preserve"> the awareness of your agency’s brand or mission?</w:t>
      </w:r>
    </w:p>
    <w:p w14:paraId="3CB80B9E" w14:textId="77777777" w:rsidR="008E1FB0" w:rsidRDefault="008E1FB0" w:rsidP="00A7484A">
      <w:pPr>
        <w:numPr>
          <w:ilvl w:val="0"/>
          <w:numId w:val="9"/>
        </w:numPr>
      </w:pPr>
      <w:r>
        <w:t xml:space="preserve">Can you measure if and how much </w:t>
      </w:r>
      <w:proofErr w:type="gramStart"/>
      <w:r>
        <w:t>the social</w:t>
      </w:r>
      <w:proofErr w:type="gramEnd"/>
      <w:r>
        <w:t xml:space="preserve"> media or social networking technology has helped reduce communications costs?</w:t>
      </w:r>
    </w:p>
    <w:p w14:paraId="7BA28197" w14:textId="77777777" w:rsidR="008E1FB0" w:rsidRPr="00A7484A" w:rsidRDefault="008E1FB0" w:rsidP="008E1FB0">
      <w:pPr>
        <w:numPr>
          <w:ilvl w:val="0"/>
          <w:numId w:val="9"/>
        </w:numPr>
      </w:pPr>
      <w:r>
        <w:t xml:space="preserve">Can you measure if and how much </w:t>
      </w:r>
      <w:proofErr w:type="gramStart"/>
      <w:r>
        <w:t>the social</w:t>
      </w:r>
      <w:proofErr w:type="gramEnd"/>
      <w:r>
        <w:t xml:space="preserve"> media or social networking technology has helped streamline customer relations?</w:t>
      </w:r>
    </w:p>
    <w:p w14:paraId="24526BDA" w14:textId="77777777" w:rsidR="008E1FB0" w:rsidRPr="00A7484A" w:rsidRDefault="008E1FB0" w:rsidP="00A7484A">
      <w:pPr>
        <w:numPr>
          <w:ilvl w:val="0"/>
          <w:numId w:val="9"/>
        </w:numPr>
      </w:pPr>
      <w:r>
        <w:t xml:space="preserve">Has </w:t>
      </w:r>
      <w:proofErr w:type="gramStart"/>
      <w:r>
        <w:t>the social</w:t>
      </w:r>
      <w:proofErr w:type="gramEnd"/>
      <w:r>
        <w:t xml:space="preserve"> media or social networking technology has helped the agency respond more favorably to requests and/or issues?</w:t>
      </w:r>
    </w:p>
    <w:p w14:paraId="0900568D" w14:textId="77777777" w:rsidR="007D4471" w:rsidRDefault="002C737B" w:rsidP="009B0398">
      <w:pPr>
        <w:pStyle w:val="Heading3"/>
        <w:numPr>
          <w:ilvl w:val="0"/>
          <w:numId w:val="8"/>
        </w:numPr>
      </w:pPr>
      <w:r>
        <w:t xml:space="preserve">Official </w:t>
      </w:r>
      <w:r w:rsidR="00B33635">
        <w:t>Agency</w:t>
      </w:r>
      <w:r w:rsidR="009B0398">
        <w:t xml:space="preserve"> </w:t>
      </w:r>
      <w:r w:rsidR="00B33635">
        <w:t>Sites</w:t>
      </w:r>
    </w:p>
    <w:p w14:paraId="6D051638" w14:textId="77777777" w:rsidR="007D4471" w:rsidRDefault="007D4471"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32489E" w14:textId="77777777" w:rsidR="00B33635" w:rsidRDefault="00B33635" w:rsidP="007D4471">
      <w:r>
        <w:t xml:space="preserve">While </w:t>
      </w:r>
      <w:r w:rsidR="002C737B">
        <w:t xml:space="preserve">official State agency </w:t>
      </w:r>
      <w:r>
        <w:t>social</w:t>
      </w:r>
      <w:r w:rsidR="002C737B">
        <w:t xml:space="preserve"> networking</w:t>
      </w:r>
      <w:r>
        <w:t xml:space="preserve">, Web 2.0 or social </w:t>
      </w:r>
      <w:r w:rsidR="002C737B">
        <w:t xml:space="preserve">media </w:t>
      </w:r>
      <w:r>
        <w:t>technolog</w:t>
      </w:r>
      <w:r w:rsidR="009B0398">
        <w:t xml:space="preserve">ies </w:t>
      </w:r>
      <w:r>
        <w:t xml:space="preserve">must meet standards detailed in </w:t>
      </w:r>
      <w:r w:rsidR="002C737B">
        <w:t xml:space="preserve">the State Social Networking and Social Media Standard, agencies are encouraged to develop standards for governing their agency-sponsored social networking, Web </w:t>
      </w:r>
      <w:proofErr w:type="gramStart"/>
      <w:r w:rsidR="002C737B">
        <w:t>2.0</w:t>
      </w:r>
      <w:proofErr w:type="gramEnd"/>
      <w:r w:rsidR="002C737B">
        <w:t xml:space="preserve"> or social media sites. This guidance should include </w:t>
      </w:r>
      <w:r>
        <w:t>the following:</w:t>
      </w:r>
    </w:p>
    <w:p w14:paraId="5F18D35A" w14:textId="44814078" w:rsidR="0035659B" w:rsidRDefault="008F7A80" w:rsidP="002C737B">
      <w:pPr>
        <w:numPr>
          <w:ilvl w:val="0"/>
          <w:numId w:val="9"/>
        </w:numPr>
      </w:pPr>
      <w:r>
        <w:t xml:space="preserve">Ensure the chosen technology is on the list of </w:t>
      </w:r>
      <w:hyperlink r:id="rId9" w:history="1">
        <w:r w:rsidR="000D0CAE" w:rsidRPr="000D0CAE">
          <w:rPr>
            <w:rStyle w:val="Hyperlink"/>
          </w:rPr>
          <w:t xml:space="preserve">approved </w:t>
        </w:r>
        <w:r w:rsidRPr="000D0CAE">
          <w:rPr>
            <w:rStyle w:val="Hyperlink"/>
          </w:rPr>
          <w:t>technologies</w:t>
        </w:r>
      </w:hyperlink>
      <w:r w:rsidR="000D0CAE">
        <w:t>.</w:t>
      </w:r>
      <w:r>
        <w:t xml:space="preserve"> </w:t>
      </w:r>
    </w:p>
    <w:p w14:paraId="56710A92" w14:textId="77777777" w:rsidR="002C737B" w:rsidRDefault="002C737B" w:rsidP="002C737B">
      <w:pPr>
        <w:numPr>
          <w:ilvl w:val="0"/>
          <w:numId w:val="9"/>
        </w:numPr>
      </w:pPr>
      <w:r>
        <w:t xml:space="preserve">Agency management should approve the business concept plan, design and content for official agency </w:t>
      </w:r>
      <w:proofErr w:type="gramStart"/>
      <w:r>
        <w:t>sites;</w:t>
      </w:r>
      <w:proofErr w:type="gramEnd"/>
    </w:p>
    <w:p w14:paraId="49AF6BF0" w14:textId="77777777" w:rsidR="00B33635" w:rsidRDefault="002C737B" w:rsidP="00B33635">
      <w:pPr>
        <w:numPr>
          <w:ilvl w:val="0"/>
          <w:numId w:val="9"/>
        </w:numPr>
      </w:pPr>
      <w:r>
        <w:t xml:space="preserve">Official agency sites should not include confidential information and should conform to the Oklahoma Information Security Policy, Procedures and </w:t>
      </w:r>
      <w:proofErr w:type="gramStart"/>
      <w:r>
        <w:t>Guidelines;</w:t>
      </w:r>
      <w:proofErr w:type="gramEnd"/>
    </w:p>
    <w:p w14:paraId="69CCBB6A" w14:textId="77777777" w:rsidR="00EA363C" w:rsidRDefault="00EA363C" w:rsidP="00EA363C">
      <w:pPr>
        <w:numPr>
          <w:ilvl w:val="0"/>
          <w:numId w:val="9"/>
        </w:numPr>
      </w:pPr>
      <w:r>
        <w:t>Official agency sites are subject to the Oklahoma Open Records Acts; and</w:t>
      </w:r>
    </w:p>
    <w:p w14:paraId="6E3EBA8E" w14:textId="77777777" w:rsidR="00B33635" w:rsidRDefault="00B33635" w:rsidP="00EA363C">
      <w:pPr>
        <w:numPr>
          <w:ilvl w:val="0"/>
          <w:numId w:val="9"/>
        </w:numPr>
      </w:pPr>
      <w:r>
        <w:t>A</w:t>
      </w:r>
      <w:r w:rsidR="007D4471">
        <w:t>gency info</w:t>
      </w:r>
      <w:r w:rsidR="00EA363C">
        <w:t>rmation security representative and</w:t>
      </w:r>
      <w:r w:rsidR="007D4471">
        <w:t xml:space="preserve"> information technology and communications staff</w:t>
      </w:r>
      <w:r w:rsidR="00EA363C">
        <w:t>s</w:t>
      </w:r>
      <w:r w:rsidR="007D4471">
        <w:t xml:space="preserve"> should review</w:t>
      </w:r>
      <w:r>
        <w:t xml:space="preserve"> the </w:t>
      </w:r>
      <w:r w:rsidR="00EA363C">
        <w:t xml:space="preserve">social networking, Web 2.0 or social media prior to </w:t>
      </w:r>
      <w:proofErr w:type="gramStart"/>
      <w:r w:rsidR="00EA363C">
        <w:t>launch</w:t>
      </w:r>
      <w:r>
        <w:t>;</w:t>
      </w:r>
      <w:proofErr w:type="gramEnd"/>
    </w:p>
    <w:p w14:paraId="7787CCBF" w14:textId="77777777" w:rsidR="007D4471" w:rsidRDefault="00192DAC" w:rsidP="009B0398">
      <w:pPr>
        <w:pStyle w:val="Heading3"/>
        <w:numPr>
          <w:ilvl w:val="0"/>
          <w:numId w:val="8"/>
        </w:numPr>
      </w:pPr>
      <w:r>
        <w:t>Soft Launch/</w:t>
      </w:r>
      <w:r w:rsidR="007D4471">
        <w:t>Testing</w:t>
      </w:r>
    </w:p>
    <w:p w14:paraId="2FC6C2A2" w14:textId="77777777" w:rsidR="007D4471" w:rsidRDefault="007D4471"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259571" w14:textId="77777777" w:rsidR="000D0CAE" w:rsidRDefault="007D4471" w:rsidP="007D4471">
      <w:r>
        <w:t>Perform usability testing both internally and with a small group of non-state agency employees. This testing will allow the agency to determine if th</w:t>
      </w:r>
      <w:r w:rsidR="009B0398">
        <w:t>e technology functions properly and meets the goals outlined in the business case.</w:t>
      </w:r>
    </w:p>
    <w:p w14:paraId="77E31306" w14:textId="77777777" w:rsidR="007D4471" w:rsidRDefault="000D0CAE" w:rsidP="007D4471">
      <w:r>
        <w:br w:type="page"/>
      </w:r>
    </w:p>
    <w:p w14:paraId="5D5DBA80" w14:textId="77777777" w:rsidR="007D4471" w:rsidRDefault="007D4471" w:rsidP="009B0398">
      <w:pPr>
        <w:pStyle w:val="Heading3"/>
        <w:numPr>
          <w:ilvl w:val="0"/>
          <w:numId w:val="8"/>
        </w:numPr>
      </w:pPr>
      <w:r>
        <w:t>Full Launch</w:t>
      </w:r>
    </w:p>
    <w:p w14:paraId="6FC89AF0" w14:textId="77777777" w:rsidR="007D4471" w:rsidRDefault="007D4471" w:rsidP="007D4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DECCC3D" w14:textId="77777777" w:rsidR="007D4471" w:rsidRDefault="007D4471" w:rsidP="007D4471">
      <w:r>
        <w:t xml:space="preserve">After usability testing and any changes are made, let all interested parties know it is available for public use and promotion. State agencies should engage the </w:t>
      </w:r>
      <w:r w:rsidR="009B0398">
        <w:t>S</w:t>
      </w:r>
      <w:r>
        <w:t xml:space="preserve">tate portal (OK.gov) to get the </w:t>
      </w:r>
      <w:r w:rsidR="009B0398">
        <w:t>social networking</w:t>
      </w:r>
      <w:r>
        <w:t xml:space="preserve">, Web 2.0, or social </w:t>
      </w:r>
      <w:r w:rsidR="009B0398">
        <w:t>media</w:t>
      </w:r>
      <w:r>
        <w:t xml:space="preserve"> technology added to the </w:t>
      </w:r>
      <w:r w:rsidR="009B0398">
        <w:t>S</w:t>
      </w:r>
      <w:r w:rsidR="00192DAC">
        <w:t>tate portal’s list of social media assets</w:t>
      </w:r>
      <w:r>
        <w:t xml:space="preserve">. The </w:t>
      </w:r>
      <w:r w:rsidR="009B0398">
        <w:t xml:space="preserve">agency </w:t>
      </w:r>
      <w:r>
        <w:t>marketing plan should also be employed</w:t>
      </w:r>
      <w:r w:rsidR="009B0398">
        <w:t xml:space="preserve"> to make the public, agency partners and other State governmental agencies aware of the launch.</w:t>
      </w:r>
    </w:p>
    <w:p w14:paraId="00644576" w14:textId="77777777" w:rsidR="00192DAC" w:rsidRDefault="00192DAC" w:rsidP="009B0398">
      <w:pPr>
        <w:pStyle w:val="Heading3"/>
        <w:numPr>
          <w:ilvl w:val="0"/>
          <w:numId w:val="8"/>
        </w:numPr>
      </w:pPr>
      <w:r>
        <w:t>Technical Maintenance</w:t>
      </w:r>
    </w:p>
    <w:p w14:paraId="21C978BD" w14:textId="77777777" w:rsidR="00192DAC" w:rsidRDefault="00192DAC" w:rsidP="00192DAC">
      <w:r>
        <w:t xml:space="preserve">If a </w:t>
      </w:r>
      <w:r w:rsidR="00F84520">
        <w:t xml:space="preserve">social </w:t>
      </w:r>
      <w:r w:rsidR="009B0398">
        <w:t>networking</w:t>
      </w:r>
      <w:r w:rsidR="00F84520">
        <w:t xml:space="preserve">, Web </w:t>
      </w:r>
      <w:proofErr w:type="gramStart"/>
      <w:r w:rsidR="00F84520">
        <w:t>2.0</w:t>
      </w:r>
      <w:proofErr w:type="gramEnd"/>
      <w:r w:rsidR="00F84520">
        <w:t xml:space="preserve"> or social </w:t>
      </w:r>
      <w:r w:rsidR="009B0398">
        <w:t>media</w:t>
      </w:r>
      <w:r w:rsidR="00F84520">
        <w:t xml:space="preserve"> </w:t>
      </w:r>
      <w:r>
        <w:t>technolog</w:t>
      </w:r>
      <w:r w:rsidR="009B0398">
        <w:t>ies are</w:t>
      </w:r>
      <w:r>
        <w:t xml:space="preserve"> </w:t>
      </w:r>
      <w:r w:rsidR="009B0398">
        <w:t>deployed</w:t>
      </w:r>
      <w:r>
        <w:t xml:space="preserve"> on state agency servers, determine who is responsible for keeping the technology upgraded and patched for security vulnerabilities.</w:t>
      </w:r>
      <w:r w:rsidR="009B0398">
        <w:t xml:space="preserve"> </w:t>
      </w:r>
      <w:r>
        <w:t xml:space="preserve">In addition, determine what data needs to be backed up and on what schedule and who is responsible for the backups. </w:t>
      </w:r>
    </w:p>
    <w:p w14:paraId="4929BF55" w14:textId="77777777" w:rsidR="00192DAC" w:rsidRDefault="00192DAC" w:rsidP="00192DAC"/>
    <w:p w14:paraId="619DEB7B" w14:textId="77777777" w:rsidR="00192DAC" w:rsidRDefault="00192DAC" w:rsidP="00192DAC">
      <w:r>
        <w:t xml:space="preserve">For </w:t>
      </w:r>
      <w:proofErr w:type="gramStart"/>
      <w:r>
        <w:t>externally-hosted</w:t>
      </w:r>
      <w:proofErr w:type="gramEnd"/>
      <w:r>
        <w:t xml:space="preserve"> </w:t>
      </w:r>
      <w:r w:rsidR="009B0398">
        <w:t>social networking, Web 2.0 or social media technologies</w:t>
      </w:r>
      <w:r>
        <w:t>, identify when backups of the content are made, by whom and what is required to obtain copies of such backups.</w:t>
      </w:r>
    </w:p>
    <w:p w14:paraId="025FB217" w14:textId="77777777" w:rsidR="00192DAC" w:rsidRDefault="00192DAC" w:rsidP="00192DAC"/>
    <w:p w14:paraId="2C3FDF1E" w14:textId="77777777" w:rsidR="00192DAC" w:rsidRDefault="00192DAC" w:rsidP="00192DAC">
      <w:r>
        <w:t xml:space="preserve">Be sure to notify the designated agency disaster recovery coordinator. This information </w:t>
      </w:r>
      <w:r w:rsidR="00F84520">
        <w:t>will</w:t>
      </w:r>
      <w:r>
        <w:t xml:space="preserve"> be a part of the </w:t>
      </w:r>
      <w:proofErr w:type="gramStart"/>
      <w:r>
        <w:t>agency</w:t>
      </w:r>
      <w:proofErr w:type="gramEnd"/>
      <w:r>
        <w:t xml:space="preserve"> disaster recovery plan. </w:t>
      </w:r>
    </w:p>
    <w:p w14:paraId="295F55AC" w14:textId="77777777" w:rsidR="00192DAC" w:rsidRDefault="00192DAC" w:rsidP="009B0398">
      <w:pPr>
        <w:pStyle w:val="Heading3"/>
        <w:numPr>
          <w:ilvl w:val="0"/>
          <w:numId w:val="8"/>
        </w:numPr>
      </w:pPr>
      <w:r>
        <w:t>Monitor, Manage, Refine</w:t>
      </w:r>
    </w:p>
    <w:p w14:paraId="496674CF" w14:textId="77777777" w:rsidR="00192DAC" w:rsidRDefault="00192DAC" w:rsidP="00192D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A9C146B" w14:textId="77777777" w:rsidR="00C45BDA" w:rsidRDefault="00192DAC" w:rsidP="00192DAC">
      <w:r>
        <w:t xml:space="preserve">All </w:t>
      </w:r>
      <w:r w:rsidR="009B0398">
        <w:t>social networking</w:t>
      </w:r>
      <w:r>
        <w:t>, Web 2.0, or social media technolog</w:t>
      </w:r>
      <w:r w:rsidR="009B0398">
        <w:t>ies</w:t>
      </w:r>
      <w:r>
        <w:t xml:space="preserve"> should be reviewed annual</w:t>
      </w:r>
      <w:r w:rsidR="009B0398">
        <w:t xml:space="preserve">ly to make incremental changes and </w:t>
      </w:r>
      <w:r>
        <w:t xml:space="preserve">ensure the </w:t>
      </w:r>
      <w:r w:rsidR="009B0398">
        <w:t>social networking</w:t>
      </w:r>
      <w:r>
        <w:t xml:space="preserve">, Web 2.0, or </w:t>
      </w:r>
      <w:r w:rsidR="00F84520">
        <w:t xml:space="preserve">social media </w:t>
      </w:r>
      <w:r>
        <w:t>technology is still viable for the current Internet community</w:t>
      </w:r>
      <w:r w:rsidR="009B0398">
        <w:t>,</w:t>
      </w:r>
      <w:r>
        <w:t xml:space="preserve"> provides a service as originally intended</w:t>
      </w:r>
      <w:r w:rsidR="009B0398">
        <w:t>, and effectively communicates the agency message</w:t>
      </w:r>
      <w:r>
        <w:t>.</w:t>
      </w:r>
    </w:p>
    <w:p w14:paraId="50C84A4D" w14:textId="77777777" w:rsidR="00192DAC" w:rsidRDefault="00C45BDA" w:rsidP="00C45BDA">
      <w:pPr>
        <w:pStyle w:val="Heading2"/>
      </w:pPr>
      <w:r>
        <w:br w:type="page"/>
      </w:r>
      <w:r w:rsidRPr="00C45BDA">
        <w:lastRenderedPageBreak/>
        <w:t>Appendix A – Sample Policy Covering Personal Devices, Universal Serial Bus (USB) Ports and All Removable Media</w:t>
      </w:r>
    </w:p>
    <w:p w14:paraId="2ED74883" w14:textId="77777777" w:rsidR="00C45BDA" w:rsidRPr="00C45BDA" w:rsidRDefault="00C45BDA" w:rsidP="00C45BDA"/>
    <w:p w14:paraId="14058995" w14:textId="77777777" w:rsidR="00C45BDA" w:rsidRPr="00C45BDA" w:rsidRDefault="00C45BDA" w:rsidP="00C45BDA">
      <w:pPr>
        <w:numPr>
          <w:ilvl w:val="0"/>
          <w:numId w:val="14"/>
        </w:numPr>
        <w:spacing w:before="120" w:after="120"/>
      </w:pPr>
      <w:r w:rsidRPr="00C45BDA">
        <w:t>USB ports are essential for most personal computers. They are universally allowed to support the connection of keyboards and mice. They can also be used for approved peripheral devices.</w:t>
      </w:r>
    </w:p>
    <w:p w14:paraId="337BD140" w14:textId="77777777" w:rsidR="00C45BDA" w:rsidRPr="00C45BDA" w:rsidRDefault="00C45BDA" w:rsidP="00C45BDA">
      <w:pPr>
        <w:numPr>
          <w:ilvl w:val="0"/>
          <w:numId w:val="14"/>
        </w:numPr>
        <w:spacing w:before="120" w:after="120"/>
      </w:pPr>
      <w:r w:rsidRPr="00C45BDA">
        <w:t xml:space="preserve">The following are </w:t>
      </w:r>
      <w:proofErr w:type="gramStart"/>
      <w:r w:rsidRPr="00C45BDA">
        <w:t>restricted</w:t>
      </w:r>
      <w:proofErr w:type="gramEnd"/>
      <w:r w:rsidRPr="00C45BDA">
        <w:t xml:space="preserve"> USB devices: flash drives, memory sticks, audio/video devices (iPods, MP3 players or hybrids), cell phones or cell phone hybrids, micro </w:t>
      </w:r>
      <w:proofErr w:type="gramStart"/>
      <w:r w:rsidRPr="00C45BDA">
        <w:t>drives</w:t>
      </w:r>
      <w:proofErr w:type="gramEnd"/>
      <w:r w:rsidRPr="00C45BDA">
        <w:t xml:space="preserve"> or non-standard PDAs. Exceptions may be made to authorize the use of approved USB devices (specifically flash memory drives or external hard drives), if required to perform &lt;Entity Name&gt; activities, such as software installations and backup of existing files or systems.</w:t>
      </w:r>
    </w:p>
    <w:p w14:paraId="30175FF7" w14:textId="77777777" w:rsidR="00C45BDA" w:rsidRPr="00C45BDA" w:rsidRDefault="00C45BDA" w:rsidP="00C45BDA">
      <w:pPr>
        <w:numPr>
          <w:ilvl w:val="0"/>
          <w:numId w:val="14"/>
        </w:numPr>
        <w:spacing w:before="120" w:after="120"/>
      </w:pPr>
      <w:r w:rsidRPr="00C45BDA">
        <w:t>Only USB devices approved and provided by &lt;Entity Name&gt; can be used.  If data resides on an unapproved USB device, it must be submitted to &lt;Entity Name&gt; so that it can safely be transferred to an approved device or a designated location on the network.</w:t>
      </w:r>
    </w:p>
    <w:p w14:paraId="0BC946CC" w14:textId="77777777" w:rsidR="00C45BDA" w:rsidRPr="00C45BDA" w:rsidRDefault="00C45BDA" w:rsidP="00C45BDA">
      <w:pPr>
        <w:numPr>
          <w:ilvl w:val="0"/>
          <w:numId w:val="14"/>
        </w:numPr>
        <w:spacing w:before="120" w:after="120"/>
      </w:pPr>
      <w:r w:rsidRPr="00C45BDA">
        <w:t>All authorized USB devices used for data storage will include a data encryption algorithm and strong password support, both of which must always be used and cannot be removed.</w:t>
      </w:r>
    </w:p>
    <w:p w14:paraId="43ADBF33" w14:textId="77777777" w:rsidR="00C45BDA" w:rsidRPr="00C45BDA" w:rsidRDefault="00C45BDA" w:rsidP="00C45BDA">
      <w:pPr>
        <w:numPr>
          <w:ilvl w:val="0"/>
          <w:numId w:val="14"/>
        </w:numPr>
        <w:spacing w:before="120" w:after="120"/>
      </w:pPr>
      <w:r w:rsidRPr="00C45BDA">
        <w:t>These guidelines apply to all &lt;Entity Name&gt; employees and anyone using &lt;Entity Name&gt; computer systems, including visitors, other state entity staff, contract staff and vendors.</w:t>
      </w:r>
    </w:p>
    <w:p w14:paraId="7B8CDF1D" w14:textId="77777777" w:rsidR="00C45BDA" w:rsidRPr="00C45BDA" w:rsidRDefault="00C45BDA" w:rsidP="00C45BDA">
      <w:pPr>
        <w:numPr>
          <w:ilvl w:val="0"/>
          <w:numId w:val="14"/>
        </w:numPr>
        <w:spacing w:before="120" w:after="120"/>
      </w:pPr>
      <w:r w:rsidRPr="00C45BDA">
        <w:t>These guidelines must be followed to safeguard both personal and state information.</w:t>
      </w:r>
    </w:p>
    <w:p w14:paraId="665868B3" w14:textId="77777777" w:rsidR="00C45BDA" w:rsidRPr="00C45BDA" w:rsidRDefault="00C45BDA" w:rsidP="00C45BDA">
      <w:pPr>
        <w:numPr>
          <w:ilvl w:val="0"/>
          <w:numId w:val="14"/>
        </w:numPr>
        <w:spacing w:before="120" w:after="120"/>
      </w:pPr>
      <w:r w:rsidRPr="00C45BDA">
        <w:t>No personal identity information, such as social security, tax identification, bank account, credit card, or drivers’ license numbers shall be stored on these devices. Since state employee personal contact information, such as home phone numbers and addresses are considered sensitive information by state statute, storing this information is strongly discouraged. It will only be allowed for purposes of business continuity and/or disaster recovery planning and response.</w:t>
      </w:r>
    </w:p>
    <w:p w14:paraId="68B57CF5" w14:textId="77777777" w:rsidR="00C45BDA" w:rsidRPr="00C45BDA" w:rsidRDefault="00C45BDA" w:rsidP="00C45BDA">
      <w:pPr>
        <w:numPr>
          <w:ilvl w:val="0"/>
          <w:numId w:val="14"/>
        </w:numPr>
        <w:spacing w:before="120" w:after="120"/>
      </w:pPr>
      <w:proofErr w:type="gramStart"/>
      <w:r w:rsidRPr="00C45BDA">
        <w:t>With regard to</w:t>
      </w:r>
      <w:proofErr w:type="gramEnd"/>
      <w:r w:rsidRPr="00C45BDA">
        <w:t xml:space="preserve"> storing personal identity information, these rules and procedures apply to all forms of removable media, including CDs, DVDs, diskettes and all forms of tape storage used for any purpose other than backing up files for business continuity and disaster recovery.</w:t>
      </w:r>
    </w:p>
    <w:p w14:paraId="1587AC5B" w14:textId="67988BA8" w:rsidR="00C45BDA" w:rsidRPr="00C45BDA" w:rsidRDefault="00C45BDA" w:rsidP="00C45BDA">
      <w:pPr>
        <w:numPr>
          <w:ilvl w:val="0"/>
          <w:numId w:val="14"/>
        </w:numPr>
        <w:spacing w:before="120" w:after="120"/>
      </w:pPr>
      <w:r w:rsidRPr="00C45BDA">
        <w:t xml:space="preserve">If any of these devices or media types are lost, stolen or accidentally destroyed, this action must be reported to your management and through </w:t>
      </w:r>
      <w:hyperlink r:id="rId10" w:history="1">
        <w:r w:rsidRPr="009C6F4D">
          <w:rPr>
            <w:rStyle w:val="Hyperlink"/>
          </w:rPr>
          <w:t>the state incident reporting and management system</w:t>
        </w:r>
      </w:hyperlink>
      <w:r w:rsidR="009C6F4D">
        <w:t>.</w:t>
      </w:r>
    </w:p>
    <w:p w14:paraId="10EBE160" w14:textId="77777777" w:rsidR="00312E4F" w:rsidRDefault="00C45BDA" w:rsidP="00C45BDA">
      <w:pPr>
        <w:numPr>
          <w:ilvl w:val="0"/>
          <w:numId w:val="14"/>
        </w:numPr>
        <w:spacing w:before="120" w:after="120"/>
      </w:pPr>
      <w:r w:rsidRPr="00C45BDA">
        <w:t xml:space="preserve">Violations of this policy, including abuse of administrator privileges, may be </w:t>
      </w:r>
      <w:proofErr w:type="gramStart"/>
      <w:r w:rsidRPr="00C45BDA">
        <w:t>cause</w:t>
      </w:r>
      <w:proofErr w:type="gramEnd"/>
      <w:r w:rsidRPr="00C45BDA">
        <w:t xml:space="preserve"> for criminal, civil, or disciplinary action up to and including termination.</w:t>
      </w:r>
    </w:p>
    <w:p w14:paraId="4431C9D6" w14:textId="77777777" w:rsidR="00312E4F" w:rsidRDefault="00312E4F" w:rsidP="00312E4F">
      <w:pPr>
        <w:pStyle w:val="Heading2"/>
      </w:pPr>
      <w:bookmarkStart w:id="2" w:name="_Toc253738906"/>
      <w:r>
        <w:lastRenderedPageBreak/>
        <w:t>Appendix B</w:t>
      </w:r>
    </w:p>
    <w:p w14:paraId="4518E5CB" w14:textId="77777777" w:rsidR="00312E4F" w:rsidRPr="001D4342" w:rsidRDefault="00312E4F" w:rsidP="00312E4F">
      <w:pPr>
        <w:pStyle w:val="Heading3"/>
      </w:pPr>
      <w:r w:rsidRPr="001D4342">
        <w:t>Version History</w:t>
      </w:r>
      <w:bookmarkEnd w:id="2"/>
    </w:p>
    <w:p w14:paraId="6734686C" w14:textId="77777777" w:rsidR="00312E4F" w:rsidRDefault="00312E4F" w:rsidP="00312E4F">
      <w:r>
        <w:t xml:space="preserve">The version numbering is as follows: </w:t>
      </w:r>
    </w:p>
    <w:p w14:paraId="6096E29B" w14:textId="77777777" w:rsidR="00312E4F" w:rsidRPr="00D3526B" w:rsidRDefault="00312E4F" w:rsidP="00312E4F">
      <w:pPr>
        <w:numPr>
          <w:ilvl w:val="0"/>
          <w:numId w:val="13"/>
        </w:numPr>
      </w:pPr>
      <w:r>
        <w:t xml:space="preserve">The initial version is </w:t>
      </w:r>
      <w:proofErr w:type="gramStart"/>
      <w:r>
        <w:t>.1</w:t>
      </w:r>
      <w:proofErr w:type="gramEnd"/>
    </w:p>
    <w:p w14:paraId="17803951" w14:textId="77777777" w:rsidR="00312E4F" w:rsidRPr="00D3526B" w:rsidRDefault="00312E4F" w:rsidP="00312E4F">
      <w:pPr>
        <w:numPr>
          <w:ilvl w:val="0"/>
          <w:numId w:val="13"/>
        </w:numPr>
      </w:pPr>
      <w:r w:rsidRPr="00D3526B">
        <w:t>Once the deliverable has been a</w:t>
      </w:r>
      <w:r>
        <w:t xml:space="preserve">ccepted, it becomes version </w:t>
      </w:r>
      <w:proofErr w:type="gramStart"/>
      <w:r>
        <w:t>1.00</w:t>
      </w:r>
      <w:proofErr w:type="gramEnd"/>
    </w:p>
    <w:p w14:paraId="2D238635" w14:textId="77777777" w:rsidR="00312E4F" w:rsidRPr="00D3526B" w:rsidRDefault="00312E4F" w:rsidP="00312E4F">
      <w:pPr>
        <w:numPr>
          <w:ilvl w:val="0"/>
          <w:numId w:val="13"/>
        </w:numPr>
      </w:pPr>
      <w:r w:rsidRPr="00D3526B">
        <w:t>After the baseline (v1.00), all subsequent minor changes should increase the version number by 0.</w:t>
      </w:r>
      <w:r w:rsidR="00AE00B1" w:rsidRPr="00D3526B">
        <w:t xml:space="preserve"> </w:t>
      </w:r>
      <w:r w:rsidRPr="00D3526B">
        <w:t>1</w:t>
      </w:r>
    </w:p>
    <w:p w14:paraId="46E0786B" w14:textId="77777777" w:rsidR="00312E4F" w:rsidRDefault="00312E4F" w:rsidP="00312E4F"/>
    <w:tbl>
      <w:tblPr>
        <w:tblW w:w="500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2"/>
        <w:gridCol w:w="1432"/>
        <w:gridCol w:w="1256"/>
        <w:gridCol w:w="1620"/>
        <w:gridCol w:w="3470"/>
      </w:tblGrid>
      <w:tr w:rsidR="00312E4F" w:rsidRPr="0002051A" w14:paraId="2FDF9A34" w14:textId="77777777" w:rsidTr="0035659B">
        <w:trPr>
          <w:cantSplit/>
        </w:trPr>
        <w:tc>
          <w:tcPr>
            <w:tcW w:w="616" w:type="pct"/>
            <w:shd w:val="clear" w:color="auto" w:fill="D9D9D9"/>
          </w:tcPr>
          <w:p w14:paraId="2C78808E" w14:textId="77777777" w:rsidR="00312E4F" w:rsidRPr="0002051A" w:rsidRDefault="00312E4F" w:rsidP="008822B9">
            <w:pPr>
              <w:pStyle w:val="TableColumnHeading"/>
              <w:rPr>
                <w:kern w:val="28"/>
              </w:rPr>
            </w:pPr>
            <w:r w:rsidRPr="0002051A">
              <w:rPr>
                <w:kern w:val="28"/>
              </w:rPr>
              <w:t>Version Number</w:t>
            </w:r>
          </w:p>
        </w:tc>
        <w:tc>
          <w:tcPr>
            <w:tcW w:w="807" w:type="pct"/>
            <w:shd w:val="clear" w:color="auto" w:fill="D9D9D9"/>
          </w:tcPr>
          <w:p w14:paraId="25E89FB4" w14:textId="77777777" w:rsidR="00312E4F" w:rsidRPr="0002051A" w:rsidRDefault="00312E4F" w:rsidP="008822B9">
            <w:pPr>
              <w:pStyle w:val="TableColumnHeading"/>
              <w:rPr>
                <w:kern w:val="28"/>
              </w:rPr>
            </w:pPr>
            <w:r w:rsidRPr="0002051A">
              <w:rPr>
                <w:kern w:val="28"/>
              </w:rPr>
              <w:t>Change Request Number</w:t>
            </w:r>
            <w:r>
              <w:rPr>
                <w:kern w:val="28"/>
              </w:rPr>
              <w:t xml:space="preserve"> </w:t>
            </w:r>
            <w:r>
              <w:rPr>
                <w:kern w:val="28"/>
              </w:rPr>
              <w:br/>
            </w:r>
            <w:r w:rsidRPr="00512FE9">
              <w:rPr>
                <w:b w:val="0"/>
                <w:kern w:val="28"/>
              </w:rPr>
              <w:t>(</w:t>
            </w:r>
            <w:r w:rsidRPr="00512FE9">
              <w:rPr>
                <w:b w:val="0"/>
                <w:i/>
                <w:kern w:val="28"/>
              </w:rPr>
              <w:t>if applicable</w:t>
            </w:r>
            <w:r w:rsidRPr="00512FE9">
              <w:rPr>
                <w:b w:val="0"/>
                <w:kern w:val="28"/>
              </w:rPr>
              <w:t>)</w:t>
            </w:r>
          </w:p>
        </w:tc>
        <w:tc>
          <w:tcPr>
            <w:tcW w:w="708" w:type="pct"/>
            <w:shd w:val="clear" w:color="auto" w:fill="D9D9D9"/>
          </w:tcPr>
          <w:p w14:paraId="6843873E" w14:textId="77777777" w:rsidR="00312E4F" w:rsidRPr="0002051A" w:rsidRDefault="00312E4F" w:rsidP="008822B9">
            <w:pPr>
              <w:pStyle w:val="TableColumnHeading"/>
              <w:rPr>
                <w:kern w:val="28"/>
              </w:rPr>
            </w:pPr>
            <w:r>
              <w:rPr>
                <w:kern w:val="28"/>
              </w:rPr>
              <w:t>Accepted</w:t>
            </w:r>
            <w:r w:rsidRPr="0002051A">
              <w:rPr>
                <w:kern w:val="28"/>
              </w:rPr>
              <w:t xml:space="preserve"> Date</w:t>
            </w:r>
          </w:p>
        </w:tc>
        <w:tc>
          <w:tcPr>
            <w:tcW w:w="913" w:type="pct"/>
            <w:shd w:val="clear" w:color="auto" w:fill="D9D9D9"/>
          </w:tcPr>
          <w:p w14:paraId="01A840FA" w14:textId="77777777" w:rsidR="00312E4F" w:rsidRPr="0002051A" w:rsidRDefault="00312E4F" w:rsidP="008822B9">
            <w:pPr>
              <w:pStyle w:val="TableColumnHeading"/>
              <w:rPr>
                <w:kern w:val="28"/>
              </w:rPr>
            </w:pPr>
            <w:r w:rsidRPr="0002051A">
              <w:rPr>
                <w:kern w:val="28"/>
              </w:rPr>
              <w:t>Author</w:t>
            </w:r>
          </w:p>
        </w:tc>
        <w:tc>
          <w:tcPr>
            <w:tcW w:w="1956" w:type="pct"/>
            <w:shd w:val="clear" w:color="auto" w:fill="D9D9D9"/>
          </w:tcPr>
          <w:p w14:paraId="2ED15611" w14:textId="77777777" w:rsidR="00312E4F" w:rsidRPr="0002051A" w:rsidRDefault="00312E4F" w:rsidP="008822B9">
            <w:pPr>
              <w:pStyle w:val="TableColumnHeading"/>
              <w:rPr>
                <w:kern w:val="28"/>
              </w:rPr>
            </w:pPr>
            <w:r w:rsidRPr="0002051A">
              <w:rPr>
                <w:kern w:val="28"/>
              </w:rPr>
              <w:t>Summary of Change</w:t>
            </w:r>
          </w:p>
        </w:tc>
      </w:tr>
      <w:tr w:rsidR="00312E4F" w:rsidRPr="00B17C05" w14:paraId="61B2A69B" w14:textId="77777777" w:rsidTr="0035659B">
        <w:trPr>
          <w:cantSplit/>
        </w:trPr>
        <w:tc>
          <w:tcPr>
            <w:tcW w:w="616" w:type="pct"/>
          </w:tcPr>
          <w:p w14:paraId="302B7B92" w14:textId="77777777" w:rsidR="00312E4F" w:rsidRPr="00B17C05" w:rsidRDefault="00312E4F" w:rsidP="008822B9">
            <w:pPr>
              <w:pStyle w:val="TableContentssmall"/>
              <w:rPr>
                <w:kern w:val="28"/>
              </w:rPr>
            </w:pPr>
            <w:r>
              <w:rPr>
                <w:kern w:val="28"/>
              </w:rPr>
              <w:t>1.00</w:t>
            </w:r>
          </w:p>
        </w:tc>
        <w:tc>
          <w:tcPr>
            <w:tcW w:w="807" w:type="pct"/>
          </w:tcPr>
          <w:p w14:paraId="0F30547D" w14:textId="77777777" w:rsidR="00312E4F" w:rsidRPr="00B17C05" w:rsidRDefault="00312E4F" w:rsidP="008822B9">
            <w:pPr>
              <w:pStyle w:val="TableContentssmall"/>
              <w:rPr>
                <w:kern w:val="28"/>
              </w:rPr>
            </w:pPr>
          </w:p>
        </w:tc>
        <w:tc>
          <w:tcPr>
            <w:tcW w:w="708" w:type="pct"/>
          </w:tcPr>
          <w:p w14:paraId="4C260355" w14:textId="77777777" w:rsidR="00312E4F" w:rsidRPr="00B17C05" w:rsidRDefault="00312E4F" w:rsidP="008822B9">
            <w:pPr>
              <w:pStyle w:val="TableContentssmall"/>
              <w:rPr>
                <w:kern w:val="28"/>
              </w:rPr>
            </w:pPr>
            <w:r>
              <w:rPr>
                <w:kern w:val="28"/>
              </w:rPr>
              <w:t>2/12/2010</w:t>
            </w:r>
          </w:p>
        </w:tc>
        <w:tc>
          <w:tcPr>
            <w:tcW w:w="913" w:type="pct"/>
          </w:tcPr>
          <w:p w14:paraId="695AB3BF" w14:textId="77777777" w:rsidR="00312E4F" w:rsidRPr="00B17C05" w:rsidRDefault="00312E4F" w:rsidP="008822B9">
            <w:pPr>
              <w:pStyle w:val="TableContentssmall"/>
              <w:rPr>
                <w:kern w:val="28"/>
              </w:rPr>
            </w:pPr>
            <w:r>
              <w:rPr>
                <w:kern w:val="28"/>
              </w:rPr>
              <w:t>Douglas Doe</w:t>
            </w:r>
          </w:p>
        </w:tc>
        <w:tc>
          <w:tcPr>
            <w:tcW w:w="1956" w:type="pct"/>
          </w:tcPr>
          <w:p w14:paraId="57AEA311" w14:textId="77777777" w:rsidR="00312E4F" w:rsidRPr="00B17C05" w:rsidRDefault="00312E4F" w:rsidP="008822B9">
            <w:pPr>
              <w:pStyle w:val="TableContentssmall"/>
              <w:rPr>
                <w:kern w:val="28"/>
              </w:rPr>
            </w:pPr>
          </w:p>
        </w:tc>
      </w:tr>
      <w:tr w:rsidR="00312E4F" w:rsidRPr="00B17C05" w14:paraId="234BB169" w14:textId="77777777" w:rsidTr="0035659B">
        <w:trPr>
          <w:cantSplit/>
        </w:trPr>
        <w:tc>
          <w:tcPr>
            <w:tcW w:w="616" w:type="pct"/>
          </w:tcPr>
          <w:p w14:paraId="1DAE6393" w14:textId="77777777" w:rsidR="00312E4F" w:rsidRPr="00B17C05" w:rsidRDefault="00AE00B1" w:rsidP="008822B9">
            <w:pPr>
              <w:pStyle w:val="TableContentssmall"/>
              <w:rPr>
                <w:kern w:val="28"/>
              </w:rPr>
            </w:pPr>
            <w:r>
              <w:rPr>
                <w:kern w:val="28"/>
              </w:rPr>
              <w:t>1.1</w:t>
            </w:r>
          </w:p>
        </w:tc>
        <w:tc>
          <w:tcPr>
            <w:tcW w:w="807" w:type="pct"/>
          </w:tcPr>
          <w:p w14:paraId="462EBB05" w14:textId="77777777" w:rsidR="00312E4F" w:rsidRPr="00B17C05" w:rsidRDefault="00312E4F" w:rsidP="008822B9">
            <w:pPr>
              <w:pStyle w:val="TableContentssmall"/>
              <w:rPr>
                <w:kern w:val="28"/>
              </w:rPr>
            </w:pPr>
          </w:p>
        </w:tc>
        <w:tc>
          <w:tcPr>
            <w:tcW w:w="708" w:type="pct"/>
          </w:tcPr>
          <w:p w14:paraId="09C986A3" w14:textId="77777777" w:rsidR="00312E4F" w:rsidRPr="00B17C05" w:rsidRDefault="00AE00B1" w:rsidP="008822B9">
            <w:pPr>
              <w:pStyle w:val="TableContentssmall"/>
              <w:rPr>
                <w:kern w:val="28"/>
              </w:rPr>
            </w:pPr>
            <w:r>
              <w:rPr>
                <w:kern w:val="28"/>
              </w:rPr>
              <w:t>9/15/2011</w:t>
            </w:r>
          </w:p>
        </w:tc>
        <w:tc>
          <w:tcPr>
            <w:tcW w:w="913" w:type="pct"/>
          </w:tcPr>
          <w:p w14:paraId="133ECA33" w14:textId="77777777" w:rsidR="00312E4F" w:rsidRPr="00B17C05" w:rsidRDefault="00AE00B1" w:rsidP="008822B9">
            <w:pPr>
              <w:pStyle w:val="TableContentssmall"/>
              <w:rPr>
                <w:kern w:val="28"/>
              </w:rPr>
            </w:pPr>
            <w:r>
              <w:rPr>
                <w:kern w:val="28"/>
              </w:rPr>
              <w:t>Douglas Doe</w:t>
            </w:r>
          </w:p>
        </w:tc>
        <w:tc>
          <w:tcPr>
            <w:tcW w:w="1956" w:type="pct"/>
          </w:tcPr>
          <w:p w14:paraId="6ADFB5BB" w14:textId="77777777" w:rsidR="00312E4F" w:rsidRPr="00B17C05" w:rsidRDefault="00AE00B1" w:rsidP="008822B9">
            <w:pPr>
              <w:pStyle w:val="TableContentssmall"/>
              <w:rPr>
                <w:kern w:val="28"/>
              </w:rPr>
            </w:pPr>
            <w:r>
              <w:rPr>
                <w:kern w:val="28"/>
              </w:rPr>
              <w:t>Added information about terms of service agreements removed from policy and standards document by the GTARB</w:t>
            </w:r>
          </w:p>
        </w:tc>
      </w:tr>
      <w:tr w:rsidR="00312E4F" w:rsidRPr="00B17C05" w14:paraId="641980C7" w14:textId="77777777" w:rsidTr="0035659B">
        <w:trPr>
          <w:cantSplit/>
        </w:trPr>
        <w:tc>
          <w:tcPr>
            <w:tcW w:w="616" w:type="pct"/>
          </w:tcPr>
          <w:p w14:paraId="29E1C0F8" w14:textId="77777777" w:rsidR="00312E4F" w:rsidRPr="00B17C05" w:rsidRDefault="008E1FB0" w:rsidP="008822B9">
            <w:pPr>
              <w:pStyle w:val="TableContentssmall"/>
              <w:rPr>
                <w:kern w:val="28"/>
              </w:rPr>
            </w:pPr>
            <w:r>
              <w:rPr>
                <w:kern w:val="28"/>
              </w:rPr>
              <w:t>1.2</w:t>
            </w:r>
          </w:p>
        </w:tc>
        <w:tc>
          <w:tcPr>
            <w:tcW w:w="807" w:type="pct"/>
          </w:tcPr>
          <w:p w14:paraId="54B4A9EF" w14:textId="77777777" w:rsidR="00312E4F" w:rsidRPr="00B17C05" w:rsidRDefault="00312E4F" w:rsidP="008822B9">
            <w:pPr>
              <w:pStyle w:val="TableContentssmall"/>
              <w:rPr>
                <w:kern w:val="28"/>
              </w:rPr>
            </w:pPr>
          </w:p>
        </w:tc>
        <w:tc>
          <w:tcPr>
            <w:tcW w:w="708" w:type="pct"/>
          </w:tcPr>
          <w:p w14:paraId="31E80660" w14:textId="77777777" w:rsidR="00312E4F" w:rsidRPr="00B17C05" w:rsidRDefault="008E1FB0" w:rsidP="008822B9">
            <w:pPr>
              <w:pStyle w:val="TableContentssmall"/>
              <w:rPr>
                <w:kern w:val="28"/>
              </w:rPr>
            </w:pPr>
            <w:r>
              <w:rPr>
                <w:kern w:val="28"/>
              </w:rPr>
              <w:t>4/25/2013</w:t>
            </w:r>
          </w:p>
        </w:tc>
        <w:tc>
          <w:tcPr>
            <w:tcW w:w="913" w:type="pct"/>
          </w:tcPr>
          <w:p w14:paraId="2D494E78" w14:textId="77777777" w:rsidR="00312E4F" w:rsidRPr="00B17C05" w:rsidRDefault="008E1FB0" w:rsidP="008822B9">
            <w:pPr>
              <w:pStyle w:val="TableContentssmall"/>
              <w:rPr>
                <w:kern w:val="28"/>
              </w:rPr>
            </w:pPr>
            <w:r>
              <w:rPr>
                <w:kern w:val="28"/>
              </w:rPr>
              <w:t>Douglas Doe</w:t>
            </w:r>
          </w:p>
        </w:tc>
        <w:tc>
          <w:tcPr>
            <w:tcW w:w="1956" w:type="pct"/>
          </w:tcPr>
          <w:p w14:paraId="705410E8" w14:textId="77777777" w:rsidR="00312E4F" w:rsidRPr="00B17C05" w:rsidRDefault="008E1FB0" w:rsidP="008822B9">
            <w:pPr>
              <w:pStyle w:val="TableContentssmall"/>
              <w:rPr>
                <w:kern w:val="28"/>
              </w:rPr>
            </w:pPr>
            <w:r>
              <w:rPr>
                <w:kern w:val="28"/>
              </w:rPr>
              <w:t>Added section on Metrics/Analytics</w:t>
            </w:r>
          </w:p>
        </w:tc>
      </w:tr>
      <w:tr w:rsidR="00312E4F" w:rsidRPr="00B17C05" w14:paraId="3D11DFBC" w14:textId="77777777" w:rsidTr="0035659B">
        <w:trPr>
          <w:cantSplit/>
        </w:trPr>
        <w:tc>
          <w:tcPr>
            <w:tcW w:w="616" w:type="pct"/>
          </w:tcPr>
          <w:p w14:paraId="416E2CBB" w14:textId="77777777" w:rsidR="00312E4F" w:rsidRPr="00B17C05" w:rsidRDefault="0035659B" w:rsidP="008822B9">
            <w:pPr>
              <w:pStyle w:val="TableContentssmall"/>
              <w:rPr>
                <w:kern w:val="28"/>
              </w:rPr>
            </w:pPr>
            <w:r>
              <w:rPr>
                <w:kern w:val="28"/>
              </w:rPr>
              <w:t>1.3</w:t>
            </w:r>
          </w:p>
        </w:tc>
        <w:tc>
          <w:tcPr>
            <w:tcW w:w="807" w:type="pct"/>
          </w:tcPr>
          <w:p w14:paraId="3AB6E4FD" w14:textId="77777777" w:rsidR="00312E4F" w:rsidRPr="00B17C05" w:rsidRDefault="00312E4F" w:rsidP="008822B9">
            <w:pPr>
              <w:pStyle w:val="TableContentssmall"/>
              <w:rPr>
                <w:kern w:val="28"/>
              </w:rPr>
            </w:pPr>
          </w:p>
        </w:tc>
        <w:tc>
          <w:tcPr>
            <w:tcW w:w="708" w:type="pct"/>
          </w:tcPr>
          <w:p w14:paraId="157B9CB3" w14:textId="77777777" w:rsidR="00312E4F" w:rsidRPr="00B17C05" w:rsidRDefault="0035659B" w:rsidP="008822B9">
            <w:pPr>
              <w:pStyle w:val="TableContentssmall"/>
              <w:rPr>
                <w:kern w:val="28"/>
              </w:rPr>
            </w:pPr>
            <w:r>
              <w:rPr>
                <w:kern w:val="28"/>
              </w:rPr>
              <w:t>11/25/2013</w:t>
            </w:r>
          </w:p>
        </w:tc>
        <w:tc>
          <w:tcPr>
            <w:tcW w:w="913" w:type="pct"/>
          </w:tcPr>
          <w:p w14:paraId="423729E3" w14:textId="77777777" w:rsidR="00312E4F" w:rsidRPr="00B17C05" w:rsidRDefault="0035659B" w:rsidP="008822B9">
            <w:pPr>
              <w:pStyle w:val="TableContentssmall"/>
              <w:rPr>
                <w:kern w:val="28"/>
              </w:rPr>
            </w:pPr>
            <w:r>
              <w:rPr>
                <w:kern w:val="28"/>
              </w:rPr>
              <w:t>Douglas Doe</w:t>
            </w:r>
          </w:p>
        </w:tc>
        <w:tc>
          <w:tcPr>
            <w:tcW w:w="1956" w:type="pct"/>
          </w:tcPr>
          <w:p w14:paraId="594EBF68" w14:textId="77777777" w:rsidR="00312E4F" w:rsidRPr="00B17C05" w:rsidRDefault="0035659B" w:rsidP="008822B9">
            <w:pPr>
              <w:pStyle w:val="TableContentssmall"/>
              <w:rPr>
                <w:kern w:val="28"/>
              </w:rPr>
            </w:pPr>
            <w:r>
              <w:rPr>
                <w:kern w:val="28"/>
              </w:rPr>
              <w:t>Changed references of OSF to OMES</w:t>
            </w:r>
          </w:p>
        </w:tc>
      </w:tr>
      <w:tr w:rsidR="00312E4F" w:rsidRPr="00B17C05" w14:paraId="617C24CD" w14:textId="77777777" w:rsidTr="0035659B">
        <w:trPr>
          <w:cantSplit/>
        </w:trPr>
        <w:tc>
          <w:tcPr>
            <w:tcW w:w="616" w:type="pct"/>
          </w:tcPr>
          <w:p w14:paraId="71C0F8CC" w14:textId="77777777" w:rsidR="00312E4F" w:rsidRPr="00B17C05" w:rsidRDefault="000D0CAE" w:rsidP="008822B9">
            <w:pPr>
              <w:pStyle w:val="TableContentssmall"/>
              <w:rPr>
                <w:kern w:val="28"/>
              </w:rPr>
            </w:pPr>
            <w:r>
              <w:rPr>
                <w:kern w:val="28"/>
              </w:rPr>
              <w:t>1.4</w:t>
            </w:r>
          </w:p>
        </w:tc>
        <w:tc>
          <w:tcPr>
            <w:tcW w:w="807" w:type="pct"/>
          </w:tcPr>
          <w:p w14:paraId="1315B195" w14:textId="77777777" w:rsidR="00312E4F" w:rsidRPr="00B17C05" w:rsidRDefault="00312E4F" w:rsidP="008822B9">
            <w:pPr>
              <w:pStyle w:val="TableContentssmall"/>
              <w:rPr>
                <w:kern w:val="28"/>
              </w:rPr>
            </w:pPr>
          </w:p>
        </w:tc>
        <w:tc>
          <w:tcPr>
            <w:tcW w:w="708" w:type="pct"/>
          </w:tcPr>
          <w:p w14:paraId="424A6431" w14:textId="77777777" w:rsidR="00312E4F" w:rsidRPr="00B17C05" w:rsidRDefault="000D0CAE" w:rsidP="008822B9">
            <w:pPr>
              <w:pStyle w:val="TableContentssmall"/>
              <w:rPr>
                <w:kern w:val="28"/>
              </w:rPr>
            </w:pPr>
            <w:r>
              <w:rPr>
                <w:kern w:val="28"/>
              </w:rPr>
              <w:t>09/30/2019</w:t>
            </w:r>
          </w:p>
        </w:tc>
        <w:tc>
          <w:tcPr>
            <w:tcW w:w="913" w:type="pct"/>
          </w:tcPr>
          <w:p w14:paraId="3AF27515" w14:textId="77777777" w:rsidR="00312E4F" w:rsidRPr="00B17C05" w:rsidRDefault="000D0CAE" w:rsidP="008822B9">
            <w:pPr>
              <w:pStyle w:val="TableContentssmall"/>
              <w:rPr>
                <w:kern w:val="28"/>
              </w:rPr>
            </w:pPr>
            <w:r>
              <w:rPr>
                <w:kern w:val="28"/>
              </w:rPr>
              <w:t>Jake Lowrey</w:t>
            </w:r>
          </w:p>
        </w:tc>
        <w:tc>
          <w:tcPr>
            <w:tcW w:w="1956" w:type="pct"/>
          </w:tcPr>
          <w:p w14:paraId="028272D6" w14:textId="77777777" w:rsidR="00312E4F" w:rsidRPr="00B17C05" w:rsidRDefault="000D0CAE" w:rsidP="008822B9">
            <w:pPr>
              <w:pStyle w:val="TableContentssmall"/>
              <w:rPr>
                <w:kern w:val="28"/>
              </w:rPr>
            </w:pPr>
            <w:r>
              <w:rPr>
                <w:kern w:val="28"/>
              </w:rPr>
              <w:t>Links updated.</w:t>
            </w:r>
          </w:p>
        </w:tc>
      </w:tr>
      <w:tr w:rsidR="00312E4F" w:rsidRPr="00B17C05" w14:paraId="64C5820D" w14:textId="77777777" w:rsidTr="0035659B">
        <w:trPr>
          <w:cantSplit/>
        </w:trPr>
        <w:tc>
          <w:tcPr>
            <w:tcW w:w="616" w:type="pct"/>
          </w:tcPr>
          <w:p w14:paraId="729CBAFE" w14:textId="60CB953C" w:rsidR="00312E4F" w:rsidRPr="00B17C05" w:rsidRDefault="009C6F4D" w:rsidP="008822B9">
            <w:pPr>
              <w:pStyle w:val="TableContentssmall"/>
              <w:rPr>
                <w:kern w:val="28"/>
              </w:rPr>
            </w:pPr>
            <w:r>
              <w:rPr>
                <w:kern w:val="28"/>
              </w:rPr>
              <w:t>1.5</w:t>
            </w:r>
          </w:p>
        </w:tc>
        <w:tc>
          <w:tcPr>
            <w:tcW w:w="807" w:type="pct"/>
          </w:tcPr>
          <w:p w14:paraId="01BE900C" w14:textId="77777777" w:rsidR="00312E4F" w:rsidRPr="00B17C05" w:rsidRDefault="00312E4F" w:rsidP="008822B9">
            <w:pPr>
              <w:pStyle w:val="TableContentssmall"/>
              <w:rPr>
                <w:kern w:val="28"/>
              </w:rPr>
            </w:pPr>
          </w:p>
        </w:tc>
        <w:tc>
          <w:tcPr>
            <w:tcW w:w="708" w:type="pct"/>
          </w:tcPr>
          <w:p w14:paraId="06A8D3E3" w14:textId="645A9348" w:rsidR="00312E4F" w:rsidRPr="00B17C05" w:rsidRDefault="009C6F4D" w:rsidP="008822B9">
            <w:pPr>
              <w:pStyle w:val="TableContentssmall"/>
              <w:rPr>
                <w:kern w:val="28"/>
              </w:rPr>
            </w:pPr>
            <w:r>
              <w:rPr>
                <w:kern w:val="28"/>
              </w:rPr>
              <w:t>10/18/2023</w:t>
            </w:r>
          </w:p>
        </w:tc>
        <w:tc>
          <w:tcPr>
            <w:tcW w:w="913" w:type="pct"/>
          </w:tcPr>
          <w:p w14:paraId="15D54F70" w14:textId="27E28458" w:rsidR="00312E4F" w:rsidRPr="00B17C05" w:rsidRDefault="009C6F4D" w:rsidP="008822B9">
            <w:pPr>
              <w:pStyle w:val="TableContentssmall"/>
              <w:rPr>
                <w:kern w:val="28"/>
              </w:rPr>
            </w:pPr>
            <w:r>
              <w:rPr>
                <w:kern w:val="28"/>
              </w:rPr>
              <w:t>Jake Lowrey</w:t>
            </w:r>
          </w:p>
        </w:tc>
        <w:tc>
          <w:tcPr>
            <w:tcW w:w="1956" w:type="pct"/>
          </w:tcPr>
          <w:p w14:paraId="335526FD" w14:textId="76C11ED7" w:rsidR="00312E4F" w:rsidRPr="00B17C05" w:rsidRDefault="009C6F4D" w:rsidP="008822B9">
            <w:pPr>
              <w:pStyle w:val="TableContentssmall"/>
              <w:rPr>
                <w:kern w:val="28"/>
              </w:rPr>
            </w:pPr>
            <w:r>
              <w:rPr>
                <w:kern w:val="28"/>
              </w:rPr>
              <w:t>Removed information about URL shortening services by Go.USA.gov which is not sunset; updated links.</w:t>
            </w:r>
          </w:p>
        </w:tc>
      </w:tr>
      <w:tr w:rsidR="00312E4F" w:rsidRPr="00B17C05" w14:paraId="0C1F6F53" w14:textId="77777777" w:rsidTr="0035659B">
        <w:trPr>
          <w:cantSplit/>
        </w:trPr>
        <w:tc>
          <w:tcPr>
            <w:tcW w:w="616" w:type="pct"/>
          </w:tcPr>
          <w:p w14:paraId="081B0F85" w14:textId="77777777" w:rsidR="00312E4F" w:rsidRPr="00B17C05" w:rsidRDefault="00312E4F" w:rsidP="008822B9">
            <w:pPr>
              <w:pStyle w:val="TableContentssmall"/>
              <w:rPr>
                <w:kern w:val="28"/>
              </w:rPr>
            </w:pPr>
          </w:p>
        </w:tc>
        <w:tc>
          <w:tcPr>
            <w:tcW w:w="807" w:type="pct"/>
          </w:tcPr>
          <w:p w14:paraId="112F1492" w14:textId="77777777" w:rsidR="00312E4F" w:rsidRPr="00B17C05" w:rsidRDefault="00312E4F" w:rsidP="008822B9">
            <w:pPr>
              <w:pStyle w:val="TableContentssmall"/>
              <w:rPr>
                <w:kern w:val="28"/>
              </w:rPr>
            </w:pPr>
          </w:p>
        </w:tc>
        <w:tc>
          <w:tcPr>
            <w:tcW w:w="708" w:type="pct"/>
          </w:tcPr>
          <w:p w14:paraId="5634E1CE" w14:textId="77777777" w:rsidR="00312E4F" w:rsidRPr="00B17C05" w:rsidRDefault="00312E4F" w:rsidP="008822B9">
            <w:pPr>
              <w:pStyle w:val="TableContentssmall"/>
              <w:rPr>
                <w:kern w:val="28"/>
              </w:rPr>
            </w:pPr>
          </w:p>
        </w:tc>
        <w:tc>
          <w:tcPr>
            <w:tcW w:w="913" w:type="pct"/>
          </w:tcPr>
          <w:p w14:paraId="45C78197" w14:textId="77777777" w:rsidR="00312E4F" w:rsidRPr="00B17C05" w:rsidRDefault="00312E4F" w:rsidP="008822B9">
            <w:pPr>
              <w:pStyle w:val="TableContentssmall"/>
              <w:rPr>
                <w:kern w:val="28"/>
              </w:rPr>
            </w:pPr>
          </w:p>
        </w:tc>
        <w:tc>
          <w:tcPr>
            <w:tcW w:w="1956" w:type="pct"/>
          </w:tcPr>
          <w:p w14:paraId="11C34AF6" w14:textId="77777777" w:rsidR="00312E4F" w:rsidRPr="00B17C05" w:rsidRDefault="00312E4F" w:rsidP="008822B9">
            <w:pPr>
              <w:pStyle w:val="TableContentssmall"/>
              <w:rPr>
                <w:kern w:val="28"/>
              </w:rPr>
            </w:pPr>
          </w:p>
        </w:tc>
      </w:tr>
      <w:tr w:rsidR="00312E4F" w:rsidRPr="00B17C05" w14:paraId="199D7828" w14:textId="77777777" w:rsidTr="0035659B">
        <w:trPr>
          <w:cantSplit/>
        </w:trPr>
        <w:tc>
          <w:tcPr>
            <w:tcW w:w="616" w:type="pct"/>
          </w:tcPr>
          <w:p w14:paraId="2CFE8038" w14:textId="77777777" w:rsidR="00312E4F" w:rsidRPr="00B17C05" w:rsidRDefault="00312E4F" w:rsidP="008822B9">
            <w:pPr>
              <w:pStyle w:val="TableContentssmall"/>
              <w:rPr>
                <w:kern w:val="28"/>
              </w:rPr>
            </w:pPr>
          </w:p>
        </w:tc>
        <w:tc>
          <w:tcPr>
            <w:tcW w:w="807" w:type="pct"/>
          </w:tcPr>
          <w:p w14:paraId="3A89BF9B" w14:textId="77777777" w:rsidR="00312E4F" w:rsidRPr="00B17C05" w:rsidRDefault="00312E4F" w:rsidP="008822B9">
            <w:pPr>
              <w:pStyle w:val="TableContentssmall"/>
              <w:rPr>
                <w:kern w:val="28"/>
              </w:rPr>
            </w:pPr>
          </w:p>
        </w:tc>
        <w:tc>
          <w:tcPr>
            <w:tcW w:w="708" w:type="pct"/>
          </w:tcPr>
          <w:p w14:paraId="5188804A" w14:textId="77777777" w:rsidR="00312E4F" w:rsidRPr="00B17C05" w:rsidRDefault="00312E4F" w:rsidP="008822B9">
            <w:pPr>
              <w:pStyle w:val="TableContentssmall"/>
              <w:rPr>
                <w:kern w:val="28"/>
              </w:rPr>
            </w:pPr>
          </w:p>
        </w:tc>
        <w:tc>
          <w:tcPr>
            <w:tcW w:w="913" w:type="pct"/>
          </w:tcPr>
          <w:p w14:paraId="7CAE6EB2" w14:textId="77777777" w:rsidR="00312E4F" w:rsidRPr="00B17C05" w:rsidRDefault="00312E4F" w:rsidP="008822B9">
            <w:pPr>
              <w:pStyle w:val="TableContentssmall"/>
              <w:rPr>
                <w:kern w:val="28"/>
              </w:rPr>
            </w:pPr>
          </w:p>
        </w:tc>
        <w:tc>
          <w:tcPr>
            <w:tcW w:w="1956" w:type="pct"/>
          </w:tcPr>
          <w:p w14:paraId="4AD99E5F" w14:textId="77777777" w:rsidR="00312E4F" w:rsidRPr="00B17C05" w:rsidRDefault="00312E4F" w:rsidP="008822B9">
            <w:pPr>
              <w:pStyle w:val="TableContentssmall"/>
              <w:rPr>
                <w:kern w:val="28"/>
              </w:rPr>
            </w:pPr>
          </w:p>
        </w:tc>
      </w:tr>
      <w:tr w:rsidR="00312E4F" w:rsidRPr="00B17C05" w14:paraId="07754464" w14:textId="77777777" w:rsidTr="0035659B">
        <w:trPr>
          <w:cantSplit/>
        </w:trPr>
        <w:tc>
          <w:tcPr>
            <w:tcW w:w="616" w:type="pct"/>
          </w:tcPr>
          <w:p w14:paraId="4917619C" w14:textId="77777777" w:rsidR="00312E4F" w:rsidRPr="00B17C05" w:rsidRDefault="00312E4F" w:rsidP="008822B9">
            <w:pPr>
              <w:pStyle w:val="TableContentssmall"/>
              <w:rPr>
                <w:kern w:val="28"/>
              </w:rPr>
            </w:pPr>
          </w:p>
        </w:tc>
        <w:tc>
          <w:tcPr>
            <w:tcW w:w="807" w:type="pct"/>
          </w:tcPr>
          <w:p w14:paraId="210877AA" w14:textId="77777777" w:rsidR="00312E4F" w:rsidRPr="00B17C05" w:rsidRDefault="00312E4F" w:rsidP="008822B9">
            <w:pPr>
              <w:pStyle w:val="TableContentssmall"/>
              <w:rPr>
                <w:kern w:val="28"/>
              </w:rPr>
            </w:pPr>
          </w:p>
        </w:tc>
        <w:tc>
          <w:tcPr>
            <w:tcW w:w="708" w:type="pct"/>
          </w:tcPr>
          <w:p w14:paraId="5CE36E00" w14:textId="77777777" w:rsidR="00312E4F" w:rsidRPr="00B17C05" w:rsidRDefault="00312E4F" w:rsidP="008822B9">
            <w:pPr>
              <w:pStyle w:val="TableContentssmall"/>
              <w:rPr>
                <w:kern w:val="28"/>
              </w:rPr>
            </w:pPr>
          </w:p>
        </w:tc>
        <w:tc>
          <w:tcPr>
            <w:tcW w:w="913" w:type="pct"/>
          </w:tcPr>
          <w:p w14:paraId="1BFFED83" w14:textId="77777777" w:rsidR="00312E4F" w:rsidRPr="00B17C05" w:rsidRDefault="00312E4F" w:rsidP="008822B9">
            <w:pPr>
              <w:pStyle w:val="TableContentssmall"/>
              <w:rPr>
                <w:kern w:val="28"/>
              </w:rPr>
            </w:pPr>
          </w:p>
        </w:tc>
        <w:tc>
          <w:tcPr>
            <w:tcW w:w="1956" w:type="pct"/>
          </w:tcPr>
          <w:p w14:paraId="44478990" w14:textId="77777777" w:rsidR="00312E4F" w:rsidRPr="00B17C05" w:rsidRDefault="00312E4F" w:rsidP="008822B9">
            <w:pPr>
              <w:pStyle w:val="TableContentssmall"/>
              <w:rPr>
                <w:kern w:val="28"/>
              </w:rPr>
            </w:pPr>
          </w:p>
        </w:tc>
      </w:tr>
      <w:tr w:rsidR="00312E4F" w:rsidRPr="00B17C05" w14:paraId="5BBF3A86" w14:textId="77777777" w:rsidTr="0035659B">
        <w:trPr>
          <w:cantSplit/>
        </w:trPr>
        <w:tc>
          <w:tcPr>
            <w:tcW w:w="616" w:type="pct"/>
          </w:tcPr>
          <w:p w14:paraId="38CD5318" w14:textId="77777777" w:rsidR="00312E4F" w:rsidRPr="00B17C05" w:rsidRDefault="00312E4F" w:rsidP="008822B9">
            <w:pPr>
              <w:pStyle w:val="TableContentssmall"/>
              <w:rPr>
                <w:kern w:val="28"/>
              </w:rPr>
            </w:pPr>
          </w:p>
        </w:tc>
        <w:tc>
          <w:tcPr>
            <w:tcW w:w="807" w:type="pct"/>
          </w:tcPr>
          <w:p w14:paraId="37F9A459" w14:textId="77777777" w:rsidR="00312E4F" w:rsidRPr="00B17C05" w:rsidRDefault="00312E4F" w:rsidP="008822B9">
            <w:pPr>
              <w:pStyle w:val="TableContentssmall"/>
              <w:rPr>
                <w:kern w:val="28"/>
              </w:rPr>
            </w:pPr>
          </w:p>
        </w:tc>
        <w:tc>
          <w:tcPr>
            <w:tcW w:w="708" w:type="pct"/>
          </w:tcPr>
          <w:p w14:paraId="7F22C1FF" w14:textId="77777777" w:rsidR="00312E4F" w:rsidRPr="00B17C05" w:rsidRDefault="00312E4F" w:rsidP="008822B9">
            <w:pPr>
              <w:pStyle w:val="TableContentssmall"/>
              <w:rPr>
                <w:kern w:val="28"/>
              </w:rPr>
            </w:pPr>
          </w:p>
        </w:tc>
        <w:tc>
          <w:tcPr>
            <w:tcW w:w="913" w:type="pct"/>
          </w:tcPr>
          <w:p w14:paraId="73794167" w14:textId="77777777" w:rsidR="00312E4F" w:rsidRPr="00B17C05" w:rsidRDefault="00312E4F" w:rsidP="008822B9">
            <w:pPr>
              <w:pStyle w:val="TableContentssmall"/>
              <w:rPr>
                <w:kern w:val="28"/>
              </w:rPr>
            </w:pPr>
          </w:p>
        </w:tc>
        <w:tc>
          <w:tcPr>
            <w:tcW w:w="1956" w:type="pct"/>
          </w:tcPr>
          <w:p w14:paraId="0DCF10AB" w14:textId="77777777" w:rsidR="00312E4F" w:rsidRPr="00B17C05" w:rsidRDefault="00312E4F" w:rsidP="008822B9">
            <w:pPr>
              <w:pStyle w:val="TableContentssmall"/>
              <w:rPr>
                <w:kern w:val="28"/>
              </w:rPr>
            </w:pPr>
          </w:p>
        </w:tc>
      </w:tr>
    </w:tbl>
    <w:p w14:paraId="52350EAE" w14:textId="77777777" w:rsidR="00C45BDA" w:rsidRPr="00C45BDA" w:rsidRDefault="00C45BDA" w:rsidP="00312E4F">
      <w:pPr>
        <w:spacing w:before="120" w:after="120"/>
        <w:ind w:left="720"/>
      </w:pPr>
    </w:p>
    <w:sectPr w:rsidR="00C45BDA" w:rsidRPr="00C45BDA" w:rsidSect="005B2EA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8173" w14:textId="77777777" w:rsidR="00683A06" w:rsidRDefault="00683A06">
      <w:r>
        <w:separator/>
      </w:r>
    </w:p>
  </w:endnote>
  <w:endnote w:type="continuationSeparator" w:id="0">
    <w:p w14:paraId="6D84EDEE" w14:textId="77777777" w:rsidR="00683A06" w:rsidRDefault="0068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A07B" w14:textId="77777777" w:rsidR="008E1FB0" w:rsidRDefault="008E1FB0" w:rsidP="005B2EA0">
    <w:pPr>
      <w:pStyle w:val="Footer"/>
      <w:ind w:left="360"/>
      <w:jc w:val="right"/>
    </w:pPr>
    <w:r>
      <w:fldChar w:fldCharType="begin"/>
    </w:r>
    <w:r>
      <w:instrText xml:space="preserve"> PAGE   \* MERGEFORMAT </w:instrText>
    </w:r>
    <w:r>
      <w:fldChar w:fldCharType="separate"/>
    </w:r>
    <w:r w:rsidR="001652B9">
      <w:rPr>
        <w:noProof/>
      </w:rPr>
      <w:t>2</w:t>
    </w:r>
    <w:r>
      <w:fldChar w:fldCharType="end"/>
    </w:r>
  </w:p>
  <w:p w14:paraId="48C78C30" w14:textId="77777777" w:rsidR="008E1FB0" w:rsidRDefault="008E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78B" w14:textId="77777777" w:rsidR="00683A06" w:rsidRDefault="00683A06">
      <w:r>
        <w:separator/>
      </w:r>
    </w:p>
  </w:footnote>
  <w:footnote w:type="continuationSeparator" w:id="0">
    <w:p w14:paraId="72945C85" w14:textId="77777777" w:rsidR="00683A06" w:rsidRDefault="0068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32"/>
    <w:multiLevelType w:val="hybridMultilevel"/>
    <w:tmpl w:val="D98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BBB"/>
    <w:multiLevelType w:val="hybridMultilevel"/>
    <w:tmpl w:val="4A76E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041546"/>
    <w:multiLevelType w:val="hybridMultilevel"/>
    <w:tmpl w:val="D5781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B5EBA"/>
    <w:multiLevelType w:val="hybridMultilevel"/>
    <w:tmpl w:val="878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176D4"/>
    <w:multiLevelType w:val="hybridMultilevel"/>
    <w:tmpl w:val="0FB84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A35E7"/>
    <w:multiLevelType w:val="hybridMultilevel"/>
    <w:tmpl w:val="1ACC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04CDA"/>
    <w:multiLevelType w:val="hybridMultilevel"/>
    <w:tmpl w:val="193A0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8E27BA"/>
    <w:multiLevelType w:val="hybridMultilevel"/>
    <w:tmpl w:val="3806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86E5A"/>
    <w:multiLevelType w:val="multilevel"/>
    <w:tmpl w:val="7C74DB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92D7F60"/>
    <w:multiLevelType w:val="hybridMultilevel"/>
    <w:tmpl w:val="929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32181"/>
    <w:multiLevelType w:val="hybridMultilevel"/>
    <w:tmpl w:val="318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D72C5"/>
    <w:multiLevelType w:val="hybridMultilevel"/>
    <w:tmpl w:val="A21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D0697"/>
    <w:multiLevelType w:val="hybridMultilevel"/>
    <w:tmpl w:val="21343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2252F"/>
    <w:multiLevelType w:val="hybridMultilevel"/>
    <w:tmpl w:val="9022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7599276">
    <w:abstractNumId w:val="8"/>
  </w:num>
  <w:num w:numId="2" w16cid:durableId="713772883">
    <w:abstractNumId w:val="13"/>
  </w:num>
  <w:num w:numId="3" w16cid:durableId="440145163">
    <w:abstractNumId w:val="1"/>
  </w:num>
  <w:num w:numId="4" w16cid:durableId="525948246">
    <w:abstractNumId w:val="4"/>
  </w:num>
  <w:num w:numId="5" w16cid:durableId="577833237">
    <w:abstractNumId w:val="12"/>
  </w:num>
  <w:num w:numId="6" w16cid:durableId="69475210">
    <w:abstractNumId w:val="5"/>
  </w:num>
  <w:num w:numId="7" w16cid:durableId="1766654749">
    <w:abstractNumId w:val="9"/>
  </w:num>
  <w:num w:numId="8" w16cid:durableId="465585197">
    <w:abstractNumId w:val="6"/>
  </w:num>
  <w:num w:numId="9" w16cid:durableId="264000115">
    <w:abstractNumId w:val="10"/>
  </w:num>
  <w:num w:numId="10" w16cid:durableId="391084388">
    <w:abstractNumId w:val="0"/>
  </w:num>
  <w:num w:numId="11" w16cid:durableId="27146398">
    <w:abstractNumId w:val="3"/>
  </w:num>
  <w:num w:numId="12" w16cid:durableId="1187255890">
    <w:abstractNumId w:val="7"/>
  </w:num>
  <w:num w:numId="13" w16cid:durableId="1637449478">
    <w:abstractNumId w:val="11"/>
  </w:num>
  <w:num w:numId="14" w16cid:durableId="1755013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71"/>
    <w:rsid w:val="00017228"/>
    <w:rsid w:val="0003466C"/>
    <w:rsid w:val="0005502A"/>
    <w:rsid w:val="00077F32"/>
    <w:rsid w:val="000856AE"/>
    <w:rsid w:val="00086A4F"/>
    <w:rsid w:val="000A2106"/>
    <w:rsid w:val="000A5ECD"/>
    <w:rsid w:val="000B55FC"/>
    <w:rsid w:val="000B7EB1"/>
    <w:rsid w:val="000D0CAE"/>
    <w:rsid w:val="000D21E7"/>
    <w:rsid w:val="000D68FD"/>
    <w:rsid w:val="000F1479"/>
    <w:rsid w:val="00127065"/>
    <w:rsid w:val="00147FC6"/>
    <w:rsid w:val="00154829"/>
    <w:rsid w:val="00164D71"/>
    <w:rsid w:val="001652B9"/>
    <w:rsid w:val="00167CFC"/>
    <w:rsid w:val="00173A8B"/>
    <w:rsid w:val="001804D8"/>
    <w:rsid w:val="00192DAC"/>
    <w:rsid w:val="001C17A0"/>
    <w:rsid w:val="001D2748"/>
    <w:rsid w:val="001E09B9"/>
    <w:rsid w:val="001F194D"/>
    <w:rsid w:val="002039FC"/>
    <w:rsid w:val="0021299D"/>
    <w:rsid w:val="002147BA"/>
    <w:rsid w:val="0021485C"/>
    <w:rsid w:val="0024607E"/>
    <w:rsid w:val="00252C5E"/>
    <w:rsid w:val="002831D2"/>
    <w:rsid w:val="002A0FB3"/>
    <w:rsid w:val="002B60AC"/>
    <w:rsid w:val="002C737B"/>
    <w:rsid w:val="00304A1D"/>
    <w:rsid w:val="00304DDB"/>
    <w:rsid w:val="003074A7"/>
    <w:rsid w:val="00312E4F"/>
    <w:rsid w:val="00325DD3"/>
    <w:rsid w:val="003470D0"/>
    <w:rsid w:val="0035659B"/>
    <w:rsid w:val="0038387A"/>
    <w:rsid w:val="00385F0B"/>
    <w:rsid w:val="003875F5"/>
    <w:rsid w:val="00387761"/>
    <w:rsid w:val="003A0FEB"/>
    <w:rsid w:val="003B37D7"/>
    <w:rsid w:val="003D76E2"/>
    <w:rsid w:val="003E482E"/>
    <w:rsid w:val="00410256"/>
    <w:rsid w:val="00411599"/>
    <w:rsid w:val="0042256B"/>
    <w:rsid w:val="00446ED4"/>
    <w:rsid w:val="00455A1C"/>
    <w:rsid w:val="00456C85"/>
    <w:rsid w:val="00467612"/>
    <w:rsid w:val="00477409"/>
    <w:rsid w:val="004775F2"/>
    <w:rsid w:val="004967A5"/>
    <w:rsid w:val="00497993"/>
    <w:rsid w:val="004A0457"/>
    <w:rsid w:val="004B0177"/>
    <w:rsid w:val="004D458F"/>
    <w:rsid w:val="0050316C"/>
    <w:rsid w:val="00520580"/>
    <w:rsid w:val="0052133C"/>
    <w:rsid w:val="00523C5A"/>
    <w:rsid w:val="0052451A"/>
    <w:rsid w:val="00532823"/>
    <w:rsid w:val="00552D7C"/>
    <w:rsid w:val="0059072B"/>
    <w:rsid w:val="005959A2"/>
    <w:rsid w:val="005A392D"/>
    <w:rsid w:val="005B2EA0"/>
    <w:rsid w:val="005C486C"/>
    <w:rsid w:val="005E1213"/>
    <w:rsid w:val="005E5117"/>
    <w:rsid w:val="005F446E"/>
    <w:rsid w:val="0060532A"/>
    <w:rsid w:val="00614C6D"/>
    <w:rsid w:val="00617B9B"/>
    <w:rsid w:val="00627C11"/>
    <w:rsid w:val="0063395A"/>
    <w:rsid w:val="0063637B"/>
    <w:rsid w:val="00645AE6"/>
    <w:rsid w:val="00651231"/>
    <w:rsid w:val="00680B42"/>
    <w:rsid w:val="00683A06"/>
    <w:rsid w:val="006B4D5B"/>
    <w:rsid w:val="006C5284"/>
    <w:rsid w:val="006D470C"/>
    <w:rsid w:val="00740DE1"/>
    <w:rsid w:val="00741C32"/>
    <w:rsid w:val="0074373E"/>
    <w:rsid w:val="0075075B"/>
    <w:rsid w:val="0075605E"/>
    <w:rsid w:val="00757CE4"/>
    <w:rsid w:val="00765BC0"/>
    <w:rsid w:val="0077053C"/>
    <w:rsid w:val="00776D51"/>
    <w:rsid w:val="00786069"/>
    <w:rsid w:val="00787EBC"/>
    <w:rsid w:val="00797077"/>
    <w:rsid w:val="007B3103"/>
    <w:rsid w:val="007C11B2"/>
    <w:rsid w:val="007C56AB"/>
    <w:rsid w:val="007D4471"/>
    <w:rsid w:val="007E5497"/>
    <w:rsid w:val="007E6AC0"/>
    <w:rsid w:val="00803892"/>
    <w:rsid w:val="00810BF7"/>
    <w:rsid w:val="00831A76"/>
    <w:rsid w:val="00881D59"/>
    <w:rsid w:val="008822B9"/>
    <w:rsid w:val="00882DE1"/>
    <w:rsid w:val="00885AD5"/>
    <w:rsid w:val="0089432B"/>
    <w:rsid w:val="008A77E3"/>
    <w:rsid w:val="008B564C"/>
    <w:rsid w:val="008E1FB0"/>
    <w:rsid w:val="008E430D"/>
    <w:rsid w:val="008E497B"/>
    <w:rsid w:val="008F1D9C"/>
    <w:rsid w:val="008F4A4C"/>
    <w:rsid w:val="008F7A80"/>
    <w:rsid w:val="009016DF"/>
    <w:rsid w:val="00923C39"/>
    <w:rsid w:val="00927907"/>
    <w:rsid w:val="009360BC"/>
    <w:rsid w:val="0095368F"/>
    <w:rsid w:val="00972287"/>
    <w:rsid w:val="00977C33"/>
    <w:rsid w:val="00986B24"/>
    <w:rsid w:val="009A3EE1"/>
    <w:rsid w:val="009A64AD"/>
    <w:rsid w:val="009B0398"/>
    <w:rsid w:val="009C6F4D"/>
    <w:rsid w:val="009D3CE0"/>
    <w:rsid w:val="009E2184"/>
    <w:rsid w:val="009E6D14"/>
    <w:rsid w:val="009F051B"/>
    <w:rsid w:val="00A25EFE"/>
    <w:rsid w:val="00A34229"/>
    <w:rsid w:val="00A43A03"/>
    <w:rsid w:val="00A65461"/>
    <w:rsid w:val="00A7484A"/>
    <w:rsid w:val="00A77147"/>
    <w:rsid w:val="00A871E4"/>
    <w:rsid w:val="00A9625A"/>
    <w:rsid w:val="00AC0F10"/>
    <w:rsid w:val="00AC42D7"/>
    <w:rsid w:val="00AE00B1"/>
    <w:rsid w:val="00AE5B26"/>
    <w:rsid w:val="00AE70C4"/>
    <w:rsid w:val="00AF6AE5"/>
    <w:rsid w:val="00B14D27"/>
    <w:rsid w:val="00B22E06"/>
    <w:rsid w:val="00B33635"/>
    <w:rsid w:val="00B33D28"/>
    <w:rsid w:val="00B558AE"/>
    <w:rsid w:val="00B63B93"/>
    <w:rsid w:val="00B66F2B"/>
    <w:rsid w:val="00B82528"/>
    <w:rsid w:val="00B85CAA"/>
    <w:rsid w:val="00BD3D66"/>
    <w:rsid w:val="00BF0AD5"/>
    <w:rsid w:val="00BF5ED2"/>
    <w:rsid w:val="00C1242A"/>
    <w:rsid w:val="00C26FE3"/>
    <w:rsid w:val="00C3704C"/>
    <w:rsid w:val="00C45BDA"/>
    <w:rsid w:val="00C57B32"/>
    <w:rsid w:val="00C70DDC"/>
    <w:rsid w:val="00C71A40"/>
    <w:rsid w:val="00C74F0A"/>
    <w:rsid w:val="00C764FF"/>
    <w:rsid w:val="00CB7F70"/>
    <w:rsid w:val="00CC401B"/>
    <w:rsid w:val="00CC5FD4"/>
    <w:rsid w:val="00CE11EF"/>
    <w:rsid w:val="00CE2006"/>
    <w:rsid w:val="00CE69BD"/>
    <w:rsid w:val="00CF23D3"/>
    <w:rsid w:val="00D0530A"/>
    <w:rsid w:val="00D24513"/>
    <w:rsid w:val="00D32A06"/>
    <w:rsid w:val="00D472E5"/>
    <w:rsid w:val="00D52042"/>
    <w:rsid w:val="00D61F81"/>
    <w:rsid w:val="00D77159"/>
    <w:rsid w:val="00D90657"/>
    <w:rsid w:val="00DA1FF9"/>
    <w:rsid w:val="00DB56AD"/>
    <w:rsid w:val="00DC020E"/>
    <w:rsid w:val="00DC1904"/>
    <w:rsid w:val="00DD5F4F"/>
    <w:rsid w:val="00E07895"/>
    <w:rsid w:val="00E24EB3"/>
    <w:rsid w:val="00E250B0"/>
    <w:rsid w:val="00E61DCB"/>
    <w:rsid w:val="00E853D5"/>
    <w:rsid w:val="00E87B42"/>
    <w:rsid w:val="00E94A81"/>
    <w:rsid w:val="00EA363C"/>
    <w:rsid w:val="00EA3D26"/>
    <w:rsid w:val="00EA5F49"/>
    <w:rsid w:val="00EA7C48"/>
    <w:rsid w:val="00EB72DB"/>
    <w:rsid w:val="00EE30C4"/>
    <w:rsid w:val="00F02051"/>
    <w:rsid w:val="00F025E8"/>
    <w:rsid w:val="00F04E18"/>
    <w:rsid w:val="00F22DF2"/>
    <w:rsid w:val="00F27BEA"/>
    <w:rsid w:val="00F4136F"/>
    <w:rsid w:val="00F63D53"/>
    <w:rsid w:val="00F779D7"/>
    <w:rsid w:val="00F84520"/>
    <w:rsid w:val="00F907E6"/>
    <w:rsid w:val="00FD6AAE"/>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4B51F2"/>
  <w15:chartTrackingRefBased/>
  <w15:docId w15:val="{845CF20E-F153-4D02-80BF-3C192A58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71"/>
    <w:rPr>
      <w:sz w:val="24"/>
      <w:szCs w:val="24"/>
    </w:rPr>
  </w:style>
  <w:style w:type="paragraph" w:styleId="Heading1">
    <w:name w:val="heading 1"/>
    <w:basedOn w:val="Normal"/>
    <w:next w:val="Normal"/>
    <w:qFormat/>
    <w:rsid w:val="007560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44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7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471"/>
    <w:rPr>
      <w:color w:val="0000FF"/>
      <w:u w:val="single"/>
    </w:rPr>
  </w:style>
  <w:style w:type="character" w:customStyle="1" w:styleId="Heading3Char">
    <w:name w:val="Heading 3 Char"/>
    <w:link w:val="Heading3"/>
    <w:rsid w:val="007D4471"/>
    <w:rPr>
      <w:rFonts w:ascii="Arial" w:hAnsi="Arial" w:cs="Arial"/>
      <w:b/>
      <w:bCs/>
      <w:sz w:val="26"/>
      <w:szCs w:val="26"/>
      <w:lang w:val="en-US" w:eastAsia="en-US" w:bidi="ar-SA"/>
    </w:rPr>
  </w:style>
  <w:style w:type="paragraph" w:styleId="Header">
    <w:name w:val="header"/>
    <w:basedOn w:val="Normal"/>
    <w:rsid w:val="0075605E"/>
    <w:pPr>
      <w:tabs>
        <w:tab w:val="center" w:pos="4320"/>
        <w:tab w:val="right" w:pos="8640"/>
      </w:tabs>
    </w:pPr>
  </w:style>
  <w:style w:type="paragraph" w:styleId="Footer">
    <w:name w:val="footer"/>
    <w:basedOn w:val="Normal"/>
    <w:link w:val="FooterChar"/>
    <w:uiPriority w:val="99"/>
    <w:rsid w:val="00D61F81"/>
    <w:pPr>
      <w:tabs>
        <w:tab w:val="center" w:pos="4320"/>
        <w:tab w:val="right" w:pos="8640"/>
      </w:tabs>
    </w:pPr>
  </w:style>
  <w:style w:type="character" w:customStyle="1" w:styleId="FooterChar">
    <w:name w:val="Footer Char"/>
    <w:link w:val="Footer"/>
    <w:uiPriority w:val="99"/>
    <w:rsid w:val="005B2EA0"/>
    <w:rPr>
      <w:sz w:val="24"/>
      <w:szCs w:val="24"/>
    </w:rPr>
  </w:style>
  <w:style w:type="character" w:customStyle="1" w:styleId="Heading2Char">
    <w:name w:val="Heading 2 Char"/>
    <w:link w:val="Heading2"/>
    <w:rsid w:val="00AE5B26"/>
    <w:rPr>
      <w:rFonts w:ascii="Arial" w:hAnsi="Arial" w:cs="Arial"/>
      <w:b/>
      <w:bCs/>
      <w:i/>
      <w:iCs/>
      <w:sz w:val="28"/>
      <w:szCs w:val="28"/>
    </w:rPr>
  </w:style>
  <w:style w:type="paragraph" w:customStyle="1" w:styleId="TableColumnHeading">
    <w:name w:val="Table Column Heading"/>
    <w:basedOn w:val="Normal"/>
    <w:qFormat/>
    <w:rsid w:val="00AE5B26"/>
    <w:pPr>
      <w:spacing w:before="60" w:after="60"/>
      <w:jc w:val="center"/>
    </w:pPr>
    <w:rPr>
      <w:rFonts w:ascii="Arial" w:eastAsia="Calibri" w:hAnsi="Arial"/>
      <w:b/>
      <w:sz w:val="19"/>
      <w:szCs w:val="20"/>
    </w:rPr>
  </w:style>
  <w:style w:type="paragraph" w:customStyle="1" w:styleId="TableContentssmall">
    <w:name w:val="Table Contents (small)"/>
    <w:basedOn w:val="Normal"/>
    <w:qFormat/>
    <w:rsid w:val="00AE5B26"/>
    <w:rPr>
      <w:rFonts w:ascii="Arial" w:eastAsia="Calibri" w:hAnsi="Arial"/>
      <w:sz w:val="19"/>
      <w:szCs w:val="20"/>
    </w:rPr>
  </w:style>
  <w:style w:type="character" w:styleId="UnresolvedMention">
    <w:name w:val="Unresolved Mention"/>
    <w:basedOn w:val="DefaultParagraphFont"/>
    <w:uiPriority w:val="99"/>
    <w:semiHidden/>
    <w:unhideWhenUsed/>
    <w:rsid w:val="009C6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klahoma.gov/omes/divisions/information-services/cyber-command/report-an-incident.html" TargetMode="External"/><Relationship Id="rId4" Type="http://schemas.openxmlformats.org/officeDocument/2006/relationships/webSettings" Target="webSettings.xml"/><Relationship Id="rId9" Type="http://schemas.openxmlformats.org/officeDocument/2006/relationships/hyperlink" Target="https://oklahoma.gov/omes/divisions/information-services/about-information-services/policy-and-standards/social-media-and-networking-policy-and-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2153</Words>
  <Characters>11821</Characters>
  <Application>Microsoft Office Word</Application>
  <DocSecurity>0</DocSecurity>
  <Lines>337</Lines>
  <Paragraphs>162</Paragraphs>
  <ScaleCrop>false</ScaleCrop>
  <HeadingPairs>
    <vt:vector size="2" baseType="variant">
      <vt:variant>
        <vt:lpstr>Title</vt:lpstr>
      </vt:variant>
      <vt:variant>
        <vt:i4>1</vt:i4>
      </vt:variant>
    </vt:vector>
  </HeadingPairs>
  <TitlesOfParts>
    <vt:vector size="1" baseType="lpstr">
      <vt:lpstr>State of Oklahoma Social Networking and Social Media Development Methodology</vt:lpstr>
    </vt:vector>
  </TitlesOfParts>
  <Manager>Andrew Hall III</Manager>
  <Company>Office of State Finance, Information Services Division</Company>
  <LinksUpToDate>false</LinksUpToDate>
  <CharactersWithSpaces>13812</CharactersWithSpaces>
  <SharedDoc>false</SharedDoc>
  <HLinks>
    <vt:vector size="18" baseType="variant">
      <vt:variant>
        <vt:i4>5111872</vt:i4>
      </vt:variant>
      <vt:variant>
        <vt:i4>6</vt:i4>
      </vt:variant>
      <vt:variant>
        <vt:i4>0</vt:i4>
      </vt:variant>
      <vt:variant>
        <vt:i4>5</vt:i4>
      </vt:variant>
      <vt:variant>
        <vt:lpwstr>https://www.cybercrime.ok.gov/logout.php</vt:lpwstr>
      </vt:variant>
      <vt:variant>
        <vt:lpwstr/>
      </vt:variant>
      <vt:variant>
        <vt:i4>6684792</vt:i4>
      </vt:variant>
      <vt:variant>
        <vt:i4>3</vt:i4>
      </vt:variant>
      <vt:variant>
        <vt:i4>0</vt:i4>
      </vt:variant>
      <vt:variant>
        <vt:i4>5</vt:i4>
      </vt:variant>
      <vt:variant>
        <vt:lpwstr>https://omes.ok.gov/services/information-services/social-media-networking-policy-and-standards</vt:lpwstr>
      </vt:variant>
      <vt:variant>
        <vt:lpwstr/>
      </vt:variant>
      <vt:variant>
        <vt:i4>8323171</vt:i4>
      </vt:variant>
      <vt:variant>
        <vt:i4>0</vt:i4>
      </vt:variant>
      <vt:variant>
        <vt:i4>0</vt:i4>
      </vt:variant>
      <vt:variant>
        <vt:i4>5</vt:i4>
      </vt:variant>
      <vt:variant>
        <vt:lpwstr>http://go.usa.gov/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Oklahoma Social Networking and Social Media Development Methodology</dc:title>
  <dc:subject>Document covering the process for developing and implementing social networking and social media technologies.</dc:subject>
  <dc:creator>Douglas Doe</dc:creator>
  <cp:keywords>osf, office of state finance, social computing, social media, Web 2.0, information technology, it, methodology</cp:keywords>
  <cp:lastModifiedBy>Jake Lowrey</cp:lastModifiedBy>
  <cp:revision>5</cp:revision>
  <dcterms:created xsi:type="dcterms:W3CDTF">2023-06-22T17:28:00Z</dcterms:created>
  <dcterms:modified xsi:type="dcterms:W3CDTF">2023-10-18T14:42:00Z</dcterms:modified>
  <cp:category>Documentation,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