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528"/>
      </w:tblGrid>
      <w:tr w:rsidR="004E1F75" w14:paraId="17E5A3D7" w14:textId="77777777" w:rsidTr="004E1F75">
        <w:tc>
          <w:tcPr>
            <w:tcW w:w="5528" w:type="dxa"/>
          </w:tcPr>
          <w:p w14:paraId="2B80B250" w14:textId="2B11893D" w:rsidR="002F5F45" w:rsidRDefault="002F5F45" w:rsidP="004E1F75">
            <w:pPr>
              <w:spacing w:before="32"/>
              <w:ind w:right="321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bidi="ar-SA"/>
              </w:rPr>
              <w:drawing>
                <wp:inline distT="0" distB="0" distL="0" distR="0" wp14:anchorId="5ACAC356" wp14:editId="007617E8">
                  <wp:extent cx="2082800" cy="651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OMES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484" cy="66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bottom"/>
          </w:tcPr>
          <w:p w14:paraId="034562A2" w14:textId="014054BB" w:rsidR="002F5F45" w:rsidRPr="00E34E35" w:rsidRDefault="002F5F45" w:rsidP="00E34E35">
            <w:pPr>
              <w:pStyle w:val="Heading1"/>
              <w:framePr w:hSpace="0" w:wrap="auto" w:hAnchor="text" w:yAlign="inline"/>
            </w:pPr>
            <w:r w:rsidRPr="00E34E35">
              <w:t xml:space="preserve">Use of the </w:t>
            </w:r>
            <w:proofErr w:type="spellStart"/>
            <w:r w:rsidRPr="00E34E35">
              <w:t>Comdata</w:t>
            </w:r>
            <w:proofErr w:type="spellEnd"/>
            <w:r w:rsidRPr="00E34E35">
              <w:t xml:space="preserve"> Card and P-Card on Vehicle Parts and Maintenance </w:t>
            </w:r>
            <w:r w:rsidRPr="00E34E35">
              <w:br/>
              <w:t>Statewide Contracts</w:t>
            </w:r>
          </w:p>
        </w:tc>
      </w:tr>
    </w:tbl>
    <w:p w14:paraId="6907F2F9" w14:textId="77777777" w:rsidR="002F5F45" w:rsidRDefault="002F5F45">
      <w:pPr>
        <w:pStyle w:val="BodyText"/>
        <w:spacing w:before="1"/>
        <w:ind w:left="120" w:right="461" w:firstLine="0"/>
      </w:pPr>
    </w:p>
    <w:p w14:paraId="0E9A66A8" w14:textId="77777777" w:rsidR="002F5F45" w:rsidRDefault="002F5F45">
      <w:pPr>
        <w:pStyle w:val="BodyText"/>
        <w:spacing w:before="1"/>
        <w:ind w:left="120" w:right="461" w:firstLine="0"/>
      </w:pPr>
    </w:p>
    <w:p w14:paraId="362F74F9" w14:textId="13CBDAED" w:rsidR="00BB1AAD" w:rsidRDefault="00E34E35">
      <w:pPr>
        <w:pStyle w:val="BodyText"/>
        <w:spacing w:before="1"/>
        <w:ind w:left="120" w:right="461" w:firstLine="0"/>
      </w:pPr>
      <w:r>
        <w:t>It is the intent of this communication to clarify actions associated with credit card purchases in regards to the vehicle related transactions and statewide contracts.</w:t>
      </w:r>
    </w:p>
    <w:p w14:paraId="362F74FA" w14:textId="77777777" w:rsidR="00BB1AAD" w:rsidRDefault="00BB1AAD">
      <w:pPr>
        <w:pStyle w:val="BodyText"/>
        <w:spacing w:before="0"/>
        <w:ind w:left="0" w:firstLine="0"/>
        <w:rPr>
          <w:sz w:val="21"/>
        </w:rPr>
      </w:pPr>
    </w:p>
    <w:p w14:paraId="362F74FB" w14:textId="77777777" w:rsidR="00BB1AAD" w:rsidRDefault="00E34E35">
      <w:pPr>
        <w:pStyle w:val="Heading2"/>
        <w:ind w:left="120"/>
      </w:pPr>
      <w:r>
        <w:t>CARD GENERAL PURPOSE</w:t>
      </w:r>
    </w:p>
    <w:p w14:paraId="362F74FC" w14:textId="77777777" w:rsidR="00BB1AAD" w:rsidRDefault="00E34E3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9"/>
        <w:ind w:hanging="361"/>
        <w:rPr>
          <w:sz w:val="20"/>
        </w:rPr>
      </w:pPr>
      <w:proofErr w:type="spellStart"/>
      <w:r>
        <w:rPr>
          <w:sz w:val="20"/>
          <w:u w:val="single"/>
        </w:rPr>
        <w:t>Comdata</w:t>
      </w:r>
      <w:proofErr w:type="spellEnd"/>
      <w:r>
        <w:rPr>
          <w:sz w:val="20"/>
          <w:u w:val="single"/>
        </w:rPr>
        <w:t xml:space="preserve"> Card / Fleet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Card</w:t>
      </w:r>
    </w:p>
    <w:p w14:paraId="362F74FD" w14:textId="77777777" w:rsidR="00BB1AAD" w:rsidRDefault="00E34E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42" w:line="235" w:lineRule="auto"/>
        <w:ind w:left="1559" w:right="117" w:hanging="360"/>
        <w:rPr>
          <w:sz w:val="20"/>
        </w:rPr>
      </w:pPr>
      <w:r>
        <w:rPr>
          <w:sz w:val="20"/>
        </w:rPr>
        <w:t>To be used for the operational costs ass</w:t>
      </w:r>
      <w:r>
        <w:rPr>
          <w:sz w:val="20"/>
        </w:rPr>
        <w:t xml:space="preserve">ociated with </w:t>
      </w:r>
      <w:r>
        <w:rPr>
          <w:sz w:val="20"/>
          <w:u w:val="single"/>
        </w:rPr>
        <w:t>each</w:t>
      </w:r>
      <w:r>
        <w:rPr>
          <w:sz w:val="20"/>
        </w:rPr>
        <w:t xml:space="preserve"> vehicle. These costs are for purchases ass</w:t>
      </w:r>
      <w:bookmarkStart w:id="0" w:name="_GoBack"/>
      <w:bookmarkEnd w:id="0"/>
      <w:r>
        <w:rPr>
          <w:sz w:val="20"/>
        </w:rPr>
        <w:t>ociated with Vehicle Fuel, Vehicle Supplies, Vehicle Maintenance, Vehicle Enhancements, and Vehicle Emergencies, which may be made utilizing a Statewide Contract or other standard procurement meth</w:t>
      </w:r>
      <w:r>
        <w:rPr>
          <w:sz w:val="20"/>
        </w:rPr>
        <w:t>ods.</w:t>
      </w:r>
    </w:p>
    <w:p w14:paraId="362F74FE" w14:textId="77777777" w:rsidR="00BB1AAD" w:rsidRDefault="00E34E3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9"/>
        <w:rPr>
          <w:sz w:val="20"/>
        </w:rPr>
      </w:pPr>
      <w:r>
        <w:rPr>
          <w:sz w:val="20"/>
          <w:u w:val="single"/>
        </w:rPr>
        <w:t>Standard P</w:t>
      </w:r>
      <w:r>
        <w:rPr>
          <w:rFonts w:ascii="Cambria Math" w:hAnsi="Cambria Math"/>
          <w:sz w:val="20"/>
          <w:u w:val="single"/>
        </w:rPr>
        <w:t>‐</w:t>
      </w:r>
      <w:r>
        <w:rPr>
          <w:sz w:val="20"/>
          <w:u w:val="single"/>
        </w:rPr>
        <w:t>Card / Purchase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Card</w:t>
      </w:r>
    </w:p>
    <w:p w14:paraId="362F74FF" w14:textId="77777777" w:rsidR="00BB1AAD" w:rsidRDefault="00E34E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50" w:line="223" w:lineRule="auto"/>
        <w:ind w:right="461"/>
        <w:rPr>
          <w:sz w:val="20"/>
        </w:rPr>
      </w:pPr>
      <w:r>
        <w:rPr>
          <w:sz w:val="20"/>
        </w:rPr>
        <w:t>May be used for Statewide Contract purchases in accordance with the State of Oklahoma Purchase Card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Procedures.</w:t>
      </w:r>
    </w:p>
    <w:p w14:paraId="362F7500" w14:textId="77777777" w:rsidR="00BB1AAD" w:rsidRDefault="00E34E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41"/>
        <w:rPr>
          <w:sz w:val="20"/>
        </w:rPr>
      </w:pPr>
      <w:r>
        <w:rPr>
          <w:sz w:val="20"/>
        </w:rPr>
        <w:t>Not to be used for individual vehicle</w:t>
      </w:r>
      <w:r>
        <w:rPr>
          <w:spacing w:val="-7"/>
          <w:sz w:val="20"/>
        </w:rPr>
        <w:t xml:space="preserve"> </w:t>
      </w:r>
      <w:r>
        <w:rPr>
          <w:sz w:val="20"/>
        </w:rPr>
        <w:t>expenses</w:t>
      </w:r>
    </w:p>
    <w:p w14:paraId="362F7501" w14:textId="77777777" w:rsidR="00BB1AAD" w:rsidRDefault="00E34E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23"/>
        <w:rPr>
          <w:sz w:val="20"/>
        </w:rPr>
      </w:pPr>
      <w:r>
        <w:rPr>
          <w:sz w:val="20"/>
        </w:rPr>
        <w:t>Cannot be used to purchase fuel (neither for individual vehicle, nor bulk</w:t>
      </w:r>
      <w:r>
        <w:rPr>
          <w:spacing w:val="-19"/>
          <w:sz w:val="20"/>
        </w:rPr>
        <w:t xml:space="preserve"> </w:t>
      </w:r>
      <w:r>
        <w:rPr>
          <w:sz w:val="20"/>
        </w:rPr>
        <w:t>purchases).</w:t>
      </w:r>
    </w:p>
    <w:p w14:paraId="362F7502" w14:textId="77777777" w:rsidR="00BB1AAD" w:rsidRDefault="00BB1AAD">
      <w:pPr>
        <w:pStyle w:val="BodyText"/>
        <w:spacing w:before="5"/>
        <w:ind w:left="0" w:firstLine="0"/>
        <w:rPr>
          <w:sz w:val="19"/>
        </w:rPr>
      </w:pPr>
    </w:p>
    <w:p w14:paraId="362F7503" w14:textId="77777777" w:rsidR="00BB1AAD" w:rsidRDefault="00E34E35">
      <w:pPr>
        <w:pStyle w:val="Heading2"/>
      </w:pPr>
      <w:r>
        <w:t>CARD UTILIZATION OF THE VEHICLE STATEWIDE CONTRACT AGREEMENTS</w:t>
      </w:r>
    </w:p>
    <w:p w14:paraId="362F7504" w14:textId="77777777" w:rsidR="00BB1AAD" w:rsidRDefault="00E34E3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0"/>
        <w:ind w:hanging="361"/>
        <w:rPr>
          <w:sz w:val="20"/>
        </w:rPr>
      </w:pPr>
      <w:hyperlink r:id="rId9">
        <w:r>
          <w:rPr>
            <w:color w:val="0000FF"/>
            <w:sz w:val="20"/>
            <w:u w:val="single" w:color="0000FF"/>
          </w:rPr>
          <w:t>SW0024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Tires:</w:t>
      </w:r>
      <w:r>
        <w:rPr>
          <w:spacing w:val="-2"/>
          <w:sz w:val="20"/>
        </w:rPr>
        <w:t xml:space="preserve"> </w:t>
      </w:r>
      <w:r>
        <w:rPr>
          <w:sz w:val="20"/>
        </w:rPr>
        <w:t>(Mandatory)</w:t>
      </w:r>
    </w:p>
    <w:p w14:paraId="362F7505" w14:textId="77777777" w:rsidR="00BB1AAD" w:rsidRDefault="00E34E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40"/>
        <w:rPr>
          <w:sz w:val="20"/>
        </w:rPr>
      </w:pPr>
      <w:r>
        <w:rPr>
          <w:sz w:val="20"/>
        </w:rPr>
        <w:t>Standard P</w:t>
      </w:r>
      <w:r>
        <w:rPr>
          <w:rFonts w:ascii="Cambria Math" w:hAnsi="Cambria Math"/>
          <w:sz w:val="20"/>
        </w:rPr>
        <w:t>‐</w:t>
      </w:r>
      <w:r>
        <w:rPr>
          <w:sz w:val="20"/>
        </w:rPr>
        <w:t>Cards: To be used on this Statewide Contract for bulk and stock purchases</w:t>
      </w:r>
      <w:r>
        <w:rPr>
          <w:spacing w:val="-21"/>
          <w:sz w:val="20"/>
        </w:rPr>
        <w:t xml:space="preserve"> </w:t>
      </w:r>
      <w:r>
        <w:rPr>
          <w:sz w:val="20"/>
        </w:rPr>
        <w:t>only.</w:t>
      </w:r>
    </w:p>
    <w:p w14:paraId="362F7506" w14:textId="77777777" w:rsidR="00BB1AAD" w:rsidRDefault="00E34E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26" w:line="235" w:lineRule="auto"/>
        <w:ind w:left="1559" w:right="138" w:hanging="360"/>
        <w:rPr>
          <w:sz w:val="20"/>
        </w:rPr>
      </w:pPr>
      <w:proofErr w:type="spellStart"/>
      <w:r>
        <w:rPr>
          <w:sz w:val="20"/>
        </w:rPr>
        <w:t>Comdata</w:t>
      </w:r>
      <w:proofErr w:type="spellEnd"/>
      <w:r>
        <w:rPr>
          <w:sz w:val="20"/>
        </w:rPr>
        <w:t xml:space="preserve"> Cards: To be used for the purchase of all tires and related services for the associated vehicle. In an emergency situation the </w:t>
      </w:r>
      <w:proofErr w:type="spellStart"/>
      <w:r>
        <w:rPr>
          <w:sz w:val="20"/>
        </w:rPr>
        <w:t>Comdata</w:t>
      </w:r>
      <w:proofErr w:type="spellEnd"/>
      <w:r>
        <w:rPr>
          <w:sz w:val="20"/>
        </w:rPr>
        <w:t xml:space="preserve"> Card may b</w:t>
      </w:r>
      <w:r>
        <w:rPr>
          <w:sz w:val="20"/>
        </w:rPr>
        <w:t xml:space="preserve">e used with any supplier when no contract vendors are in the area. Emergency tire purchases from other than a vendor on the SW024 contract must be installed </w:t>
      </w:r>
      <w:r>
        <w:rPr>
          <w:sz w:val="20"/>
          <w:u w:val="single"/>
        </w:rPr>
        <w:t>at the time</w:t>
      </w:r>
      <w:r>
        <w:rPr>
          <w:sz w:val="20"/>
        </w:rPr>
        <w:t xml:space="preserve"> of</w:t>
      </w:r>
      <w:r>
        <w:rPr>
          <w:spacing w:val="-6"/>
          <w:sz w:val="20"/>
        </w:rPr>
        <w:t xml:space="preserve"> </w:t>
      </w:r>
      <w:r>
        <w:rPr>
          <w:sz w:val="20"/>
        </w:rPr>
        <w:t>purchase.</w:t>
      </w:r>
    </w:p>
    <w:p w14:paraId="362F7507" w14:textId="77777777" w:rsidR="00BB1AAD" w:rsidRDefault="00E34E3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8"/>
        <w:rPr>
          <w:sz w:val="20"/>
        </w:rPr>
      </w:pPr>
      <w:hyperlink r:id="rId10">
        <w:r>
          <w:rPr>
            <w:color w:val="0000FF"/>
            <w:sz w:val="20"/>
            <w:u w:val="single" w:color="0000FF"/>
          </w:rPr>
          <w:t>SW0035</w:t>
        </w:r>
        <w:r>
          <w:rPr>
            <w:sz w:val="20"/>
          </w:rPr>
          <w:t>,</w:t>
        </w:r>
      </w:hyperlink>
      <w:hyperlink r:id="rId11">
        <w:r>
          <w:rPr>
            <w:color w:val="0000FF"/>
            <w:sz w:val="20"/>
          </w:rPr>
          <w:t xml:space="preserve"> </w:t>
        </w:r>
        <w:r>
          <w:rPr>
            <w:color w:val="0000FF"/>
            <w:sz w:val="20"/>
            <w:u w:val="single" w:color="0000FF"/>
          </w:rPr>
          <w:t>SW0035T</w:t>
        </w:r>
        <w:r>
          <w:rPr>
            <w:sz w:val="20"/>
          </w:rPr>
          <w:t xml:space="preserve">, </w:t>
        </w:r>
      </w:hyperlink>
      <w:r>
        <w:rPr>
          <w:sz w:val="20"/>
        </w:rPr>
        <w:t>SW</w:t>
      </w:r>
      <w:hyperlink r:id="rId12">
        <w:r>
          <w:rPr>
            <w:color w:val="0000FF"/>
            <w:sz w:val="20"/>
          </w:rPr>
          <w:t xml:space="preserve"> </w:t>
        </w:r>
        <w:r>
          <w:rPr>
            <w:color w:val="0000FF"/>
            <w:sz w:val="20"/>
            <w:u w:val="single" w:color="0000FF"/>
          </w:rPr>
          <w:t>SW0110</w:t>
        </w:r>
        <w:r>
          <w:rPr>
            <w:sz w:val="20"/>
          </w:rPr>
          <w:t>,</w:t>
        </w:r>
      </w:hyperlink>
      <w:hyperlink r:id="rId13">
        <w:r>
          <w:rPr>
            <w:color w:val="0000FF"/>
            <w:sz w:val="20"/>
          </w:rPr>
          <w:t xml:space="preserve"> </w:t>
        </w:r>
        <w:r>
          <w:rPr>
            <w:color w:val="0000FF"/>
            <w:sz w:val="20"/>
            <w:u w:val="single" w:color="0000FF"/>
          </w:rPr>
          <w:t>SW0797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Vehicles, Trucks &amp; Buses:</w:t>
      </w:r>
      <w:r>
        <w:rPr>
          <w:spacing w:val="-12"/>
          <w:sz w:val="20"/>
        </w:rPr>
        <w:t xml:space="preserve"> </w:t>
      </w:r>
      <w:r>
        <w:rPr>
          <w:sz w:val="20"/>
        </w:rPr>
        <w:t>(Mandatory)</w:t>
      </w:r>
    </w:p>
    <w:p w14:paraId="362F7508" w14:textId="77777777" w:rsidR="00BB1AAD" w:rsidRDefault="00E34E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38"/>
        <w:rPr>
          <w:sz w:val="20"/>
        </w:rPr>
      </w:pPr>
      <w:r>
        <w:rPr>
          <w:sz w:val="20"/>
        </w:rPr>
        <w:t>Standard P-Cards: Cannot be used on these Statewide</w:t>
      </w:r>
      <w:r>
        <w:rPr>
          <w:spacing w:val="-10"/>
          <w:sz w:val="20"/>
        </w:rPr>
        <w:t xml:space="preserve"> </w:t>
      </w:r>
      <w:r>
        <w:rPr>
          <w:sz w:val="20"/>
        </w:rPr>
        <w:t>Contracts.</w:t>
      </w:r>
    </w:p>
    <w:p w14:paraId="362F7509" w14:textId="77777777" w:rsidR="00BB1AAD" w:rsidRDefault="00E34E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rPr>
          <w:sz w:val="20"/>
        </w:rPr>
      </w:pPr>
      <w:proofErr w:type="spellStart"/>
      <w:r>
        <w:rPr>
          <w:sz w:val="20"/>
        </w:rPr>
        <w:t>Comdata</w:t>
      </w:r>
      <w:proofErr w:type="spellEnd"/>
      <w:r>
        <w:rPr>
          <w:sz w:val="20"/>
        </w:rPr>
        <w:t xml:space="preserve"> Cards: Cannot be used on these Statewide</w:t>
      </w:r>
      <w:r>
        <w:rPr>
          <w:spacing w:val="-10"/>
          <w:sz w:val="20"/>
        </w:rPr>
        <w:t xml:space="preserve"> </w:t>
      </w:r>
      <w:r>
        <w:rPr>
          <w:sz w:val="20"/>
        </w:rPr>
        <w:t>Contracts.</w:t>
      </w:r>
    </w:p>
    <w:p w14:paraId="362F750A" w14:textId="77777777" w:rsidR="00BB1AAD" w:rsidRDefault="00E34E3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04"/>
        <w:ind w:hanging="361"/>
        <w:rPr>
          <w:sz w:val="20"/>
        </w:rPr>
      </w:pPr>
      <w:hyperlink r:id="rId14">
        <w:r>
          <w:rPr>
            <w:color w:val="0000FF"/>
            <w:sz w:val="20"/>
            <w:u w:val="single" w:color="0000FF"/>
          </w:rPr>
          <w:t>SW0101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Automated Fleet Fuel Management System:</w:t>
      </w:r>
      <w:r>
        <w:rPr>
          <w:spacing w:val="-7"/>
          <w:sz w:val="20"/>
        </w:rPr>
        <w:t xml:space="preserve"> </w:t>
      </w:r>
      <w:r>
        <w:rPr>
          <w:sz w:val="20"/>
        </w:rPr>
        <w:t>(Mandatory)</w:t>
      </w:r>
    </w:p>
    <w:p w14:paraId="362F750B" w14:textId="77777777" w:rsidR="00BB1AAD" w:rsidRDefault="00E34E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38"/>
        <w:rPr>
          <w:sz w:val="20"/>
        </w:rPr>
      </w:pPr>
      <w:r>
        <w:rPr>
          <w:sz w:val="20"/>
        </w:rPr>
        <w:t>Standard P-Card: Cannot be used on this Statewide</w:t>
      </w:r>
      <w:r>
        <w:rPr>
          <w:spacing w:val="-10"/>
          <w:sz w:val="20"/>
        </w:rPr>
        <w:t xml:space="preserve"> </w:t>
      </w:r>
      <w:r>
        <w:rPr>
          <w:sz w:val="20"/>
        </w:rPr>
        <w:t>Contract.</w:t>
      </w:r>
    </w:p>
    <w:p w14:paraId="362F750C" w14:textId="77777777" w:rsidR="00BB1AAD" w:rsidRDefault="00E34E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hanging="362"/>
        <w:rPr>
          <w:sz w:val="20"/>
        </w:rPr>
      </w:pPr>
      <w:proofErr w:type="spellStart"/>
      <w:r>
        <w:rPr>
          <w:sz w:val="20"/>
        </w:rPr>
        <w:t>Comdata</w:t>
      </w:r>
      <w:proofErr w:type="spellEnd"/>
      <w:r>
        <w:rPr>
          <w:sz w:val="20"/>
        </w:rPr>
        <w:t xml:space="preserve"> Card: The card will be issued using this contract and must be assigned to a</w:t>
      </w:r>
      <w:r>
        <w:rPr>
          <w:spacing w:val="-26"/>
          <w:sz w:val="20"/>
        </w:rPr>
        <w:t xml:space="preserve"> </w:t>
      </w:r>
      <w:r>
        <w:rPr>
          <w:sz w:val="20"/>
        </w:rPr>
        <w:t>vehicle.</w:t>
      </w:r>
    </w:p>
    <w:p w14:paraId="362F750D" w14:textId="77777777" w:rsidR="00BB1AAD" w:rsidRDefault="00E34E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34" w:line="223" w:lineRule="auto"/>
        <w:ind w:right="139"/>
        <w:rPr>
          <w:sz w:val="20"/>
        </w:rPr>
      </w:pPr>
      <w:proofErr w:type="spellStart"/>
      <w:r>
        <w:rPr>
          <w:sz w:val="20"/>
        </w:rPr>
        <w:t>Comdata</w:t>
      </w:r>
      <w:proofErr w:type="spellEnd"/>
      <w:r>
        <w:rPr>
          <w:sz w:val="20"/>
        </w:rPr>
        <w:t xml:space="preserve"> Fuel Only Card: The card will be issued using this contract for the purchase of fuel only, but is not assigned to a vehicle. No other products or services shall be purchased with this</w:t>
      </w:r>
      <w:r>
        <w:rPr>
          <w:spacing w:val="-20"/>
          <w:sz w:val="20"/>
        </w:rPr>
        <w:t xml:space="preserve"> </w:t>
      </w:r>
      <w:r>
        <w:rPr>
          <w:sz w:val="20"/>
        </w:rPr>
        <w:t>card.</w:t>
      </w:r>
    </w:p>
    <w:p w14:paraId="362F750E" w14:textId="77777777" w:rsidR="00BB1AAD" w:rsidRDefault="00E34E35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26"/>
        <w:ind w:left="840" w:hanging="361"/>
        <w:rPr>
          <w:sz w:val="20"/>
        </w:rPr>
      </w:pPr>
      <w:hyperlink r:id="rId15">
        <w:r>
          <w:rPr>
            <w:color w:val="0000FF"/>
            <w:sz w:val="20"/>
            <w:u w:val="single" w:color="0000FF"/>
          </w:rPr>
          <w:t>SW307A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Auto Parts:</w:t>
      </w:r>
      <w:r>
        <w:rPr>
          <w:spacing w:val="-5"/>
          <w:sz w:val="20"/>
        </w:rPr>
        <w:t xml:space="preserve"> </w:t>
      </w:r>
      <w:r>
        <w:rPr>
          <w:sz w:val="20"/>
        </w:rPr>
        <w:t>(Non</w:t>
      </w:r>
      <w:r>
        <w:rPr>
          <w:rFonts w:ascii="Cambria Math" w:hAnsi="Cambria Math"/>
          <w:sz w:val="20"/>
        </w:rPr>
        <w:t>‐</w:t>
      </w:r>
      <w:r>
        <w:rPr>
          <w:sz w:val="20"/>
        </w:rPr>
        <w:t>Mandatory)</w:t>
      </w:r>
    </w:p>
    <w:p w14:paraId="362F750F" w14:textId="77777777" w:rsidR="00BB1AAD" w:rsidRDefault="00E34E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38"/>
        <w:rPr>
          <w:sz w:val="20"/>
        </w:rPr>
      </w:pPr>
      <w:r>
        <w:rPr>
          <w:sz w:val="20"/>
        </w:rPr>
        <w:t>Standard P-Cards: Can be used on this Statewide Contract for bulk and stock purchases</w:t>
      </w:r>
      <w:r>
        <w:rPr>
          <w:spacing w:val="-22"/>
          <w:sz w:val="20"/>
        </w:rPr>
        <w:t xml:space="preserve"> </w:t>
      </w:r>
      <w:r>
        <w:rPr>
          <w:sz w:val="20"/>
        </w:rPr>
        <w:t>only.</w:t>
      </w:r>
    </w:p>
    <w:p w14:paraId="362F7510" w14:textId="77777777" w:rsidR="00BB1AAD" w:rsidRDefault="00E34E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22"/>
        <w:ind w:hanging="362"/>
        <w:rPr>
          <w:sz w:val="20"/>
        </w:rPr>
      </w:pPr>
      <w:proofErr w:type="spellStart"/>
      <w:r>
        <w:rPr>
          <w:sz w:val="20"/>
        </w:rPr>
        <w:t>Comdata</w:t>
      </w:r>
      <w:proofErr w:type="spellEnd"/>
      <w:r>
        <w:rPr>
          <w:sz w:val="20"/>
        </w:rPr>
        <w:t xml:space="preserve"> Cards: Must be used for the purchas</w:t>
      </w:r>
      <w:r>
        <w:rPr>
          <w:sz w:val="20"/>
        </w:rPr>
        <w:t>e of parts for a specific</w:t>
      </w:r>
      <w:r>
        <w:rPr>
          <w:spacing w:val="-14"/>
          <w:sz w:val="20"/>
        </w:rPr>
        <w:t xml:space="preserve"> </w:t>
      </w:r>
      <w:r>
        <w:rPr>
          <w:sz w:val="20"/>
        </w:rPr>
        <w:t>vehicle.</w:t>
      </w:r>
    </w:p>
    <w:p w14:paraId="362F7511" w14:textId="77777777" w:rsidR="00BB1AAD" w:rsidRDefault="00E34E3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04"/>
        <w:ind w:hanging="361"/>
        <w:rPr>
          <w:sz w:val="20"/>
        </w:rPr>
      </w:pPr>
      <w:hyperlink r:id="rId16">
        <w:r>
          <w:rPr>
            <w:color w:val="0000FF"/>
            <w:sz w:val="20"/>
            <w:u w:val="single" w:color="0000FF"/>
          </w:rPr>
          <w:t>SW0140</w:t>
        </w:r>
        <w:r>
          <w:rPr>
            <w:sz w:val="20"/>
          </w:rPr>
          <w:t>,</w:t>
        </w:r>
      </w:hyperlink>
      <w:hyperlink r:id="rId17">
        <w:r>
          <w:rPr>
            <w:color w:val="0000FF"/>
            <w:sz w:val="20"/>
          </w:rPr>
          <w:t xml:space="preserve"> </w:t>
        </w:r>
        <w:r>
          <w:rPr>
            <w:color w:val="0000FF"/>
            <w:sz w:val="20"/>
            <w:u w:val="single" w:color="0000FF"/>
          </w:rPr>
          <w:t>SW0141</w:t>
        </w:r>
        <w:r>
          <w:rPr>
            <w:sz w:val="20"/>
          </w:rPr>
          <w:t>,</w:t>
        </w:r>
      </w:hyperlink>
      <w:hyperlink r:id="rId18">
        <w:r>
          <w:rPr>
            <w:color w:val="0000FF"/>
            <w:sz w:val="20"/>
          </w:rPr>
          <w:t xml:space="preserve"> </w:t>
        </w:r>
        <w:r>
          <w:rPr>
            <w:color w:val="0000FF"/>
            <w:sz w:val="20"/>
            <w:u w:val="single" w:color="0000FF"/>
          </w:rPr>
          <w:t>SW0142</w:t>
        </w:r>
        <w:r>
          <w:rPr>
            <w:sz w:val="20"/>
          </w:rPr>
          <w:t xml:space="preserve">: </w:t>
        </w:r>
      </w:hyperlink>
      <w:r>
        <w:rPr>
          <w:sz w:val="20"/>
        </w:rPr>
        <w:t xml:space="preserve">Police Radar, LED </w:t>
      </w:r>
      <w:proofErr w:type="spellStart"/>
      <w:r>
        <w:rPr>
          <w:sz w:val="20"/>
        </w:rPr>
        <w:t>Lightbars</w:t>
      </w:r>
      <w:proofErr w:type="spellEnd"/>
      <w:r>
        <w:rPr>
          <w:sz w:val="20"/>
        </w:rPr>
        <w:t>, Mounted Equipment</w:t>
      </w:r>
      <w:r>
        <w:rPr>
          <w:spacing w:val="-13"/>
          <w:sz w:val="20"/>
        </w:rPr>
        <w:t xml:space="preserve"> </w:t>
      </w:r>
      <w:r>
        <w:rPr>
          <w:sz w:val="20"/>
        </w:rPr>
        <w:t>(Mandatory)</w:t>
      </w:r>
    </w:p>
    <w:p w14:paraId="362F7512" w14:textId="77777777" w:rsidR="00BB1AAD" w:rsidRDefault="00E34E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37"/>
        <w:rPr>
          <w:sz w:val="20"/>
        </w:rPr>
      </w:pPr>
      <w:r>
        <w:rPr>
          <w:sz w:val="20"/>
        </w:rPr>
        <w:t>Standard P-Cards: Can be used on these Statewide</w:t>
      </w:r>
      <w:r>
        <w:rPr>
          <w:spacing w:val="-11"/>
          <w:sz w:val="20"/>
        </w:rPr>
        <w:t xml:space="preserve"> </w:t>
      </w:r>
      <w:r>
        <w:rPr>
          <w:sz w:val="20"/>
        </w:rPr>
        <w:t>Contracts.</w:t>
      </w:r>
    </w:p>
    <w:p w14:paraId="362F7513" w14:textId="77777777" w:rsidR="00BB1AAD" w:rsidRDefault="00E34E35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left="1559"/>
        <w:rPr>
          <w:sz w:val="20"/>
        </w:rPr>
      </w:pPr>
      <w:proofErr w:type="spellStart"/>
      <w:r>
        <w:rPr>
          <w:sz w:val="20"/>
        </w:rPr>
        <w:t>Comdata</w:t>
      </w:r>
      <w:proofErr w:type="spellEnd"/>
      <w:r>
        <w:rPr>
          <w:sz w:val="20"/>
        </w:rPr>
        <w:t xml:space="preserve"> Cards: Can be used on these Statewide</w:t>
      </w:r>
      <w:r>
        <w:rPr>
          <w:spacing w:val="-10"/>
          <w:sz w:val="20"/>
        </w:rPr>
        <w:t xml:space="preserve"> </w:t>
      </w:r>
      <w:r>
        <w:rPr>
          <w:sz w:val="20"/>
        </w:rPr>
        <w:t>Contracts.</w:t>
      </w:r>
    </w:p>
    <w:p w14:paraId="362F7514" w14:textId="77777777" w:rsidR="00BB1AAD" w:rsidRDefault="00E34E3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05"/>
        <w:ind w:hanging="361"/>
        <w:rPr>
          <w:sz w:val="20"/>
        </w:rPr>
      </w:pPr>
      <w:hyperlink r:id="rId19">
        <w:r>
          <w:rPr>
            <w:color w:val="0000FF"/>
            <w:sz w:val="20"/>
            <w:u w:val="single" w:color="0000FF"/>
          </w:rPr>
          <w:t>SW0771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Vehicle Daily Rental:</w:t>
      </w:r>
      <w:r>
        <w:rPr>
          <w:spacing w:val="-3"/>
          <w:sz w:val="20"/>
        </w:rPr>
        <w:t xml:space="preserve"> </w:t>
      </w:r>
      <w:r>
        <w:rPr>
          <w:sz w:val="20"/>
        </w:rPr>
        <w:t>(Non</w:t>
      </w:r>
      <w:r>
        <w:rPr>
          <w:rFonts w:ascii="Cambria Math" w:hAnsi="Cambria Math"/>
          <w:sz w:val="20"/>
        </w:rPr>
        <w:t>‐</w:t>
      </w:r>
      <w:r>
        <w:rPr>
          <w:sz w:val="20"/>
        </w:rPr>
        <w:t>Mandatory)</w:t>
      </w:r>
    </w:p>
    <w:p w14:paraId="362F7515" w14:textId="77777777" w:rsidR="00BB1AAD" w:rsidRDefault="00E34E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50" w:line="223" w:lineRule="auto"/>
        <w:ind w:left="1559" w:right="417" w:hanging="360"/>
        <w:rPr>
          <w:sz w:val="20"/>
        </w:rPr>
      </w:pPr>
      <w:r>
        <w:rPr>
          <w:sz w:val="20"/>
        </w:rPr>
        <w:t>Standard P-Cards: Can be used on this Statewide Contract for the full cost of rental (when rental fee and fuel are on the same</w:t>
      </w:r>
      <w:r>
        <w:rPr>
          <w:spacing w:val="-7"/>
          <w:sz w:val="20"/>
        </w:rPr>
        <w:t xml:space="preserve"> </w:t>
      </w:r>
      <w:r>
        <w:rPr>
          <w:sz w:val="20"/>
        </w:rPr>
        <w:t>invoice).</w:t>
      </w:r>
    </w:p>
    <w:p w14:paraId="362F7516" w14:textId="77777777" w:rsidR="00BB1AAD" w:rsidRDefault="00E34E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55" w:line="223" w:lineRule="auto"/>
        <w:ind w:left="1559" w:right="573" w:hanging="360"/>
        <w:rPr>
          <w:sz w:val="20"/>
        </w:rPr>
      </w:pPr>
      <w:proofErr w:type="spellStart"/>
      <w:r>
        <w:rPr>
          <w:sz w:val="20"/>
        </w:rPr>
        <w:t>Comdata</w:t>
      </w:r>
      <w:proofErr w:type="spellEnd"/>
      <w:r>
        <w:rPr>
          <w:sz w:val="20"/>
        </w:rPr>
        <w:t xml:space="preserve"> Fuel Only Card: for the purchase of fuel at the pump only; card not assigned to a specific </w:t>
      </w:r>
      <w:proofErr w:type="gramStart"/>
      <w:r>
        <w:rPr>
          <w:sz w:val="20"/>
        </w:rPr>
        <w:t>vehicle</w:t>
      </w:r>
      <w:proofErr w:type="gramEnd"/>
      <w:r>
        <w:rPr>
          <w:sz w:val="20"/>
        </w:rPr>
        <w:t>.</w:t>
      </w:r>
    </w:p>
    <w:p w14:paraId="362F7517" w14:textId="77777777" w:rsidR="00BB1AAD" w:rsidRDefault="00E34E3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3"/>
        <w:ind w:hanging="361"/>
        <w:rPr>
          <w:sz w:val="20"/>
        </w:rPr>
      </w:pPr>
      <w:hyperlink r:id="rId20">
        <w:r>
          <w:rPr>
            <w:color w:val="0000FF"/>
            <w:sz w:val="20"/>
            <w:u w:val="single" w:color="0000FF"/>
          </w:rPr>
          <w:t>SW1028A</w:t>
        </w:r>
        <w:r>
          <w:rPr>
            <w:sz w:val="20"/>
          </w:rPr>
          <w:t>,</w:t>
        </w:r>
      </w:hyperlink>
      <w:hyperlink r:id="rId21">
        <w:r>
          <w:rPr>
            <w:color w:val="0000FF"/>
            <w:sz w:val="20"/>
          </w:rPr>
          <w:t xml:space="preserve"> </w:t>
        </w:r>
        <w:r>
          <w:rPr>
            <w:color w:val="0000FF"/>
            <w:sz w:val="20"/>
            <w:u w:val="single" w:color="0000FF"/>
          </w:rPr>
          <w:t>SW0128G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Fleet Tracking:</w:t>
      </w:r>
      <w:r>
        <w:rPr>
          <w:spacing w:val="-5"/>
          <w:sz w:val="20"/>
        </w:rPr>
        <w:t xml:space="preserve"> </w:t>
      </w:r>
      <w:r>
        <w:rPr>
          <w:sz w:val="20"/>
        </w:rPr>
        <w:t>(Non-Mandatory)</w:t>
      </w:r>
    </w:p>
    <w:p w14:paraId="362F7518" w14:textId="77777777" w:rsidR="00BB1AAD" w:rsidRDefault="00E34E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37"/>
        <w:rPr>
          <w:sz w:val="20"/>
        </w:rPr>
      </w:pPr>
      <w:r>
        <w:rPr>
          <w:sz w:val="20"/>
        </w:rPr>
        <w:t>Standard P-Cards: Can be used on this Statewide</w:t>
      </w:r>
      <w:r>
        <w:rPr>
          <w:spacing w:val="-10"/>
          <w:sz w:val="20"/>
        </w:rPr>
        <w:t xml:space="preserve"> </w:t>
      </w:r>
      <w:r>
        <w:rPr>
          <w:sz w:val="20"/>
        </w:rPr>
        <w:t>Contract.</w:t>
      </w:r>
    </w:p>
    <w:p w14:paraId="362F7519" w14:textId="77777777" w:rsidR="00BB1AAD" w:rsidRDefault="00E34E35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23"/>
        <w:ind w:left="1559"/>
        <w:rPr>
          <w:sz w:val="20"/>
        </w:rPr>
      </w:pPr>
      <w:proofErr w:type="spellStart"/>
      <w:r>
        <w:rPr>
          <w:sz w:val="20"/>
        </w:rPr>
        <w:t>Comdata</w:t>
      </w:r>
      <w:proofErr w:type="spellEnd"/>
      <w:r>
        <w:rPr>
          <w:sz w:val="20"/>
        </w:rPr>
        <w:t xml:space="preserve"> Cards: Must be used for the purchase of components for a specif</w:t>
      </w:r>
      <w:r>
        <w:rPr>
          <w:sz w:val="20"/>
        </w:rPr>
        <w:t>ic</w:t>
      </w:r>
      <w:r>
        <w:rPr>
          <w:spacing w:val="-18"/>
          <w:sz w:val="20"/>
        </w:rPr>
        <w:t xml:space="preserve"> </w:t>
      </w:r>
      <w:r>
        <w:rPr>
          <w:sz w:val="20"/>
        </w:rPr>
        <w:t>vehicle.</w:t>
      </w:r>
    </w:p>
    <w:p w14:paraId="362F751A" w14:textId="77777777" w:rsidR="00BB1AAD" w:rsidRDefault="00E34E3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04"/>
        <w:ind w:hanging="361"/>
        <w:rPr>
          <w:sz w:val="20"/>
        </w:rPr>
      </w:pPr>
      <w:hyperlink r:id="rId22">
        <w:r>
          <w:rPr>
            <w:color w:val="0000FF"/>
            <w:sz w:val="20"/>
            <w:u w:val="single" w:color="0000FF"/>
          </w:rPr>
          <w:t>SW0767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Auto Maintenance:</w:t>
      </w:r>
      <w:r>
        <w:rPr>
          <w:spacing w:val="-4"/>
          <w:sz w:val="20"/>
        </w:rPr>
        <w:t xml:space="preserve"> </w:t>
      </w:r>
      <w:r>
        <w:rPr>
          <w:sz w:val="20"/>
        </w:rPr>
        <w:t>(Non-Mandatory)</w:t>
      </w:r>
    </w:p>
    <w:p w14:paraId="362F751B" w14:textId="77777777" w:rsidR="00BB1AAD" w:rsidRDefault="00E34E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37"/>
        <w:rPr>
          <w:sz w:val="20"/>
        </w:rPr>
      </w:pPr>
      <w:r>
        <w:rPr>
          <w:sz w:val="20"/>
        </w:rPr>
        <w:t>Standard P-Cards: Cannot be used on this Statewide</w:t>
      </w:r>
      <w:r>
        <w:rPr>
          <w:spacing w:val="-11"/>
          <w:sz w:val="20"/>
        </w:rPr>
        <w:t xml:space="preserve"> </w:t>
      </w:r>
      <w:r>
        <w:rPr>
          <w:sz w:val="20"/>
        </w:rPr>
        <w:t>Contract.</w:t>
      </w:r>
    </w:p>
    <w:p w14:paraId="362F751C" w14:textId="77777777" w:rsidR="00BB1AAD" w:rsidRDefault="00E34E35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22"/>
        <w:ind w:left="1559"/>
        <w:rPr>
          <w:sz w:val="20"/>
        </w:rPr>
      </w:pPr>
      <w:proofErr w:type="spellStart"/>
      <w:r>
        <w:rPr>
          <w:sz w:val="20"/>
        </w:rPr>
        <w:t>Comdata</w:t>
      </w:r>
      <w:proofErr w:type="spellEnd"/>
      <w:r>
        <w:rPr>
          <w:sz w:val="20"/>
        </w:rPr>
        <w:t xml:space="preserve"> Cards: Must be used on this Statewide</w:t>
      </w:r>
      <w:r>
        <w:rPr>
          <w:spacing w:val="-9"/>
          <w:sz w:val="20"/>
        </w:rPr>
        <w:t xml:space="preserve"> </w:t>
      </w:r>
      <w:r>
        <w:rPr>
          <w:sz w:val="20"/>
        </w:rPr>
        <w:t>Contract</w:t>
      </w:r>
      <w:r>
        <w:rPr>
          <w:sz w:val="20"/>
        </w:rPr>
        <w:t>.</w:t>
      </w:r>
    </w:p>
    <w:p w14:paraId="256B6480" w14:textId="77777777" w:rsidR="002F5F45" w:rsidRDefault="002F5F45">
      <w:pPr>
        <w:tabs>
          <w:tab w:val="left" w:pos="9480"/>
        </w:tabs>
        <w:spacing w:before="95"/>
        <w:ind w:left="120"/>
        <w:rPr>
          <w:b/>
          <w:sz w:val="16"/>
        </w:rPr>
      </w:pPr>
    </w:p>
    <w:p w14:paraId="79E4CBE0" w14:textId="77777777" w:rsidR="002F5F45" w:rsidRDefault="002F5F45">
      <w:pPr>
        <w:tabs>
          <w:tab w:val="left" w:pos="9480"/>
        </w:tabs>
        <w:spacing w:before="95"/>
        <w:ind w:left="120"/>
        <w:rPr>
          <w:b/>
          <w:sz w:val="16"/>
        </w:rPr>
      </w:pPr>
    </w:p>
    <w:p w14:paraId="362F751E" w14:textId="23FB4723" w:rsidR="00BB1AAD" w:rsidRDefault="00E34E35">
      <w:pPr>
        <w:tabs>
          <w:tab w:val="left" w:pos="9480"/>
        </w:tabs>
        <w:spacing w:before="95"/>
        <w:ind w:left="120"/>
        <w:rPr>
          <w:b/>
          <w:sz w:val="16"/>
        </w:rPr>
      </w:pPr>
      <w:r>
        <w:rPr>
          <w:b/>
          <w:sz w:val="16"/>
        </w:rPr>
        <w:t>OMES Form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CP</w:t>
      </w:r>
      <w:r>
        <w:rPr>
          <w:b/>
          <w:sz w:val="16"/>
        </w:rPr>
        <w:t>036</w:t>
      </w:r>
      <w:r>
        <w:rPr>
          <w:b/>
          <w:sz w:val="16"/>
        </w:rPr>
        <w:tab/>
        <w:t>PAGE 1 OF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1</w:t>
      </w:r>
    </w:p>
    <w:sectPr w:rsidR="00BB1AAD">
      <w:type w:val="continuous"/>
      <w:pgSz w:w="12240" w:h="15840"/>
      <w:pgMar w:top="160" w:right="6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5758A"/>
    <w:multiLevelType w:val="hybridMultilevel"/>
    <w:tmpl w:val="27427A22"/>
    <w:lvl w:ilvl="0" w:tplc="00C8655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AF8C0946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en-US"/>
      </w:rPr>
    </w:lvl>
    <w:lvl w:ilvl="2" w:tplc="30DCB634">
      <w:numFmt w:val="bullet"/>
      <w:lvlText w:val="•"/>
      <w:lvlJc w:val="left"/>
      <w:pPr>
        <w:ind w:left="2591" w:hanging="361"/>
      </w:pPr>
      <w:rPr>
        <w:rFonts w:hint="default"/>
        <w:lang w:val="en-US" w:eastAsia="en-US" w:bidi="en-US"/>
      </w:rPr>
    </w:lvl>
    <w:lvl w:ilvl="3" w:tplc="803C117A">
      <w:numFmt w:val="bullet"/>
      <w:lvlText w:val="•"/>
      <w:lvlJc w:val="left"/>
      <w:pPr>
        <w:ind w:left="3622" w:hanging="361"/>
      </w:pPr>
      <w:rPr>
        <w:rFonts w:hint="default"/>
        <w:lang w:val="en-US" w:eastAsia="en-US" w:bidi="en-US"/>
      </w:rPr>
    </w:lvl>
    <w:lvl w:ilvl="4" w:tplc="CB90F62E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EF6E15E0">
      <w:numFmt w:val="bullet"/>
      <w:lvlText w:val="•"/>
      <w:lvlJc w:val="left"/>
      <w:pPr>
        <w:ind w:left="5684" w:hanging="361"/>
      </w:pPr>
      <w:rPr>
        <w:rFonts w:hint="default"/>
        <w:lang w:val="en-US" w:eastAsia="en-US" w:bidi="en-US"/>
      </w:rPr>
    </w:lvl>
    <w:lvl w:ilvl="6" w:tplc="8A7C2A70">
      <w:numFmt w:val="bullet"/>
      <w:lvlText w:val="•"/>
      <w:lvlJc w:val="left"/>
      <w:pPr>
        <w:ind w:left="6715" w:hanging="361"/>
      </w:pPr>
      <w:rPr>
        <w:rFonts w:hint="default"/>
        <w:lang w:val="en-US" w:eastAsia="en-US" w:bidi="en-US"/>
      </w:rPr>
    </w:lvl>
    <w:lvl w:ilvl="7" w:tplc="65583C10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en-US"/>
      </w:rPr>
    </w:lvl>
    <w:lvl w:ilvl="8" w:tplc="BC300094">
      <w:numFmt w:val="bullet"/>
      <w:lvlText w:val="•"/>
      <w:lvlJc w:val="left"/>
      <w:pPr>
        <w:ind w:left="8777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B1AAD"/>
    <w:rsid w:val="002F5F45"/>
    <w:rsid w:val="004E1F75"/>
    <w:rsid w:val="00BB1AAD"/>
    <w:rsid w:val="00E3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74F5"/>
  <w15:docId w15:val="{C937914A-5C05-48A7-B4DB-437BA31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34E35"/>
    <w:pPr>
      <w:framePr w:hSpace="180" w:wrap="around" w:hAnchor="margin" w:y="450"/>
      <w:spacing w:before="32"/>
      <w:ind w:right="321"/>
      <w:jc w:val="right"/>
      <w:outlineLvl w:val="0"/>
    </w:pPr>
    <w:rPr>
      <w:b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560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1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F5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k.gov/dcs/solicit/app/solicitationDetail.php?conID=1165" TargetMode="External"/><Relationship Id="rId18" Type="http://schemas.openxmlformats.org/officeDocument/2006/relationships/hyperlink" Target="https://www.ok.gov/dcs/solicit/app/solicitationDetail.php?conID=262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k.gov/dcs/solicit/app/solicitationDetail.php?conID=292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k.gov/dcs/solicit/app/solicitationDetail.php?conID=3045" TargetMode="External"/><Relationship Id="rId17" Type="http://schemas.openxmlformats.org/officeDocument/2006/relationships/hyperlink" Target="https://www.ok.gov/dcs/solicit/app/solicitationDetail.php?conID=108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k.gov/dcs/solicit/app/solicitationDetail.php?conID=386" TargetMode="External"/><Relationship Id="rId20" Type="http://schemas.openxmlformats.org/officeDocument/2006/relationships/hyperlink" Target="https://www.ok.gov/dcs/solicit/app/solicitationDetail.php?conID=278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k.gov/dcs/solicit/app/solicitationDetail.php?conID=2709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ok.gov/dcs/solicit/app/solicitationDetail.php?conID=229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k.gov/dcs/solicit/app/solicitationDetail.php?conID=2649" TargetMode="External"/><Relationship Id="rId19" Type="http://schemas.openxmlformats.org/officeDocument/2006/relationships/hyperlink" Target="https://www.ok.gov/dcs/solicit/app/solicitationDetail.php?conID=8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k.gov/dcs/solicit/app/solicitationDetail.php?conID=1183" TargetMode="External"/><Relationship Id="rId14" Type="http://schemas.openxmlformats.org/officeDocument/2006/relationships/hyperlink" Target="https://www.ok.gov/dcs/solicit/app/solicitationDetail.php?conID=667" TargetMode="External"/><Relationship Id="rId22" Type="http://schemas.openxmlformats.org/officeDocument/2006/relationships/hyperlink" Target="https://www.ok.gov/dcs/solicit/app/solicitationDetail.php?conID=2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8F9E57-F06F-4B4A-8812-D5ECF9324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1F9FE-7360-4636-AC4B-F53EDA463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EB210-8339-4084-B48F-03CC75BA8716}">
  <ds:schemaRefs>
    <ds:schemaRef ds:uri="http://purl.org/dc/elements/1.1/"/>
    <ds:schemaRef ds:uri="http://schemas.microsoft.com/office/2006/metadata/properties"/>
    <ds:schemaRef ds:uri="http://schemas.microsoft.com/sharepoint/v3"/>
    <ds:schemaRef ds:uri="aec6b55d-3de3-4884-82c9-9045bd390d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16b61c-01e3-420e-954d-f9606dbef8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Comdata Card vs Purchas Card</vt:lpstr>
    </vt:vector>
  </TitlesOfParts>
  <Company>State of Oklahoma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Comdata Card vs Purchas Card</dc:title>
  <dc:subject>Use of the Comdata card and P-card on behicle parts and maintenance statewide contracts.</dc:subject>
  <dc:creator>OMES Central Purchasing</dc:creator>
  <cp:keywords>"comdata, card, p-card, vehicle parts, maintenance, statewide contracts."</cp:keywords>
  <cp:lastModifiedBy>Jake Lowrey</cp:lastModifiedBy>
  <cp:revision>4</cp:revision>
  <dcterms:created xsi:type="dcterms:W3CDTF">2020-08-17T14:40:00Z</dcterms:created>
  <dcterms:modified xsi:type="dcterms:W3CDTF">2020-08-17T14:42:00Z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2020-08-17T00:00:00Z</vt:filetime>
  </property>
  <property fmtid="{D5CDD505-2E9C-101B-9397-08002B2CF9AE}" pid="5" name="ContentTypeId">
    <vt:lpwstr>0x0101005C132B3286FF8346B22D1DA34C0719AC</vt:lpwstr>
  </property>
</Properties>
</file>