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B728F" w14:textId="1EF7CF5B" w:rsidR="007A43F3" w:rsidRDefault="007A43F3">
      <w:pPr>
        <w:pStyle w:val="BodyText"/>
        <w:ind w:left="3407"/>
        <w:rPr>
          <w:rFonts w:ascii="Times New Roman"/>
          <w:sz w:val="20"/>
        </w:rPr>
      </w:pPr>
    </w:p>
    <w:p w14:paraId="58EAC928" w14:textId="77777777" w:rsidR="001721CC" w:rsidRDefault="001721CC" w:rsidP="00F1630C">
      <w:pPr>
        <w:pStyle w:val="BlockText"/>
        <w:rPr>
          <w:sz w:val="28"/>
          <w:szCs w:val="28"/>
        </w:rPr>
      </w:pPr>
    </w:p>
    <w:p w14:paraId="5A671E16" w14:textId="4F390111" w:rsidR="00F1630C" w:rsidRPr="004C55C7" w:rsidRDefault="00F1630C" w:rsidP="00F1630C">
      <w:pPr>
        <w:pStyle w:val="BlockText"/>
        <w:rPr>
          <w:sz w:val="28"/>
          <w:szCs w:val="28"/>
        </w:rPr>
      </w:pPr>
      <w:r w:rsidRPr="004C55C7">
        <w:rPr>
          <w:sz w:val="28"/>
          <w:szCs w:val="28"/>
        </w:rPr>
        <w:t>State of Oklahoma</w:t>
      </w:r>
      <w:r w:rsidR="004C55C7">
        <w:rPr>
          <w:sz w:val="28"/>
          <w:szCs w:val="28"/>
        </w:rPr>
        <w:t xml:space="preserve"> [AGENCY]</w:t>
      </w:r>
    </w:p>
    <w:p w14:paraId="6CEEA66B" w14:textId="026F6920" w:rsidR="007A43F3" w:rsidRDefault="00F4600E" w:rsidP="00F1630C">
      <w:pPr>
        <w:pStyle w:val="Heading1"/>
      </w:pPr>
      <w:r>
        <w:t>Telework Policy</w:t>
      </w:r>
    </w:p>
    <w:p w14:paraId="1A734205" w14:textId="77777777" w:rsidR="007A43F3" w:rsidRDefault="007A43F3">
      <w:pPr>
        <w:pStyle w:val="BodyText"/>
        <w:rPr>
          <w:b/>
          <w:sz w:val="20"/>
        </w:rPr>
      </w:pPr>
    </w:p>
    <w:p w14:paraId="52B88A10" w14:textId="77777777" w:rsidR="007A43F3" w:rsidRDefault="007A43F3">
      <w:pPr>
        <w:pStyle w:val="BodyText"/>
        <w:rPr>
          <w:b/>
          <w:sz w:val="20"/>
        </w:rPr>
      </w:pPr>
      <w:bookmarkStart w:id="0" w:name="_GoBack"/>
      <w:bookmarkEnd w:id="0"/>
    </w:p>
    <w:p w14:paraId="0C957643" w14:textId="77777777" w:rsidR="007A43F3" w:rsidRDefault="007A43F3">
      <w:pPr>
        <w:pStyle w:val="BodyText"/>
        <w:spacing w:before="8"/>
        <w:rPr>
          <w:b/>
          <w:sz w:val="1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8"/>
        <w:gridCol w:w="4968"/>
      </w:tblGrid>
      <w:tr w:rsidR="007A43F3" w14:paraId="2501C3A0" w14:textId="77777777">
        <w:trPr>
          <w:trHeight w:val="280"/>
        </w:trPr>
        <w:tc>
          <w:tcPr>
            <w:tcW w:w="4608" w:type="dxa"/>
          </w:tcPr>
          <w:p w14:paraId="5CE691C6" w14:textId="26F35578" w:rsidR="007A43F3" w:rsidRDefault="00F4600E" w:rsidP="004C55C7">
            <w:pPr>
              <w:pStyle w:val="TableParagraph"/>
              <w:rPr>
                <w:sz w:val="24"/>
              </w:rPr>
            </w:pPr>
            <w:r>
              <w:rPr>
                <w:sz w:val="24"/>
              </w:rPr>
              <w:t xml:space="preserve">Effective Date of Policy: </w:t>
            </w:r>
          </w:p>
        </w:tc>
        <w:tc>
          <w:tcPr>
            <w:tcW w:w="4968" w:type="dxa"/>
          </w:tcPr>
          <w:p w14:paraId="147343EE" w14:textId="3607D7DF" w:rsidR="007A43F3" w:rsidRDefault="00F4600E" w:rsidP="004C55C7">
            <w:pPr>
              <w:pStyle w:val="TableParagraph"/>
              <w:rPr>
                <w:sz w:val="24"/>
              </w:rPr>
            </w:pPr>
            <w:r>
              <w:rPr>
                <w:sz w:val="24"/>
              </w:rPr>
              <w:t xml:space="preserve">Next Scheduled Review: </w:t>
            </w:r>
          </w:p>
        </w:tc>
      </w:tr>
      <w:tr w:rsidR="007A43F3" w14:paraId="4CCEAC08" w14:textId="77777777">
        <w:trPr>
          <w:trHeight w:val="280"/>
        </w:trPr>
        <w:tc>
          <w:tcPr>
            <w:tcW w:w="4608" w:type="dxa"/>
          </w:tcPr>
          <w:p w14:paraId="4FBA9383" w14:textId="250F1395" w:rsidR="007A43F3" w:rsidRDefault="00F4600E" w:rsidP="004C55C7">
            <w:pPr>
              <w:pStyle w:val="TableParagraph"/>
              <w:spacing w:line="275" w:lineRule="exact"/>
              <w:rPr>
                <w:sz w:val="24"/>
              </w:rPr>
            </w:pPr>
            <w:r>
              <w:rPr>
                <w:sz w:val="24"/>
              </w:rPr>
              <w:t xml:space="preserve">Prior Policy: </w:t>
            </w:r>
          </w:p>
        </w:tc>
        <w:tc>
          <w:tcPr>
            <w:tcW w:w="4968" w:type="dxa"/>
          </w:tcPr>
          <w:p w14:paraId="43B9DFE2" w14:textId="1B8020D9" w:rsidR="007A43F3" w:rsidRDefault="00F4600E" w:rsidP="004C55C7">
            <w:pPr>
              <w:pStyle w:val="TableParagraph"/>
              <w:spacing w:line="275" w:lineRule="exact"/>
              <w:rPr>
                <w:sz w:val="24"/>
              </w:rPr>
            </w:pPr>
            <w:r>
              <w:rPr>
                <w:sz w:val="24"/>
              </w:rPr>
              <w:t xml:space="preserve">Policy Number: </w:t>
            </w:r>
          </w:p>
        </w:tc>
      </w:tr>
      <w:tr w:rsidR="007A43F3" w14:paraId="2893D1F5" w14:textId="77777777">
        <w:trPr>
          <w:trHeight w:val="280"/>
        </w:trPr>
        <w:tc>
          <w:tcPr>
            <w:tcW w:w="4608" w:type="dxa"/>
          </w:tcPr>
          <w:p w14:paraId="2FAA7AF6" w14:textId="4E122026" w:rsidR="007A43F3" w:rsidRDefault="00F4600E" w:rsidP="004C55C7">
            <w:pPr>
              <w:pStyle w:val="TableParagraph"/>
              <w:rPr>
                <w:sz w:val="24"/>
              </w:rPr>
            </w:pPr>
            <w:r>
              <w:rPr>
                <w:sz w:val="24"/>
              </w:rPr>
              <w:t xml:space="preserve">Last Reviewed: </w:t>
            </w:r>
          </w:p>
        </w:tc>
        <w:tc>
          <w:tcPr>
            <w:tcW w:w="4968" w:type="dxa"/>
          </w:tcPr>
          <w:p w14:paraId="3A3BF0DB" w14:textId="008B334E" w:rsidR="007A43F3" w:rsidRDefault="00F4600E" w:rsidP="004C55C7">
            <w:pPr>
              <w:pStyle w:val="TableParagraph"/>
              <w:rPr>
                <w:sz w:val="24"/>
              </w:rPr>
            </w:pPr>
            <w:r>
              <w:rPr>
                <w:sz w:val="24"/>
              </w:rPr>
              <w:t xml:space="preserve">Replaces Policy Number: </w:t>
            </w:r>
          </w:p>
        </w:tc>
      </w:tr>
      <w:tr w:rsidR="007A43F3" w14:paraId="21FABB0C" w14:textId="77777777">
        <w:trPr>
          <w:trHeight w:val="280"/>
        </w:trPr>
        <w:tc>
          <w:tcPr>
            <w:tcW w:w="4608" w:type="dxa"/>
          </w:tcPr>
          <w:p w14:paraId="49EA7A05" w14:textId="2DA65495" w:rsidR="007A43F3" w:rsidRDefault="00F4600E" w:rsidP="004C55C7">
            <w:pPr>
              <w:pStyle w:val="TableParagraph"/>
              <w:rPr>
                <w:sz w:val="24"/>
              </w:rPr>
            </w:pPr>
            <w:r>
              <w:rPr>
                <w:sz w:val="24"/>
              </w:rPr>
              <w:t xml:space="preserve">Date Policy Last Revised: </w:t>
            </w:r>
          </w:p>
        </w:tc>
        <w:tc>
          <w:tcPr>
            <w:tcW w:w="4968" w:type="dxa"/>
          </w:tcPr>
          <w:p w14:paraId="4357FFBD" w14:textId="77777777" w:rsidR="007A43F3" w:rsidRDefault="007A43F3">
            <w:pPr>
              <w:pStyle w:val="TableParagraph"/>
              <w:spacing w:line="240" w:lineRule="auto"/>
              <w:ind w:left="0"/>
              <w:rPr>
                <w:rFonts w:ascii="Times New Roman"/>
                <w:sz w:val="20"/>
              </w:rPr>
            </w:pPr>
          </w:p>
        </w:tc>
      </w:tr>
      <w:tr w:rsidR="007A43F3" w14:paraId="660E8A76" w14:textId="77777777" w:rsidTr="00F1630C">
        <w:trPr>
          <w:trHeight w:val="323"/>
        </w:trPr>
        <w:tc>
          <w:tcPr>
            <w:tcW w:w="4608" w:type="dxa"/>
          </w:tcPr>
          <w:p w14:paraId="665C0C39" w14:textId="798BBA7B" w:rsidR="007A43F3" w:rsidRDefault="00F4600E" w:rsidP="004C55C7">
            <w:pPr>
              <w:pStyle w:val="TableParagraph"/>
              <w:spacing w:line="292" w:lineRule="exact"/>
              <w:rPr>
                <w:sz w:val="24"/>
              </w:rPr>
            </w:pPr>
            <w:r>
              <w:rPr>
                <w:sz w:val="24"/>
              </w:rPr>
              <w:t xml:space="preserve">Approved: </w:t>
            </w:r>
          </w:p>
        </w:tc>
        <w:tc>
          <w:tcPr>
            <w:tcW w:w="4968" w:type="dxa"/>
          </w:tcPr>
          <w:p w14:paraId="744DC1BE" w14:textId="1616D291" w:rsidR="007A43F3" w:rsidRDefault="00F4600E" w:rsidP="004C55C7">
            <w:pPr>
              <w:pStyle w:val="TableParagraph"/>
              <w:spacing w:line="292" w:lineRule="exact"/>
              <w:rPr>
                <w:sz w:val="24"/>
              </w:rPr>
            </w:pPr>
            <w:r>
              <w:rPr>
                <w:sz w:val="24"/>
              </w:rPr>
              <w:t xml:space="preserve">Approval Date: </w:t>
            </w:r>
          </w:p>
        </w:tc>
      </w:tr>
    </w:tbl>
    <w:p w14:paraId="56E2B532" w14:textId="77777777" w:rsidR="007A43F3" w:rsidRDefault="007A43F3">
      <w:pPr>
        <w:pStyle w:val="BodyText"/>
        <w:rPr>
          <w:b/>
          <w:sz w:val="20"/>
        </w:rPr>
      </w:pPr>
    </w:p>
    <w:p w14:paraId="524E2152" w14:textId="77777777" w:rsidR="007A43F3" w:rsidRDefault="007A43F3">
      <w:pPr>
        <w:pStyle w:val="BodyText"/>
        <w:spacing w:before="6"/>
        <w:rPr>
          <w:b/>
          <w:sz w:val="20"/>
        </w:rPr>
      </w:pPr>
    </w:p>
    <w:p w14:paraId="1A611EAF" w14:textId="77777777" w:rsidR="007A43F3" w:rsidRPr="00F1630C" w:rsidRDefault="00F4600E" w:rsidP="00255C86">
      <w:pPr>
        <w:pStyle w:val="Heading2"/>
        <w:ind w:left="90"/>
      </w:pPr>
      <w:r w:rsidRPr="00F1630C">
        <w:t>Purpose</w:t>
      </w:r>
    </w:p>
    <w:p w14:paraId="1AE2D586" w14:textId="2AD71CE4" w:rsidR="007A43F3" w:rsidRDefault="00F4600E">
      <w:pPr>
        <w:pStyle w:val="BodyText"/>
        <w:spacing w:before="23" w:line="259" w:lineRule="auto"/>
        <w:ind w:left="220" w:right="217"/>
        <w:jc w:val="both"/>
      </w:pPr>
      <w:r>
        <w:t xml:space="preserve">The purpose of this policy is to ensure the </w:t>
      </w:r>
      <w:r w:rsidR="004C55C7">
        <w:t>[AGENCY]</w:t>
      </w:r>
      <w:r>
        <w:t xml:space="preserve"> complies with state initiatives encouraging telework as an alternative to incurring costs for additional office space for state government.</w:t>
      </w:r>
    </w:p>
    <w:p w14:paraId="0B264721" w14:textId="77777777" w:rsidR="007A43F3" w:rsidRDefault="007A43F3">
      <w:pPr>
        <w:pStyle w:val="BodyText"/>
        <w:spacing w:before="9"/>
        <w:rPr>
          <w:sz w:val="25"/>
        </w:rPr>
      </w:pPr>
    </w:p>
    <w:p w14:paraId="56838179" w14:textId="77777777" w:rsidR="007A43F3" w:rsidRDefault="00F4600E" w:rsidP="00255C86">
      <w:pPr>
        <w:pStyle w:val="Heading2"/>
        <w:ind w:left="90"/>
      </w:pPr>
      <w:r>
        <w:t>Policy</w:t>
      </w:r>
    </w:p>
    <w:p w14:paraId="0E0AD98C" w14:textId="307B46F5" w:rsidR="007A43F3" w:rsidRDefault="004C55C7">
      <w:pPr>
        <w:pStyle w:val="BodyText"/>
        <w:spacing w:before="23" w:line="259" w:lineRule="auto"/>
        <w:ind w:left="220" w:right="214"/>
        <w:jc w:val="both"/>
      </w:pPr>
      <w:r>
        <w:t>[AGENCY]</w:t>
      </w:r>
      <w:r w:rsidR="00F4600E">
        <w:t xml:space="preserve"> considers telework to be a viable alternative work arrangement in cases where individual, job and supervisor characteristics are best suited to such an arrangement. Telework allows an employee to work outside of the traditional on-site work environment for all or part of the regular workweek. Telework may be appropriate for some employees and some positions; however, telework is not an entitlement, is not an agency-wide benefit and may be discontinued at any time at the sole discretion of </w:t>
      </w:r>
      <w:r>
        <w:t>[AGENCY]</w:t>
      </w:r>
      <w:r w:rsidR="00F4600E">
        <w:t xml:space="preserve">. Telework may be used as a recruitment and/or retention tool by supervisors when deemed appropriate for a position. </w:t>
      </w:r>
      <w:r w:rsidR="0059118B">
        <w:t>P</w:t>
      </w:r>
      <w:r w:rsidR="00F4600E" w:rsidRPr="0078436D">
        <w:t>erformance reporting metrics established by the telework employee’s supervisor shall be used for each employee in the telework program.</w:t>
      </w:r>
      <w:r w:rsidR="00173072">
        <w:t xml:space="preserve"> The division director, or designee, and the supervisor shall approve the performance reporting metrics to be utilized for employees in the telework program.</w:t>
      </w:r>
      <w:r w:rsidR="00F4600E">
        <w:t xml:space="preserve"> A telework arrangement is not designed to be a replacement for appropriate dependent care and the focus of the work hours in the telework location must be on job performance and meeting agency</w:t>
      </w:r>
      <w:r w:rsidR="00F4600E">
        <w:rPr>
          <w:spacing w:val="-6"/>
        </w:rPr>
        <w:t xml:space="preserve"> </w:t>
      </w:r>
      <w:r w:rsidR="00F4600E">
        <w:t>requirements.</w:t>
      </w:r>
    </w:p>
    <w:p w14:paraId="07768D47" w14:textId="77777777" w:rsidR="0059118B" w:rsidRDefault="0059118B">
      <w:pPr>
        <w:pStyle w:val="BodyText"/>
        <w:spacing w:before="37" w:line="259" w:lineRule="auto"/>
        <w:ind w:left="119" w:right="114"/>
        <w:jc w:val="both"/>
      </w:pPr>
    </w:p>
    <w:p w14:paraId="695B83F3" w14:textId="41BAAE5F" w:rsidR="007A43F3" w:rsidRDefault="00F4600E" w:rsidP="0059118B">
      <w:pPr>
        <w:pStyle w:val="BodyText"/>
        <w:spacing w:before="37" w:line="259" w:lineRule="auto"/>
        <w:ind w:left="270" w:right="114"/>
        <w:jc w:val="both"/>
      </w:pPr>
      <w:r>
        <w:t>Although telework may be suggested by an employee, the decision of whether telework is appropriate or is required for a particular position shall be determined by the</w:t>
      </w:r>
      <w:r w:rsidR="00173072">
        <w:t xml:space="preserve"> division director and the</w:t>
      </w:r>
      <w:r>
        <w:t xml:space="preserve"> supervisor responsible for the position after considering factors set forth in the </w:t>
      </w:r>
      <w:r w:rsidR="004C55C7">
        <w:t>[AGENCY]</w:t>
      </w:r>
      <w:r>
        <w:t xml:space="preserve"> telework procedures</w:t>
      </w:r>
      <w:r w:rsidR="00BF2561">
        <w:t>,</w:t>
      </w:r>
      <w:r>
        <w:t xml:space="preserve"> as well as additional guidance from GTARB pursuant to its duties under Title 62 of the Oklahoma statutes. No employee shall begin a telework arrangement until the employee </w:t>
      </w:r>
      <w:r>
        <w:rPr>
          <w:spacing w:val="-3"/>
        </w:rPr>
        <w:t xml:space="preserve">and </w:t>
      </w:r>
      <w:r w:rsidR="004C55C7">
        <w:t>[AGENCY]</w:t>
      </w:r>
      <w:r>
        <w:t xml:space="preserve"> have executed the </w:t>
      </w:r>
      <w:r w:rsidR="004C55C7">
        <w:t>[AGENCY]</w:t>
      </w:r>
      <w:r>
        <w:t xml:space="preserve"> Telework Agreement and the telework location has</w:t>
      </w:r>
      <w:r w:rsidR="0059118B">
        <w:t xml:space="preserve"> been approved and prepared in </w:t>
      </w:r>
      <w:r>
        <w:t xml:space="preserve">accordance with </w:t>
      </w:r>
      <w:r w:rsidR="004C55C7">
        <w:t>[AGENCY]</w:t>
      </w:r>
      <w:r>
        <w:t xml:space="preserve"> telework procedures</w:t>
      </w:r>
      <w:r w:rsidR="0059118B">
        <w:t>.</w:t>
      </w:r>
      <w:r>
        <w:t xml:space="preserve"> </w:t>
      </w:r>
    </w:p>
    <w:p w14:paraId="76E1F99C" w14:textId="77777777" w:rsidR="002A7341" w:rsidRDefault="002A7341">
      <w:pPr>
        <w:pStyle w:val="BodyText"/>
        <w:spacing w:before="37" w:line="259" w:lineRule="auto"/>
        <w:ind w:left="119" w:right="114"/>
        <w:jc w:val="both"/>
      </w:pPr>
    </w:p>
    <w:p w14:paraId="5631CAEF" w14:textId="33FBB9A0" w:rsidR="002A7341" w:rsidRDefault="002A7341" w:rsidP="0059118B">
      <w:pPr>
        <w:pStyle w:val="BodyText"/>
        <w:spacing w:before="37" w:line="259" w:lineRule="auto"/>
        <w:ind w:left="270" w:right="114"/>
        <w:jc w:val="both"/>
      </w:pPr>
      <w:r>
        <w:t xml:space="preserve">Subject to the approval of an employee’s supervisor, an employee may work from home due to extenuating circumstances without executing the </w:t>
      </w:r>
      <w:r w:rsidR="004C55C7">
        <w:t>[AGENCY]</w:t>
      </w:r>
      <w:r>
        <w:t xml:space="preserve"> Telework Agreement. Such work </w:t>
      </w:r>
      <w:r>
        <w:lastRenderedPageBreak/>
        <w:t>from home arrangement is not intended to be routine</w:t>
      </w:r>
      <w:r w:rsidR="00B4026D">
        <w:t>.</w:t>
      </w:r>
    </w:p>
    <w:p w14:paraId="4F431701" w14:textId="77777777" w:rsidR="007A43F3" w:rsidRDefault="007A43F3">
      <w:pPr>
        <w:pStyle w:val="BodyText"/>
        <w:spacing w:before="9"/>
        <w:rPr>
          <w:sz w:val="25"/>
        </w:rPr>
      </w:pPr>
    </w:p>
    <w:p w14:paraId="5BD65595" w14:textId="1D15494E" w:rsidR="007A43F3" w:rsidRDefault="00F4600E" w:rsidP="0059118B">
      <w:pPr>
        <w:pStyle w:val="BodyText"/>
        <w:spacing w:line="259" w:lineRule="auto"/>
        <w:ind w:left="270" w:right="115"/>
        <w:jc w:val="both"/>
      </w:pPr>
      <w:r>
        <w:t>Employees who are allowed or required to telework for all or a portion of the workweek shall be responsible to remove work hazards and to ensure adequate protection of proprietary, customer and other confidential information accessible from the telework location. Adequate protection shall be determined at the sole discretion of</w:t>
      </w:r>
      <w:r>
        <w:rPr>
          <w:spacing w:val="-20"/>
        </w:rPr>
        <w:t xml:space="preserve"> </w:t>
      </w:r>
      <w:r w:rsidR="004C55C7">
        <w:t>[AGENCY]</w:t>
      </w:r>
      <w:r>
        <w:t>.</w:t>
      </w:r>
    </w:p>
    <w:p w14:paraId="5288850C" w14:textId="77777777" w:rsidR="00BF2561" w:rsidRDefault="00BF2561">
      <w:pPr>
        <w:pStyle w:val="BodyText"/>
        <w:spacing w:line="259" w:lineRule="auto"/>
        <w:ind w:left="120" w:right="115"/>
        <w:jc w:val="both"/>
      </w:pPr>
    </w:p>
    <w:p w14:paraId="489E1543" w14:textId="14978DC6" w:rsidR="007A43F3" w:rsidRDefault="00F4600E" w:rsidP="0059118B">
      <w:pPr>
        <w:pStyle w:val="BodyText"/>
        <w:spacing w:line="291" w:lineRule="exact"/>
        <w:ind w:left="120" w:firstLine="150"/>
        <w:jc w:val="both"/>
      </w:pPr>
      <w:r>
        <w:t xml:space="preserve">Telework employees shall continue to adhere to all applicable </w:t>
      </w:r>
      <w:r w:rsidR="004C55C7">
        <w:t>[AGENCY]</w:t>
      </w:r>
      <w:r>
        <w:t xml:space="preserve"> policies and procedures.</w:t>
      </w:r>
    </w:p>
    <w:sectPr w:rsidR="007A43F3">
      <w:headerReference w:type="default" r:id="rId8"/>
      <w:footerReference w:type="default" r:id="rId9"/>
      <w:pgSz w:w="12240" w:h="15840"/>
      <w:pgMar w:top="680" w:right="1320" w:bottom="1240" w:left="1320" w:header="0" w:footer="10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0CD1D" w14:textId="77777777" w:rsidR="007E3DAA" w:rsidRDefault="007E3DAA">
      <w:r>
        <w:separator/>
      </w:r>
    </w:p>
  </w:endnote>
  <w:endnote w:type="continuationSeparator" w:id="0">
    <w:p w14:paraId="24082A3D" w14:textId="77777777" w:rsidR="007E3DAA" w:rsidRDefault="007E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ABCC8" w14:textId="48FD59C6" w:rsidR="007A43F3" w:rsidRDefault="007A43F3">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181DE" w14:textId="77777777" w:rsidR="007E3DAA" w:rsidRDefault="007E3DAA">
      <w:r>
        <w:separator/>
      </w:r>
    </w:p>
  </w:footnote>
  <w:footnote w:type="continuationSeparator" w:id="0">
    <w:p w14:paraId="24BC1338" w14:textId="77777777" w:rsidR="007E3DAA" w:rsidRDefault="007E3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801D1" w14:textId="0104146B" w:rsidR="001721CC" w:rsidRPr="001721CC" w:rsidRDefault="001721CC">
    <w:pPr>
      <w:pStyle w:val="Header"/>
      <w:rPr>
        <w:b/>
        <w:sz w:val="20"/>
        <w:szCs w:val="20"/>
      </w:rPr>
    </w:pPr>
    <w:r w:rsidRPr="001721CC">
      <w:rPr>
        <w:b/>
        <w:sz w:val="20"/>
        <w:szCs w:val="20"/>
      </w:rPr>
      <w:t>GTARB TEMPLATE</w:t>
    </w:r>
  </w:p>
  <w:p w14:paraId="65978EE2" w14:textId="55764DA2" w:rsidR="001721CC" w:rsidRPr="001721CC" w:rsidRDefault="001721CC">
    <w:pPr>
      <w:pStyle w:val="Header"/>
      <w:rPr>
        <w:b/>
        <w:sz w:val="20"/>
        <w:szCs w:val="20"/>
      </w:rPr>
    </w:pPr>
    <w:r w:rsidRPr="001721CC">
      <w:rPr>
        <w:b/>
        <w:sz w:val="20"/>
        <w:szCs w:val="20"/>
      </w:rPr>
      <w:t>Agencies may modify to meet the agency’s specific needs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CB881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9C8F2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202C5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238D6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6E6E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7E76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0C04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B471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1AE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02BE9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F3"/>
    <w:rsid w:val="00122D8C"/>
    <w:rsid w:val="001721CC"/>
    <w:rsid w:val="00173072"/>
    <w:rsid w:val="00255C86"/>
    <w:rsid w:val="002A7341"/>
    <w:rsid w:val="004C55C7"/>
    <w:rsid w:val="0059118B"/>
    <w:rsid w:val="005C444C"/>
    <w:rsid w:val="005C73EC"/>
    <w:rsid w:val="00777226"/>
    <w:rsid w:val="0078436D"/>
    <w:rsid w:val="007A43F3"/>
    <w:rsid w:val="007D606E"/>
    <w:rsid w:val="007E3DAA"/>
    <w:rsid w:val="008F1ADB"/>
    <w:rsid w:val="00942332"/>
    <w:rsid w:val="00955F96"/>
    <w:rsid w:val="00992503"/>
    <w:rsid w:val="009C7EAF"/>
    <w:rsid w:val="009F294E"/>
    <w:rsid w:val="00A409F1"/>
    <w:rsid w:val="00A952AC"/>
    <w:rsid w:val="00B30834"/>
    <w:rsid w:val="00B4026D"/>
    <w:rsid w:val="00B7460F"/>
    <w:rsid w:val="00BA5554"/>
    <w:rsid w:val="00BF2561"/>
    <w:rsid w:val="00CE74D6"/>
    <w:rsid w:val="00D43E66"/>
    <w:rsid w:val="00E11EB2"/>
    <w:rsid w:val="00E6642D"/>
    <w:rsid w:val="00EE025C"/>
    <w:rsid w:val="00EE25F5"/>
    <w:rsid w:val="00EE62FD"/>
    <w:rsid w:val="00F1630C"/>
    <w:rsid w:val="00F4600E"/>
    <w:rsid w:val="00F62D15"/>
    <w:rsid w:val="00FF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121550"/>
  <w15:docId w15:val="{AFBCFDB9-539F-4B05-A733-EBD246D0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1630C"/>
    <w:rPr>
      <w:rFonts w:ascii="Calibri" w:eastAsia="Calibri" w:hAnsi="Calibri" w:cs="Calibri"/>
    </w:rPr>
  </w:style>
  <w:style w:type="paragraph" w:styleId="Heading1">
    <w:name w:val="heading 1"/>
    <w:basedOn w:val="Normal"/>
    <w:uiPriority w:val="1"/>
    <w:qFormat/>
    <w:rsid w:val="00F1630C"/>
    <w:pPr>
      <w:spacing w:before="45"/>
      <w:ind w:left="3771" w:right="3771"/>
      <w:jc w:val="center"/>
      <w:outlineLvl w:val="0"/>
    </w:pPr>
    <w:rPr>
      <w:b/>
      <w:sz w:val="28"/>
    </w:rPr>
  </w:style>
  <w:style w:type="paragraph" w:styleId="Heading2">
    <w:name w:val="heading 2"/>
    <w:basedOn w:val="Heading1"/>
    <w:next w:val="Normal"/>
    <w:link w:val="Heading2Char"/>
    <w:uiPriority w:val="9"/>
    <w:unhideWhenUsed/>
    <w:qFormat/>
    <w:rsid w:val="00F1630C"/>
    <w:pPr>
      <w:spacing w:before="52"/>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2" w:lineRule="exact"/>
      <w:ind w:left="102"/>
    </w:pPr>
  </w:style>
  <w:style w:type="paragraph" w:styleId="BalloonText">
    <w:name w:val="Balloon Text"/>
    <w:basedOn w:val="Normal"/>
    <w:link w:val="BalloonTextChar"/>
    <w:uiPriority w:val="99"/>
    <w:semiHidden/>
    <w:unhideWhenUsed/>
    <w:rsid w:val="007D60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06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E62FD"/>
    <w:rPr>
      <w:sz w:val="16"/>
      <w:szCs w:val="16"/>
    </w:rPr>
  </w:style>
  <w:style w:type="paragraph" w:styleId="CommentText">
    <w:name w:val="annotation text"/>
    <w:basedOn w:val="Normal"/>
    <w:link w:val="CommentTextChar"/>
    <w:uiPriority w:val="99"/>
    <w:semiHidden/>
    <w:unhideWhenUsed/>
    <w:rsid w:val="00EE62FD"/>
    <w:rPr>
      <w:sz w:val="20"/>
      <w:szCs w:val="20"/>
    </w:rPr>
  </w:style>
  <w:style w:type="character" w:customStyle="1" w:styleId="CommentTextChar">
    <w:name w:val="Comment Text Char"/>
    <w:basedOn w:val="DefaultParagraphFont"/>
    <w:link w:val="CommentText"/>
    <w:uiPriority w:val="99"/>
    <w:semiHidden/>
    <w:rsid w:val="00EE62F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E62FD"/>
    <w:rPr>
      <w:b/>
      <w:bCs/>
    </w:rPr>
  </w:style>
  <w:style w:type="character" w:customStyle="1" w:styleId="CommentSubjectChar">
    <w:name w:val="Comment Subject Char"/>
    <w:basedOn w:val="CommentTextChar"/>
    <w:link w:val="CommentSubject"/>
    <w:uiPriority w:val="99"/>
    <w:semiHidden/>
    <w:rsid w:val="00EE62FD"/>
    <w:rPr>
      <w:rFonts w:ascii="Calibri" w:eastAsia="Calibri" w:hAnsi="Calibri" w:cs="Calibri"/>
      <w:b/>
      <w:bCs/>
      <w:sz w:val="20"/>
      <w:szCs w:val="20"/>
    </w:rPr>
  </w:style>
  <w:style w:type="character" w:customStyle="1" w:styleId="Heading2Char">
    <w:name w:val="Heading 2 Char"/>
    <w:basedOn w:val="DefaultParagraphFont"/>
    <w:link w:val="Heading2"/>
    <w:uiPriority w:val="9"/>
    <w:rsid w:val="00F1630C"/>
    <w:rPr>
      <w:rFonts w:ascii="Calibri" w:eastAsia="Calibri" w:hAnsi="Calibri" w:cs="Calibri"/>
      <w:b/>
      <w:sz w:val="28"/>
    </w:rPr>
  </w:style>
  <w:style w:type="paragraph" w:styleId="BlockText">
    <w:name w:val="Block Text"/>
    <w:basedOn w:val="BodyText"/>
    <w:uiPriority w:val="99"/>
    <w:unhideWhenUsed/>
    <w:rsid w:val="00F1630C"/>
    <w:pPr>
      <w:spacing w:before="5"/>
      <w:jc w:val="center"/>
    </w:pPr>
    <w:rPr>
      <w:rFonts w:asciiTheme="minorHAnsi" w:hAnsiTheme="minorHAnsi"/>
      <w:b/>
    </w:rPr>
  </w:style>
  <w:style w:type="character" w:customStyle="1" w:styleId="BodyTextChar">
    <w:name w:val="Body Text Char"/>
    <w:basedOn w:val="DefaultParagraphFont"/>
    <w:link w:val="BodyText"/>
    <w:uiPriority w:val="1"/>
    <w:rsid w:val="00F1630C"/>
    <w:rPr>
      <w:rFonts w:ascii="Calibri" w:eastAsia="Calibri" w:hAnsi="Calibri" w:cs="Calibri"/>
      <w:sz w:val="24"/>
      <w:szCs w:val="24"/>
    </w:rPr>
  </w:style>
  <w:style w:type="paragraph" w:styleId="Header">
    <w:name w:val="header"/>
    <w:basedOn w:val="Normal"/>
    <w:link w:val="HeaderChar"/>
    <w:uiPriority w:val="99"/>
    <w:unhideWhenUsed/>
    <w:rsid w:val="001721CC"/>
    <w:pPr>
      <w:tabs>
        <w:tab w:val="center" w:pos="4680"/>
        <w:tab w:val="right" w:pos="9360"/>
      </w:tabs>
    </w:pPr>
  </w:style>
  <w:style w:type="character" w:customStyle="1" w:styleId="HeaderChar">
    <w:name w:val="Header Char"/>
    <w:basedOn w:val="DefaultParagraphFont"/>
    <w:link w:val="Header"/>
    <w:uiPriority w:val="99"/>
    <w:rsid w:val="001721CC"/>
    <w:rPr>
      <w:rFonts w:ascii="Calibri" w:eastAsia="Calibri" w:hAnsi="Calibri" w:cs="Calibri"/>
    </w:rPr>
  </w:style>
  <w:style w:type="paragraph" w:styleId="Footer">
    <w:name w:val="footer"/>
    <w:basedOn w:val="Normal"/>
    <w:link w:val="FooterChar"/>
    <w:uiPriority w:val="99"/>
    <w:unhideWhenUsed/>
    <w:rsid w:val="001721CC"/>
    <w:pPr>
      <w:tabs>
        <w:tab w:val="center" w:pos="4680"/>
        <w:tab w:val="right" w:pos="9360"/>
      </w:tabs>
    </w:pPr>
  </w:style>
  <w:style w:type="character" w:customStyle="1" w:styleId="FooterChar">
    <w:name w:val="Footer Char"/>
    <w:basedOn w:val="DefaultParagraphFont"/>
    <w:link w:val="Footer"/>
    <w:uiPriority w:val="99"/>
    <w:rsid w:val="001721C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9D1C7-5868-4C8A-8B6A-B0E90386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Telework Policy</vt:lpstr>
    </vt:vector>
  </TitlesOfParts>
  <Company>State of Oklahoma</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Telework Policy Template.</dc:title>
  <dc:subject>GTARB template for policy on telework.</dc:subject>
  <dc:creator>Carrie Towery</dc:creator>
  <cp:keywords>"policy, GTARB, telework, office, management, enterprise, services"</cp:keywords>
  <cp:lastModifiedBy>Jake Lowrey</cp:lastModifiedBy>
  <cp:revision>6</cp:revision>
  <dcterms:created xsi:type="dcterms:W3CDTF">2018-12-10T23:53:00Z</dcterms:created>
  <dcterms:modified xsi:type="dcterms:W3CDTF">2018-12-12T22:58:00Z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2016-05-10T00:00:00Z</vt:filetime>
  </property>
  <property fmtid="{D5CDD505-2E9C-101B-9397-08002B2CF9AE}" pid="3" name="Creator">
    <vt:lpwstr>Acrobat PDFMaker 11 for Word</vt:lpwstr>
  </property>
  <property fmtid="{D5CDD505-2E9C-101B-9397-08002B2CF9AE}" pid="4" name="LastSaved">
    <vt:filetime>2018-08-27T00:00:00Z</vt:filetime>
  </property>
  <property fmtid="{D5CDD505-2E9C-101B-9397-08002B2CF9AE}" pid="5" name="Language">
    <vt:lpwstr>English</vt:lpwstr>
  </property>
</Properties>
</file>