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36946" w14:textId="115CB634" w:rsidR="00505F02" w:rsidRPr="00221D33" w:rsidRDefault="00505F02" w:rsidP="004C65C1">
      <w:pPr>
        <w:ind w:left="10"/>
        <w:jc w:val="center"/>
        <w:rPr>
          <w:rFonts w:ascii="Arial" w:hAnsi="Arial" w:cs="Arial"/>
          <w:b/>
          <w:sz w:val="28"/>
        </w:rPr>
      </w:pPr>
      <w:r w:rsidRPr="00221D33">
        <w:rPr>
          <w:rFonts w:ascii="Arial" w:hAnsi="Arial" w:cs="Arial"/>
          <w:b/>
          <w:sz w:val="28"/>
        </w:rPr>
        <w:t>Exhibit 12</w:t>
      </w:r>
    </w:p>
    <w:p w14:paraId="554F8BBC" w14:textId="6E677B10" w:rsidR="00505F02" w:rsidRPr="00221D33" w:rsidRDefault="00505F02" w:rsidP="004C65C1">
      <w:pPr>
        <w:ind w:left="10"/>
        <w:jc w:val="center"/>
        <w:rPr>
          <w:rFonts w:ascii="Arial" w:hAnsi="Arial" w:cs="Arial"/>
          <w:b/>
          <w:sz w:val="28"/>
        </w:rPr>
      </w:pPr>
      <w:r w:rsidRPr="00221D33">
        <w:rPr>
          <w:rFonts w:ascii="Arial" w:hAnsi="Arial" w:cs="Arial"/>
          <w:b/>
          <w:sz w:val="28"/>
        </w:rPr>
        <w:t>Minimum Required Reporting List</w:t>
      </w:r>
    </w:p>
    <w:p w14:paraId="7DE433DC" w14:textId="14E13E9A" w:rsidR="00505F02" w:rsidRPr="00221D33" w:rsidRDefault="00505F02" w:rsidP="00E34B60">
      <w:pPr>
        <w:ind w:left="10"/>
        <w:jc w:val="center"/>
        <w:rPr>
          <w:rFonts w:ascii="Arial" w:hAnsi="Arial" w:cs="Arial"/>
          <w:sz w:val="22"/>
        </w:rPr>
      </w:pPr>
      <w:r w:rsidRPr="00221D33">
        <w:rPr>
          <w:rFonts w:ascii="Arial" w:hAnsi="Arial" w:cs="Arial"/>
          <w:b/>
        </w:rPr>
        <w:t>OEIBA Program</w:t>
      </w:r>
    </w:p>
    <w:p w14:paraId="36A685DE" w14:textId="77777777" w:rsidR="00505F02" w:rsidRPr="00221D33" w:rsidRDefault="00505F02" w:rsidP="004C65C1">
      <w:pPr>
        <w:ind w:left="10"/>
        <w:rPr>
          <w:rFonts w:ascii="Arial" w:hAnsi="Arial" w:cs="Arial"/>
          <w:b/>
          <w:sz w:val="22"/>
        </w:rPr>
      </w:pPr>
      <w:r w:rsidRPr="00221D33">
        <w:rPr>
          <w:rFonts w:ascii="Arial" w:hAnsi="Arial" w:cs="Arial"/>
          <w:b/>
          <w:sz w:val="22"/>
        </w:rPr>
        <w:t>Notes:</w:t>
      </w:r>
    </w:p>
    <w:p w14:paraId="4513698C" w14:textId="77777777" w:rsidR="00505F02" w:rsidRPr="00221D33" w:rsidRDefault="00505F02" w:rsidP="00C6799D">
      <w:pPr>
        <w:pStyle w:val="ListParagraph"/>
        <w:numPr>
          <w:ilvl w:val="0"/>
          <w:numId w:val="1"/>
        </w:numPr>
        <w:jc w:val="left"/>
        <w:rPr>
          <w:rFonts w:ascii="Arial" w:hAnsi="Arial" w:cs="Arial"/>
          <w:sz w:val="22"/>
        </w:rPr>
      </w:pPr>
      <w:r w:rsidRPr="00221D33">
        <w:rPr>
          <w:rFonts w:ascii="Arial" w:hAnsi="Arial" w:cs="Arial"/>
          <w:sz w:val="22"/>
        </w:rPr>
        <w:t>Each report must be customized specifically for the OEIBA Program.</w:t>
      </w:r>
    </w:p>
    <w:p w14:paraId="4AD8BB16" w14:textId="0247D4CE" w:rsidR="00505F02" w:rsidRPr="00221D33" w:rsidRDefault="00505F02" w:rsidP="00C6799D">
      <w:pPr>
        <w:pStyle w:val="ListParagraph"/>
        <w:numPr>
          <w:ilvl w:val="0"/>
          <w:numId w:val="1"/>
        </w:numPr>
        <w:jc w:val="left"/>
        <w:rPr>
          <w:rFonts w:ascii="Arial" w:hAnsi="Arial" w:cs="Arial"/>
          <w:sz w:val="22"/>
        </w:rPr>
      </w:pPr>
      <w:r w:rsidRPr="00221D33">
        <w:rPr>
          <w:rFonts w:ascii="Arial" w:hAnsi="Arial" w:cs="Arial"/>
          <w:sz w:val="22"/>
        </w:rPr>
        <w:t xml:space="preserve">Separate </w:t>
      </w:r>
      <w:r w:rsidR="00E34B60" w:rsidRPr="00221D33">
        <w:rPr>
          <w:rFonts w:ascii="Arial" w:hAnsi="Arial" w:cs="Arial"/>
          <w:sz w:val="22"/>
        </w:rPr>
        <w:t>n</w:t>
      </w:r>
      <w:r w:rsidRPr="00221D33">
        <w:rPr>
          <w:rFonts w:ascii="Arial" w:hAnsi="Arial" w:cs="Arial"/>
          <w:sz w:val="22"/>
        </w:rPr>
        <w:t xml:space="preserve">etwork reports </w:t>
      </w:r>
      <w:r w:rsidR="000C0163">
        <w:rPr>
          <w:rFonts w:ascii="Arial" w:hAnsi="Arial" w:cs="Arial"/>
          <w:sz w:val="22"/>
        </w:rPr>
        <w:t xml:space="preserve">(Exhibits 15 and 17) </w:t>
      </w:r>
      <w:r w:rsidRPr="00221D33">
        <w:rPr>
          <w:rFonts w:ascii="Arial" w:hAnsi="Arial" w:cs="Arial"/>
          <w:sz w:val="22"/>
        </w:rPr>
        <w:t xml:space="preserve">are required for each dental plan offered by Supplier. </w:t>
      </w:r>
    </w:p>
    <w:p w14:paraId="068E2F02" w14:textId="3C8EE625" w:rsidR="00505F02" w:rsidRPr="00221D33" w:rsidRDefault="00590278" w:rsidP="00C6799D">
      <w:pPr>
        <w:pStyle w:val="ListParagraph"/>
        <w:numPr>
          <w:ilvl w:val="1"/>
          <w:numId w:val="1"/>
        </w:numPr>
        <w:jc w:val="left"/>
        <w:rPr>
          <w:rFonts w:ascii="Arial" w:hAnsi="Arial" w:cs="Arial"/>
          <w:sz w:val="22"/>
        </w:rPr>
      </w:pPr>
      <w:r>
        <w:rPr>
          <w:rFonts w:ascii="Arial" w:hAnsi="Arial" w:cs="Arial"/>
          <w:sz w:val="22"/>
        </w:rPr>
        <w:t>Example: I</w:t>
      </w:r>
      <w:r w:rsidR="00505F02" w:rsidRPr="00221D33">
        <w:rPr>
          <w:rFonts w:ascii="Arial" w:hAnsi="Arial" w:cs="Arial"/>
          <w:sz w:val="22"/>
        </w:rPr>
        <w:t xml:space="preserve">f Supplier has two PPOs within the OEIBA Program, Supplier must provide one Exhibit 15a for the first dental PPO plan and another Exhibit 15a for the second dental PPO plan within the same </w:t>
      </w:r>
      <w:r w:rsidR="00E34B60" w:rsidRPr="00221D33">
        <w:rPr>
          <w:rFonts w:ascii="Arial" w:hAnsi="Arial" w:cs="Arial"/>
          <w:sz w:val="22"/>
        </w:rPr>
        <w:t xml:space="preserve">Excel </w:t>
      </w:r>
      <w:r w:rsidR="00505F02" w:rsidRPr="00221D33">
        <w:rPr>
          <w:rFonts w:ascii="Arial" w:hAnsi="Arial" w:cs="Arial"/>
          <w:sz w:val="22"/>
        </w:rPr>
        <w:t xml:space="preserve">workbook. </w:t>
      </w:r>
    </w:p>
    <w:p w14:paraId="445F5D2F" w14:textId="320D89B7" w:rsidR="004B1812" w:rsidRDefault="00505F02" w:rsidP="004B1812">
      <w:pPr>
        <w:pStyle w:val="ListParagraph"/>
        <w:numPr>
          <w:ilvl w:val="0"/>
          <w:numId w:val="1"/>
        </w:numPr>
        <w:jc w:val="left"/>
        <w:rPr>
          <w:rFonts w:ascii="Arial" w:hAnsi="Arial" w:cs="Arial"/>
          <w:sz w:val="22"/>
        </w:rPr>
      </w:pPr>
      <w:r w:rsidRPr="00221D33">
        <w:rPr>
          <w:rFonts w:ascii="Arial" w:hAnsi="Arial" w:cs="Arial"/>
          <w:sz w:val="22"/>
        </w:rPr>
        <w:t xml:space="preserve">Reports should be </w:t>
      </w:r>
      <w:r w:rsidR="004B1812">
        <w:rPr>
          <w:rFonts w:ascii="Arial" w:hAnsi="Arial" w:cs="Arial"/>
          <w:sz w:val="22"/>
        </w:rPr>
        <w:t xml:space="preserve">delivered </w:t>
      </w:r>
      <w:r w:rsidR="004B1812" w:rsidRPr="004B1812">
        <w:rPr>
          <w:rFonts w:ascii="Arial" w:hAnsi="Arial" w:cs="Arial"/>
          <w:sz w:val="22"/>
        </w:rPr>
        <w:t>in the exact format, frequency, timeframe and to the intended recipient</w:t>
      </w:r>
      <w:r w:rsidR="004B1812">
        <w:rPr>
          <w:rFonts w:ascii="Arial" w:hAnsi="Arial" w:cs="Arial"/>
          <w:sz w:val="22"/>
        </w:rPr>
        <w:t xml:space="preserve"> unless noted in Negotiated Exceptions, Section F of Solicitation </w:t>
      </w:r>
      <w:r w:rsidR="004B1812" w:rsidRPr="004B1812">
        <w:rPr>
          <w:rFonts w:ascii="Arial" w:hAnsi="Arial" w:cs="Arial"/>
          <w:sz w:val="22"/>
        </w:rPr>
        <w:t>0900000435</w:t>
      </w:r>
      <w:r w:rsidR="004B1812">
        <w:rPr>
          <w:rFonts w:ascii="Arial" w:hAnsi="Arial" w:cs="Arial"/>
          <w:sz w:val="22"/>
        </w:rPr>
        <w:t>.</w:t>
      </w:r>
    </w:p>
    <w:p w14:paraId="2A03D2EC" w14:textId="4C68F5AA" w:rsidR="00505F02" w:rsidRPr="00221D33" w:rsidRDefault="00505F02" w:rsidP="004B1812">
      <w:pPr>
        <w:pStyle w:val="ListParagraph"/>
        <w:numPr>
          <w:ilvl w:val="0"/>
          <w:numId w:val="1"/>
        </w:numPr>
        <w:jc w:val="left"/>
        <w:rPr>
          <w:rFonts w:ascii="Arial" w:hAnsi="Arial" w:cs="Arial"/>
          <w:sz w:val="22"/>
        </w:rPr>
      </w:pPr>
      <w:r w:rsidRPr="00221D33">
        <w:rPr>
          <w:rFonts w:ascii="Arial" w:hAnsi="Arial" w:cs="Arial"/>
          <w:sz w:val="22"/>
        </w:rPr>
        <w:t>Lack of providing all required data could lead to noncompliance and breach of contract.</w:t>
      </w:r>
    </w:p>
    <w:p w14:paraId="56BD9A4D" w14:textId="4A407594" w:rsidR="00505F02" w:rsidRPr="00221D33" w:rsidRDefault="00505F02" w:rsidP="00C6799D">
      <w:pPr>
        <w:pStyle w:val="ListParagraph"/>
        <w:numPr>
          <w:ilvl w:val="0"/>
          <w:numId w:val="1"/>
        </w:numPr>
        <w:jc w:val="left"/>
        <w:rPr>
          <w:rFonts w:ascii="Arial" w:hAnsi="Arial" w:cs="Arial"/>
          <w:sz w:val="22"/>
        </w:rPr>
      </w:pPr>
      <w:r w:rsidRPr="00221D33">
        <w:rPr>
          <w:rFonts w:ascii="Arial" w:hAnsi="Arial" w:cs="Arial"/>
          <w:sz w:val="22"/>
        </w:rPr>
        <w:t xml:space="preserve">Reports must be submitted by due date. If due date falls on a weekend or holiday, the due date is moved to the next business day. </w:t>
      </w:r>
    </w:p>
    <w:p w14:paraId="6B83C784" w14:textId="03500FA9" w:rsidR="00505F02" w:rsidRPr="00221D33" w:rsidRDefault="00505F02" w:rsidP="00C6799D">
      <w:pPr>
        <w:pStyle w:val="ListParagraph"/>
        <w:numPr>
          <w:ilvl w:val="0"/>
          <w:numId w:val="1"/>
        </w:numPr>
        <w:jc w:val="left"/>
        <w:rPr>
          <w:rFonts w:ascii="Arial" w:hAnsi="Arial" w:cs="Arial"/>
          <w:sz w:val="22"/>
        </w:rPr>
      </w:pPr>
      <w:r w:rsidRPr="00221D33">
        <w:rPr>
          <w:rFonts w:ascii="Arial" w:hAnsi="Arial" w:cs="Arial"/>
          <w:sz w:val="22"/>
        </w:rPr>
        <w:t xml:space="preserve">All reports should </w:t>
      </w:r>
      <w:r w:rsidR="00B956DF">
        <w:rPr>
          <w:rFonts w:ascii="Arial" w:hAnsi="Arial" w:cs="Arial"/>
          <w:sz w:val="22"/>
        </w:rPr>
        <w:t>be submitted electronically by</w:t>
      </w:r>
      <w:r w:rsidRPr="00221D33">
        <w:rPr>
          <w:rFonts w:ascii="Arial" w:hAnsi="Arial" w:cs="Arial"/>
          <w:sz w:val="22"/>
        </w:rPr>
        <w:t xml:space="preserve"> secure email domain. No additional security is necessary when a Supplier emails reports using the secure email domain. Reports sent which require additional security login access will not be accepted by EGID.</w:t>
      </w:r>
    </w:p>
    <w:p w14:paraId="398A0512" w14:textId="2DFDD061" w:rsidR="00505F02" w:rsidRPr="00221D33" w:rsidRDefault="00505F02" w:rsidP="00C6799D">
      <w:pPr>
        <w:pStyle w:val="ListParagraph"/>
        <w:numPr>
          <w:ilvl w:val="1"/>
          <w:numId w:val="1"/>
        </w:numPr>
        <w:spacing w:line="240" w:lineRule="auto"/>
        <w:jc w:val="left"/>
        <w:rPr>
          <w:rFonts w:ascii="Arial" w:hAnsi="Arial" w:cs="Arial"/>
          <w:sz w:val="22"/>
        </w:rPr>
      </w:pPr>
      <w:r w:rsidRPr="00221D33">
        <w:rPr>
          <w:rFonts w:ascii="Arial" w:hAnsi="Arial" w:cs="Arial"/>
          <w:sz w:val="22"/>
        </w:rPr>
        <w:t xml:space="preserve">Exhibit 13 should be sent to: </w:t>
      </w:r>
      <w:hyperlink r:id="rId6" w:history="1">
        <w:r w:rsidRPr="00221D33">
          <w:rPr>
            <w:rFonts w:ascii="Arial" w:hAnsi="Arial" w:cs="Arial"/>
            <w:sz w:val="22"/>
          </w:rPr>
          <w:t>EGID-General_Ledger_Unit@omes.ok.gov</w:t>
        </w:r>
      </w:hyperlink>
    </w:p>
    <w:p w14:paraId="073FFF3D" w14:textId="3AEA0FDD" w:rsidR="00505F02" w:rsidRPr="00221D33" w:rsidRDefault="00505F02" w:rsidP="00C6799D">
      <w:pPr>
        <w:pStyle w:val="ListParagraph"/>
        <w:numPr>
          <w:ilvl w:val="1"/>
          <w:numId w:val="1"/>
        </w:numPr>
        <w:jc w:val="left"/>
        <w:rPr>
          <w:rFonts w:ascii="Arial" w:hAnsi="Arial" w:cs="Arial"/>
          <w:sz w:val="22"/>
        </w:rPr>
      </w:pPr>
      <w:r w:rsidRPr="00221D33">
        <w:rPr>
          <w:rFonts w:ascii="Arial" w:hAnsi="Arial" w:cs="Arial"/>
          <w:sz w:val="22"/>
        </w:rPr>
        <w:t xml:space="preserve">Exhibits 14-19 should be sent to: </w:t>
      </w:r>
      <w:hyperlink r:id="rId7" w:history="1">
        <w:r w:rsidRPr="00221D33">
          <w:rPr>
            <w:rFonts w:ascii="Arial" w:hAnsi="Arial" w:cs="Arial"/>
            <w:sz w:val="22"/>
          </w:rPr>
          <w:t>EGIDVendorReporting@omes.ok.gov</w:t>
        </w:r>
      </w:hyperlink>
    </w:p>
    <w:p w14:paraId="7C9041B3" w14:textId="2781CAE6" w:rsidR="00505F02" w:rsidRPr="00221D33" w:rsidRDefault="00E34B60" w:rsidP="00C6799D">
      <w:pPr>
        <w:pStyle w:val="ListParagraph"/>
        <w:numPr>
          <w:ilvl w:val="1"/>
          <w:numId w:val="1"/>
        </w:numPr>
        <w:jc w:val="left"/>
        <w:rPr>
          <w:rFonts w:ascii="Arial" w:hAnsi="Arial" w:cs="Arial"/>
          <w:sz w:val="22"/>
        </w:rPr>
      </w:pPr>
      <w:r w:rsidRPr="00221D33">
        <w:rPr>
          <w:rFonts w:ascii="Arial" w:hAnsi="Arial" w:cs="Arial"/>
          <w:sz w:val="22"/>
        </w:rPr>
        <w:t>Exhibit</w:t>
      </w:r>
      <w:r w:rsidR="0088681F">
        <w:rPr>
          <w:rFonts w:ascii="Arial" w:hAnsi="Arial" w:cs="Arial"/>
          <w:sz w:val="22"/>
        </w:rPr>
        <w:t xml:space="preserve"> 18A i</w:t>
      </w:r>
      <w:r w:rsidRPr="00221D33">
        <w:rPr>
          <w:rFonts w:ascii="Arial" w:hAnsi="Arial" w:cs="Arial"/>
          <w:sz w:val="22"/>
        </w:rPr>
        <w:t>s for Supplier’s ref</w:t>
      </w:r>
      <w:r w:rsidR="0088681F">
        <w:rPr>
          <w:rFonts w:ascii="Arial" w:hAnsi="Arial" w:cs="Arial"/>
          <w:sz w:val="22"/>
        </w:rPr>
        <w:t>erence. Exhibit 18B</w:t>
      </w:r>
      <w:r w:rsidRPr="00221D33">
        <w:rPr>
          <w:rFonts w:ascii="Arial" w:hAnsi="Arial" w:cs="Arial"/>
          <w:sz w:val="22"/>
        </w:rPr>
        <w:t xml:space="preserve"> </w:t>
      </w:r>
      <w:r w:rsidR="00505F02" w:rsidRPr="00221D33">
        <w:rPr>
          <w:rFonts w:ascii="Arial" w:hAnsi="Arial" w:cs="Arial"/>
          <w:sz w:val="22"/>
        </w:rPr>
        <w:t>should be sent to: Diana.O</w:t>
      </w:r>
      <w:r w:rsidR="000C2101">
        <w:rPr>
          <w:rFonts w:ascii="Arial" w:hAnsi="Arial" w:cs="Arial"/>
          <w:sz w:val="22"/>
        </w:rPr>
        <w:t>N</w:t>
      </w:r>
      <w:r w:rsidR="00505F02" w:rsidRPr="00221D33">
        <w:rPr>
          <w:rFonts w:ascii="Arial" w:hAnsi="Arial" w:cs="Arial"/>
          <w:sz w:val="22"/>
        </w:rPr>
        <w:t>eal@omes.ok.gov</w:t>
      </w:r>
    </w:p>
    <w:p w14:paraId="6762B0B7" w14:textId="656BF93A" w:rsidR="00505F02" w:rsidRPr="00221D33" w:rsidRDefault="00E34B60" w:rsidP="00C6799D">
      <w:pPr>
        <w:pStyle w:val="ListParagraph"/>
        <w:numPr>
          <w:ilvl w:val="0"/>
          <w:numId w:val="1"/>
        </w:numPr>
        <w:jc w:val="left"/>
        <w:rPr>
          <w:rFonts w:ascii="Arial" w:hAnsi="Arial" w:cs="Arial"/>
          <w:sz w:val="22"/>
        </w:rPr>
      </w:pPr>
      <w:r w:rsidRPr="00221D33">
        <w:rPr>
          <w:rFonts w:ascii="Arial" w:hAnsi="Arial" w:cs="Arial"/>
          <w:sz w:val="22"/>
        </w:rPr>
        <w:t>R</w:t>
      </w:r>
      <w:r w:rsidR="00505F02" w:rsidRPr="00221D33">
        <w:rPr>
          <w:rFonts w:ascii="Arial" w:hAnsi="Arial" w:cs="Arial"/>
          <w:sz w:val="22"/>
        </w:rPr>
        <w:t>eport files should be</w:t>
      </w:r>
      <w:r w:rsidRPr="00221D33">
        <w:rPr>
          <w:rFonts w:ascii="Arial" w:hAnsi="Arial" w:cs="Arial"/>
          <w:sz w:val="22"/>
        </w:rPr>
        <w:t xml:space="preserve"> saved to include the following information</w:t>
      </w:r>
      <w:r w:rsidR="004B1812">
        <w:rPr>
          <w:rFonts w:ascii="Arial" w:hAnsi="Arial" w:cs="Arial"/>
          <w:sz w:val="22"/>
        </w:rPr>
        <w:t>: Supplier n</w:t>
      </w:r>
      <w:r w:rsidR="00505F02" w:rsidRPr="00221D33">
        <w:rPr>
          <w:rFonts w:ascii="Arial" w:hAnsi="Arial" w:cs="Arial"/>
          <w:sz w:val="22"/>
        </w:rPr>
        <w:t>ame, month</w:t>
      </w:r>
      <w:r w:rsidR="00F93166">
        <w:rPr>
          <w:rFonts w:ascii="Arial" w:hAnsi="Arial" w:cs="Arial"/>
          <w:sz w:val="22"/>
        </w:rPr>
        <w:t>/quarter/year</w:t>
      </w:r>
      <w:r w:rsidR="00505F02" w:rsidRPr="00221D33">
        <w:rPr>
          <w:rFonts w:ascii="Arial" w:hAnsi="Arial" w:cs="Arial"/>
          <w:sz w:val="22"/>
        </w:rPr>
        <w:t xml:space="preserve"> being reported, </w:t>
      </w:r>
      <w:r w:rsidR="004B1812">
        <w:rPr>
          <w:rFonts w:ascii="Arial" w:hAnsi="Arial" w:cs="Arial"/>
          <w:sz w:val="22"/>
        </w:rPr>
        <w:t>and r</w:t>
      </w:r>
      <w:r w:rsidRPr="00221D33">
        <w:rPr>
          <w:rFonts w:ascii="Arial" w:hAnsi="Arial" w:cs="Arial"/>
          <w:sz w:val="22"/>
        </w:rPr>
        <w:t xml:space="preserve">eport </w:t>
      </w:r>
      <w:r w:rsidR="004B1812">
        <w:rPr>
          <w:rFonts w:ascii="Arial" w:hAnsi="Arial" w:cs="Arial"/>
          <w:sz w:val="22"/>
        </w:rPr>
        <w:t>n</w:t>
      </w:r>
      <w:r w:rsidRPr="00221D33">
        <w:rPr>
          <w:rFonts w:ascii="Arial" w:hAnsi="Arial" w:cs="Arial"/>
          <w:sz w:val="22"/>
        </w:rPr>
        <w:t>ame</w:t>
      </w:r>
      <w:r w:rsidR="00F93166">
        <w:rPr>
          <w:rFonts w:ascii="Arial" w:hAnsi="Arial" w:cs="Arial"/>
          <w:sz w:val="22"/>
        </w:rPr>
        <w:t>.</w:t>
      </w:r>
    </w:p>
    <w:p w14:paraId="35ECCE0E" w14:textId="71A55FD5" w:rsidR="00547F91" w:rsidRPr="00221D33" w:rsidRDefault="00547F91" w:rsidP="00E34B60">
      <w:pPr>
        <w:ind w:left="0" w:firstLine="0"/>
        <w:rPr>
          <w:rFonts w:ascii="Arial" w:hAnsi="Arial" w:cs="Arial"/>
          <w:sz w:val="22"/>
        </w:rPr>
      </w:pPr>
    </w:p>
    <w:tbl>
      <w:tblPr>
        <w:tblW w:w="12860" w:type="dxa"/>
        <w:tblLook w:val="04A0" w:firstRow="1" w:lastRow="0" w:firstColumn="1" w:lastColumn="0" w:noHBand="0" w:noVBand="1"/>
      </w:tblPr>
      <w:tblGrid>
        <w:gridCol w:w="1240"/>
        <w:gridCol w:w="1427"/>
        <w:gridCol w:w="2838"/>
        <w:gridCol w:w="4385"/>
        <w:gridCol w:w="2970"/>
      </w:tblGrid>
      <w:tr w:rsidR="00085776" w:rsidRPr="00221D33" w14:paraId="23611BAB" w14:textId="77777777" w:rsidTr="00B54D4D">
        <w:trPr>
          <w:trHeight w:val="330"/>
        </w:trPr>
        <w:tc>
          <w:tcPr>
            <w:tcW w:w="12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8A9C986" w14:textId="77777777" w:rsidR="00547F91" w:rsidRPr="00547F91" w:rsidRDefault="00547F91" w:rsidP="00547F91">
            <w:pPr>
              <w:spacing w:after="0" w:line="240" w:lineRule="auto"/>
              <w:ind w:left="0" w:right="0" w:firstLine="0"/>
              <w:jc w:val="left"/>
              <w:rPr>
                <w:rFonts w:ascii="Arial" w:hAnsi="Arial" w:cs="Arial"/>
                <w:b/>
                <w:bCs/>
                <w:sz w:val="22"/>
              </w:rPr>
            </w:pPr>
            <w:r w:rsidRPr="00547F91">
              <w:rPr>
                <w:rFonts w:ascii="Arial" w:hAnsi="Arial" w:cs="Arial"/>
                <w:b/>
                <w:bCs/>
                <w:sz w:val="22"/>
              </w:rPr>
              <w:t>Report</w:t>
            </w:r>
          </w:p>
        </w:tc>
        <w:tc>
          <w:tcPr>
            <w:tcW w:w="1427" w:type="dxa"/>
            <w:tcBorders>
              <w:top w:val="single" w:sz="8" w:space="0" w:color="auto"/>
              <w:left w:val="nil"/>
              <w:bottom w:val="single" w:sz="8" w:space="0" w:color="auto"/>
              <w:right w:val="single" w:sz="4" w:space="0" w:color="auto"/>
            </w:tcBorders>
            <w:shd w:val="clear" w:color="auto" w:fill="auto"/>
            <w:vAlign w:val="center"/>
            <w:hideMark/>
          </w:tcPr>
          <w:p w14:paraId="04A4FCBD" w14:textId="77777777" w:rsidR="00547F91" w:rsidRPr="00547F91" w:rsidRDefault="00547F91" w:rsidP="00547F91">
            <w:pPr>
              <w:spacing w:after="0" w:line="240" w:lineRule="auto"/>
              <w:ind w:left="0" w:right="0" w:firstLine="0"/>
              <w:jc w:val="left"/>
              <w:rPr>
                <w:rFonts w:ascii="Arial" w:hAnsi="Arial" w:cs="Arial"/>
                <w:b/>
                <w:bCs/>
                <w:sz w:val="22"/>
              </w:rPr>
            </w:pPr>
            <w:r w:rsidRPr="00547F91">
              <w:rPr>
                <w:rFonts w:ascii="Arial" w:hAnsi="Arial" w:cs="Arial"/>
                <w:b/>
                <w:bCs/>
                <w:sz w:val="22"/>
              </w:rPr>
              <w:t>Frequency</w:t>
            </w:r>
          </w:p>
        </w:tc>
        <w:tc>
          <w:tcPr>
            <w:tcW w:w="2838" w:type="dxa"/>
            <w:tcBorders>
              <w:top w:val="single" w:sz="8" w:space="0" w:color="auto"/>
              <w:left w:val="nil"/>
              <w:bottom w:val="single" w:sz="8" w:space="0" w:color="auto"/>
              <w:right w:val="single" w:sz="4" w:space="0" w:color="auto"/>
            </w:tcBorders>
            <w:shd w:val="clear" w:color="auto" w:fill="auto"/>
            <w:vAlign w:val="center"/>
            <w:hideMark/>
          </w:tcPr>
          <w:p w14:paraId="48809715" w14:textId="77777777" w:rsidR="00547F91" w:rsidRPr="00547F91" w:rsidRDefault="00547F91" w:rsidP="00547F91">
            <w:pPr>
              <w:spacing w:after="0" w:line="240" w:lineRule="auto"/>
              <w:ind w:left="0" w:right="0" w:firstLine="0"/>
              <w:jc w:val="left"/>
              <w:rPr>
                <w:rFonts w:ascii="Arial" w:hAnsi="Arial" w:cs="Arial"/>
                <w:b/>
                <w:bCs/>
                <w:sz w:val="22"/>
              </w:rPr>
            </w:pPr>
            <w:r w:rsidRPr="00547F91">
              <w:rPr>
                <w:rFonts w:ascii="Arial" w:hAnsi="Arial" w:cs="Arial"/>
                <w:b/>
                <w:bCs/>
                <w:sz w:val="22"/>
              </w:rPr>
              <w:t>Report Name</w:t>
            </w:r>
          </w:p>
        </w:tc>
        <w:tc>
          <w:tcPr>
            <w:tcW w:w="4385" w:type="dxa"/>
            <w:tcBorders>
              <w:top w:val="single" w:sz="8" w:space="0" w:color="auto"/>
              <w:left w:val="nil"/>
              <w:bottom w:val="single" w:sz="8" w:space="0" w:color="auto"/>
              <w:right w:val="single" w:sz="4" w:space="0" w:color="auto"/>
            </w:tcBorders>
            <w:shd w:val="clear" w:color="auto" w:fill="auto"/>
            <w:vAlign w:val="center"/>
            <w:hideMark/>
          </w:tcPr>
          <w:p w14:paraId="0830D1DB" w14:textId="77777777" w:rsidR="00547F91" w:rsidRPr="00547F91" w:rsidRDefault="00547F91" w:rsidP="00547F91">
            <w:pPr>
              <w:spacing w:after="0" w:line="240" w:lineRule="auto"/>
              <w:ind w:left="0" w:right="0" w:firstLine="0"/>
              <w:jc w:val="left"/>
              <w:rPr>
                <w:rFonts w:ascii="Arial" w:hAnsi="Arial" w:cs="Arial"/>
                <w:b/>
                <w:bCs/>
                <w:sz w:val="22"/>
              </w:rPr>
            </w:pPr>
            <w:r w:rsidRPr="00547F91">
              <w:rPr>
                <w:rFonts w:ascii="Arial" w:hAnsi="Arial" w:cs="Arial"/>
                <w:b/>
                <w:bCs/>
                <w:sz w:val="22"/>
              </w:rPr>
              <w:t>Due Date</w:t>
            </w:r>
          </w:p>
        </w:tc>
        <w:tc>
          <w:tcPr>
            <w:tcW w:w="2970" w:type="dxa"/>
            <w:tcBorders>
              <w:top w:val="single" w:sz="8" w:space="0" w:color="auto"/>
              <w:left w:val="nil"/>
              <w:bottom w:val="single" w:sz="8" w:space="0" w:color="auto"/>
              <w:right w:val="single" w:sz="4" w:space="0" w:color="auto"/>
            </w:tcBorders>
            <w:shd w:val="clear" w:color="auto" w:fill="auto"/>
            <w:vAlign w:val="center"/>
            <w:hideMark/>
          </w:tcPr>
          <w:p w14:paraId="53EF6E23" w14:textId="77777777" w:rsidR="00547F91" w:rsidRPr="00547F91" w:rsidRDefault="00547F91" w:rsidP="00547F91">
            <w:pPr>
              <w:spacing w:after="0" w:line="240" w:lineRule="auto"/>
              <w:ind w:left="0" w:right="0" w:firstLine="0"/>
              <w:jc w:val="left"/>
              <w:rPr>
                <w:rFonts w:ascii="Arial" w:hAnsi="Arial" w:cs="Arial"/>
                <w:b/>
                <w:bCs/>
                <w:sz w:val="22"/>
              </w:rPr>
            </w:pPr>
            <w:r w:rsidRPr="00547F91">
              <w:rPr>
                <w:rFonts w:ascii="Arial" w:hAnsi="Arial" w:cs="Arial"/>
                <w:b/>
                <w:bCs/>
                <w:sz w:val="22"/>
              </w:rPr>
              <w:t>Tab</w:t>
            </w:r>
          </w:p>
        </w:tc>
      </w:tr>
      <w:tr w:rsidR="00085776" w:rsidRPr="00221D33" w14:paraId="57162F25" w14:textId="77777777" w:rsidTr="00B54D4D">
        <w:trPr>
          <w:trHeight w:val="315"/>
        </w:trPr>
        <w:tc>
          <w:tcPr>
            <w:tcW w:w="1240" w:type="dxa"/>
            <w:tcBorders>
              <w:top w:val="nil"/>
              <w:left w:val="nil"/>
              <w:bottom w:val="nil"/>
              <w:right w:val="nil"/>
            </w:tcBorders>
            <w:shd w:val="clear" w:color="auto" w:fill="auto"/>
            <w:vAlign w:val="center"/>
            <w:hideMark/>
          </w:tcPr>
          <w:p w14:paraId="5F6F38A0" w14:textId="77777777" w:rsidR="00547F91" w:rsidRPr="00547F91" w:rsidRDefault="00547F91" w:rsidP="00547F91">
            <w:pPr>
              <w:spacing w:after="0" w:line="240" w:lineRule="auto"/>
              <w:ind w:left="0" w:right="0" w:firstLine="0"/>
              <w:jc w:val="left"/>
              <w:rPr>
                <w:rFonts w:ascii="Arial" w:hAnsi="Arial" w:cs="Arial"/>
                <w:b/>
                <w:bCs/>
                <w:sz w:val="22"/>
              </w:rPr>
            </w:pPr>
          </w:p>
        </w:tc>
        <w:tc>
          <w:tcPr>
            <w:tcW w:w="1427" w:type="dxa"/>
            <w:tcBorders>
              <w:top w:val="nil"/>
              <w:left w:val="nil"/>
              <w:bottom w:val="nil"/>
              <w:right w:val="nil"/>
            </w:tcBorders>
            <w:shd w:val="clear" w:color="auto" w:fill="auto"/>
            <w:vAlign w:val="center"/>
            <w:hideMark/>
          </w:tcPr>
          <w:p w14:paraId="48DC333B" w14:textId="77777777" w:rsidR="00547F91" w:rsidRPr="00547F91" w:rsidRDefault="00547F91" w:rsidP="00547F91">
            <w:pPr>
              <w:spacing w:after="0" w:line="240" w:lineRule="auto"/>
              <w:ind w:left="0" w:right="0" w:firstLine="0"/>
              <w:rPr>
                <w:rFonts w:ascii="Arial" w:hAnsi="Arial" w:cs="Arial"/>
                <w:color w:val="auto"/>
                <w:sz w:val="20"/>
                <w:szCs w:val="20"/>
              </w:rPr>
            </w:pPr>
          </w:p>
        </w:tc>
        <w:tc>
          <w:tcPr>
            <w:tcW w:w="2838" w:type="dxa"/>
            <w:tcBorders>
              <w:top w:val="nil"/>
              <w:left w:val="nil"/>
              <w:bottom w:val="nil"/>
              <w:right w:val="nil"/>
            </w:tcBorders>
            <w:shd w:val="clear" w:color="auto" w:fill="auto"/>
            <w:vAlign w:val="center"/>
            <w:hideMark/>
          </w:tcPr>
          <w:p w14:paraId="42A647DC" w14:textId="77777777" w:rsidR="00547F91" w:rsidRPr="00547F91" w:rsidRDefault="00547F91" w:rsidP="00547F91">
            <w:pPr>
              <w:spacing w:after="0" w:line="240" w:lineRule="auto"/>
              <w:ind w:left="0" w:right="0" w:firstLine="0"/>
              <w:rPr>
                <w:rFonts w:ascii="Arial" w:hAnsi="Arial" w:cs="Arial"/>
                <w:color w:val="auto"/>
                <w:sz w:val="20"/>
                <w:szCs w:val="20"/>
              </w:rPr>
            </w:pPr>
          </w:p>
        </w:tc>
        <w:tc>
          <w:tcPr>
            <w:tcW w:w="4385" w:type="dxa"/>
            <w:tcBorders>
              <w:top w:val="nil"/>
              <w:left w:val="nil"/>
              <w:bottom w:val="nil"/>
              <w:right w:val="nil"/>
            </w:tcBorders>
            <w:shd w:val="clear" w:color="auto" w:fill="auto"/>
            <w:vAlign w:val="center"/>
            <w:hideMark/>
          </w:tcPr>
          <w:p w14:paraId="001F8C35" w14:textId="77777777" w:rsidR="00547F91" w:rsidRPr="00547F91" w:rsidRDefault="00547F91" w:rsidP="00547F91">
            <w:pPr>
              <w:spacing w:after="0" w:line="240" w:lineRule="auto"/>
              <w:ind w:left="0" w:right="0" w:firstLine="0"/>
              <w:jc w:val="left"/>
              <w:rPr>
                <w:rFonts w:ascii="Arial" w:hAnsi="Arial" w:cs="Arial"/>
                <w:color w:val="auto"/>
                <w:sz w:val="20"/>
                <w:szCs w:val="20"/>
              </w:rPr>
            </w:pPr>
          </w:p>
        </w:tc>
        <w:tc>
          <w:tcPr>
            <w:tcW w:w="2970" w:type="dxa"/>
            <w:tcBorders>
              <w:top w:val="nil"/>
              <w:left w:val="nil"/>
              <w:bottom w:val="nil"/>
              <w:right w:val="nil"/>
            </w:tcBorders>
            <w:shd w:val="clear" w:color="auto" w:fill="auto"/>
            <w:vAlign w:val="center"/>
            <w:hideMark/>
          </w:tcPr>
          <w:p w14:paraId="55527317" w14:textId="77777777" w:rsidR="00547F91" w:rsidRPr="00547F91" w:rsidRDefault="00547F91" w:rsidP="00547F91">
            <w:pPr>
              <w:spacing w:after="0" w:line="240" w:lineRule="auto"/>
              <w:ind w:left="0" w:right="0" w:firstLine="0"/>
              <w:jc w:val="left"/>
              <w:rPr>
                <w:rFonts w:ascii="Arial" w:hAnsi="Arial" w:cs="Arial"/>
                <w:color w:val="auto"/>
                <w:sz w:val="20"/>
                <w:szCs w:val="20"/>
              </w:rPr>
            </w:pPr>
          </w:p>
        </w:tc>
      </w:tr>
      <w:tr w:rsidR="00547F91" w:rsidRPr="00547F91" w14:paraId="7D63B984" w14:textId="77777777" w:rsidTr="00B54D4D">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91B74FD"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Exhibit 13: Premium Discrepancy Reports</w:t>
            </w:r>
          </w:p>
        </w:tc>
      </w:tr>
      <w:tr w:rsidR="00085776" w:rsidRPr="00221D33" w14:paraId="50D11C28" w14:textId="77777777" w:rsidTr="00A65460">
        <w:trPr>
          <w:trHeight w:val="872"/>
        </w:trPr>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75D0F237" w14:textId="77777777" w:rsidR="00547F91" w:rsidRPr="00547F91" w:rsidRDefault="00547F91" w:rsidP="00085776">
            <w:pPr>
              <w:spacing w:after="0" w:line="240" w:lineRule="auto"/>
              <w:ind w:left="0" w:right="0" w:firstLine="0"/>
              <w:jc w:val="left"/>
              <w:rPr>
                <w:rFonts w:ascii="Arial" w:hAnsi="Arial" w:cs="Arial"/>
                <w:sz w:val="20"/>
                <w:szCs w:val="20"/>
              </w:rPr>
            </w:pPr>
            <w:r w:rsidRPr="00547F91">
              <w:rPr>
                <w:rFonts w:ascii="Arial" w:hAnsi="Arial" w:cs="Arial"/>
                <w:sz w:val="20"/>
                <w:szCs w:val="20"/>
              </w:rPr>
              <w:t>13a-13b</w:t>
            </w:r>
          </w:p>
        </w:tc>
        <w:tc>
          <w:tcPr>
            <w:tcW w:w="1427" w:type="dxa"/>
            <w:vMerge w:val="restart"/>
            <w:tcBorders>
              <w:top w:val="nil"/>
              <w:left w:val="single" w:sz="4" w:space="0" w:color="auto"/>
              <w:bottom w:val="single" w:sz="4" w:space="0" w:color="000000"/>
              <w:right w:val="single" w:sz="4" w:space="0" w:color="auto"/>
            </w:tcBorders>
            <w:shd w:val="clear" w:color="auto" w:fill="auto"/>
            <w:vAlign w:val="center"/>
            <w:hideMark/>
          </w:tcPr>
          <w:p w14:paraId="6BE90C28" w14:textId="77777777" w:rsidR="00547F91" w:rsidRPr="00547F91" w:rsidRDefault="00547F91" w:rsidP="00F92E97">
            <w:pPr>
              <w:spacing w:after="0" w:line="240" w:lineRule="auto"/>
              <w:ind w:left="0" w:right="0" w:firstLine="0"/>
              <w:jc w:val="left"/>
              <w:rPr>
                <w:rFonts w:ascii="Arial" w:hAnsi="Arial" w:cs="Arial"/>
                <w:sz w:val="20"/>
                <w:szCs w:val="20"/>
              </w:rPr>
            </w:pPr>
            <w:r w:rsidRPr="00547F91">
              <w:rPr>
                <w:rFonts w:ascii="Arial" w:hAnsi="Arial" w:cs="Arial"/>
                <w:sz w:val="20"/>
                <w:szCs w:val="20"/>
              </w:rPr>
              <w:t>Monthly</w:t>
            </w:r>
          </w:p>
        </w:tc>
        <w:tc>
          <w:tcPr>
            <w:tcW w:w="2838" w:type="dxa"/>
            <w:tcBorders>
              <w:top w:val="nil"/>
              <w:left w:val="nil"/>
              <w:bottom w:val="single" w:sz="4" w:space="0" w:color="auto"/>
              <w:right w:val="single" w:sz="4" w:space="0" w:color="auto"/>
            </w:tcBorders>
            <w:shd w:val="clear" w:color="auto" w:fill="auto"/>
            <w:vAlign w:val="center"/>
            <w:hideMark/>
          </w:tcPr>
          <w:p w14:paraId="66845530"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 xml:space="preserve">PPO Premium Discrepancy </w:t>
            </w:r>
          </w:p>
        </w:tc>
        <w:tc>
          <w:tcPr>
            <w:tcW w:w="4385" w:type="dxa"/>
            <w:vMerge w:val="restart"/>
            <w:tcBorders>
              <w:top w:val="nil"/>
              <w:left w:val="single" w:sz="4" w:space="0" w:color="auto"/>
              <w:bottom w:val="single" w:sz="4" w:space="0" w:color="000000"/>
              <w:right w:val="single" w:sz="4" w:space="0" w:color="auto"/>
            </w:tcBorders>
            <w:shd w:val="clear" w:color="auto" w:fill="auto"/>
            <w:vAlign w:val="center"/>
            <w:hideMark/>
          </w:tcPr>
          <w:p w14:paraId="7DC4F99C"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60 days after the premium remittance</w:t>
            </w:r>
          </w:p>
        </w:tc>
        <w:tc>
          <w:tcPr>
            <w:tcW w:w="2970" w:type="dxa"/>
            <w:tcBorders>
              <w:top w:val="nil"/>
              <w:left w:val="nil"/>
              <w:bottom w:val="single" w:sz="4" w:space="0" w:color="auto"/>
              <w:right w:val="single" w:sz="4" w:space="0" w:color="auto"/>
            </w:tcBorders>
            <w:shd w:val="clear" w:color="auto" w:fill="auto"/>
            <w:vAlign w:val="center"/>
            <w:hideMark/>
          </w:tcPr>
          <w:p w14:paraId="08A8DA73"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“PPO Premium”</w:t>
            </w:r>
          </w:p>
        </w:tc>
      </w:tr>
      <w:tr w:rsidR="00085776" w:rsidRPr="00221D33" w14:paraId="32E1C041" w14:textId="77777777" w:rsidTr="00A65460">
        <w:trPr>
          <w:trHeight w:val="863"/>
        </w:trPr>
        <w:tc>
          <w:tcPr>
            <w:tcW w:w="1240" w:type="dxa"/>
            <w:vMerge/>
            <w:tcBorders>
              <w:top w:val="nil"/>
              <w:left w:val="single" w:sz="4" w:space="0" w:color="auto"/>
              <w:bottom w:val="single" w:sz="4" w:space="0" w:color="000000"/>
              <w:right w:val="single" w:sz="4" w:space="0" w:color="auto"/>
            </w:tcBorders>
            <w:vAlign w:val="center"/>
            <w:hideMark/>
          </w:tcPr>
          <w:p w14:paraId="01321515"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1427" w:type="dxa"/>
            <w:vMerge/>
            <w:tcBorders>
              <w:top w:val="nil"/>
              <w:left w:val="single" w:sz="4" w:space="0" w:color="auto"/>
              <w:bottom w:val="single" w:sz="4" w:space="0" w:color="000000"/>
              <w:right w:val="single" w:sz="4" w:space="0" w:color="auto"/>
            </w:tcBorders>
            <w:vAlign w:val="center"/>
            <w:hideMark/>
          </w:tcPr>
          <w:p w14:paraId="795F8557"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2838" w:type="dxa"/>
            <w:tcBorders>
              <w:top w:val="nil"/>
              <w:left w:val="nil"/>
              <w:bottom w:val="single" w:sz="4" w:space="0" w:color="auto"/>
              <w:right w:val="single" w:sz="4" w:space="0" w:color="auto"/>
            </w:tcBorders>
            <w:shd w:val="clear" w:color="auto" w:fill="auto"/>
            <w:vAlign w:val="center"/>
            <w:hideMark/>
          </w:tcPr>
          <w:p w14:paraId="608B5C15"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Prepaid/Managed Premium Discrepancy</w:t>
            </w:r>
          </w:p>
        </w:tc>
        <w:tc>
          <w:tcPr>
            <w:tcW w:w="4385" w:type="dxa"/>
            <w:vMerge/>
            <w:tcBorders>
              <w:top w:val="nil"/>
              <w:left w:val="single" w:sz="4" w:space="0" w:color="auto"/>
              <w:bottom w:val="single" w:sz="4" w:space="0" w:color="000000"/>
              <w:right w:val="single" w:sz="4" w:space="0" w:color="auto"/>
            </w:tcBorders>
            <w:vAlign w:val="center"/>
            <w:hideMark/>
          </w:tcPr>
          <w:p w14:paraId="5D587236"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2970" w:type="dxa"/>
            <w:tcBorders>
              <w:top w:val="nil"/>
              <w:left w:val="nil"/>
              <w:bottom w:val="single" w:sz="4" w:space="0" w:color="auto"/>
              <w:right w:val="single" w:sz="4" w:space="0" w:color="auto"/>
            </w:tcBorders>
            <w:shd w:val="clear" w:color="auto" w:fill="auto"/>
            <w:vAlign w:val="center"/>
            <w:hideMark/>
          </w:tcPr>
          <w:p w14:paraId="252260A1"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“Prepaid Premium”</w:t>
            </w:r>
          </w:p>
        </w:tc>
      </w:tr>
      <w:tr w:rsidR="00085776" w:rsidRPr="00221D33" w14:paraId="32B464B3" w14:textId="77777777" w:rsidTr="00B54D4D">
        <w:trPr>
          <w:trHeight w:val="315"/>
        </w:trPr>
        <w:tc>
          <w:tcPr>
            <w:tcW w:w="1240" w:type="dxa"/>
            <w:tcBorders>
              <w:top w:val="nil"/>
              <w:left w:val="nil"/>
              <w:bottom w:val="nil"/>
              <w:right w:val="nil"/>
            </w:tcBorders>
            <w:shd w:val="clear" w:color="auto" w:fill="auto"/>
            <w:vAlign w:val="center"/>
            <w:hideMark/>
          </w:tcPr>
          <w:p w14:paraId="19994732"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1427" w:type="dxa"/>
            <w:tcBorders>
              <w:top w:val="nil"/>
              <w:left w:val="nil"/>
              <w:bottom w:val="nil"/>
              <w:right w:val="nil"/>
            </w:tcBorders>
            <w:shd w:val="clear" w:color="auto" w:fill="auto"/>
            <w:vAlign w:val="center"/>
            <w:hideMark/>
          </w:tcPr>
          <w:p w14:paraId="284D0AE1" w14:textId="77777777" w:rsidR="00547F91" w:rsidRPr="00547F91" w:rsidRDefault="00547F91" w:rsidP="00547F91">
            <w:pPr>
              <w:spacing w:after="0" w:line="240" w:lineRule="auto"/>
              <w:ind w:left="0" w:right="0" w:firstLine="0"/>
              <w:jc w:val="center"/>
              <w:rPr>
                <w:rFonts w:ascii="Arial" w:hAnsi="Arial" w:cs="Arial"/>
                <w:color w:val="auto"/>
                <w:sz w:val="20"/>
                <w:szCs w:val="20"/>
              </w:rPr>
            </w:pPr>
          </w:p>
        </w:tc>
        <w:tc>
          <w:tcPr>
            <w:tcW w:w="2838" w:type="dxa"/>
            <w:tcBorders>
              <w:top w:val="nil"/>
              <w:left w:val="nil"/>
              <w:bottom w:val="nil"/>
              <w:right w:val="nil"/>
            </w:tcBorders>
            <w:shd w:val="clear" w:color="auto" w:fill="auto"/>
            <w:vAlign w:val="center"/>
            <w:hideMark/>
          </w:tcPr>
          <w:p w14:paraId="2EA718AE" w14:textId="77777777" w:rsidR="00547F91" w:rsidRPr="00547F91" w:rsidRDefault="00547F91" w:rsidP="00547F91">
            <w:pPr>
              <w:spacing w:after="0" w:line="240" w:lineRule="auto"/>
              <w:ind w:left="0" w:right="0" w:firstLine="0"/>
              <w:rPr>
                <w:rFonts w:ascii="Arial" w:hAnsi="Arial" w:cs="Arial"/>
                <w:color w:val="auto"/>
                <w:sz w:val="20"/>
                <w:szCs w:val="20"/>
              </w:rPr>
            </w:pPr>
          </w:p>
        </w:tc>
        <w:tc>
          <w:tcPr>
            <w:tcW w:w="4385" w:type="dxa"/>
            <w:tcBorders>
              <w:top w:val="nil"/>
              <w:left w:val="nil"/>
              <w:bottom w:val="nil"/>
              <w:right w:val="nil"/>
            </w:tcBorders>
            <w:shd w:val="clear" w:color="auto" w:fill="auto"/>
            <w:vAlign w:val="center"/>
            <w:hideMark/>
          </w:tcPr>
          <w:p w14:paraId="5B6A94DD" w14:textId="77777777" w:rsidR="00547F91" w:rsidRPr="00547F91" w:rsidRDefault="00547F91" w:rsidP="00547F91">
            <w:pPr>
              <w:spacing w:after="0" w:line="240" w:lineRule="auto"/>
              <w:ind w:left="0" w:right="0" w:firstLine="0"/>
              <w:jc w:val="left"/>
              <w:rPr>
                <w:rFonts w:ascii="Arial" w:hAnsi="Arial" w:cs="Arial"/>
                <w:color w:val="auto"/>
                <w:sz w:val="20"/>
                <w:szCs w:val="20"/>
              </w:rPr>
            </w:pPr>
          </w:p>
        </w:tc>
        <w:tc>
          <w:tcPr>
            <w:tcW w:w="2970" w:type="dxa"/>
            <w:tcBorders>
              <w:top w:val="nil"/>
              <w:left w:val="nil"/>
              <w:bottom w:val="nil"/>
              <w:right w:val="nil"/>
            </w:tcBorders>
            <w:shd w:val="clear" w:color="auto" w:fill="auto"/>
            <w:vAlign w:val="center"/>
            <w:hideMark/>
          </w:tcPr>
          <w:p w14:paraId="22DDD155" w14:textId="77777777" w:rsidR="00547F91" w:rsidRPr="00547F91" w:rsidRDefault="00547F91" w:rsidP="00547F91">
            <w:pPr>
              <w:spacing w:after="0" w:line="240" w:lineRule="auto"/>
              <w:ind w:left="0" w:right="0" w:firstLine="0"/>
              <w:jc w:val="left"/>
              <w:rPr>
                <w:rFonts w:ascii="Arial" w:hAnsi="Arial" w:cs="Arial"/>
                <w:color w:val="auto"/>
                <w:sz w:val="20"/>
                <w:szCs w:val="20"/>
              </w:rPr>
            </w:pPr>
          </w:p>
        </w:tc>
      </w:tr>
      <w:tr w:rsidR="00547F91" w:rsidRPr="00547F91" w14:paraId="7337919B" w14:textId="77777777" w:rsidTr="00B54D4D">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D87F10E"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Exhibit 14: Member Services Reports</w:t>
            </w:r>
          </w:p>
        </w:tc>
      </w:tr>
      <w:tr w:rsidR="00085776" w:rsidRPr="00221D33" w14:paraId="5C6C25BA" w14:textId="77777777" w:rsidTr="00A65460">
        <w:trPr>
          <w:trHeight w:val="1079"/>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5D9DA40"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14a</w:t>
            </w:r>
          </w:p>
        </w:tc>
        <w:tc>
          <w:tcPr>
            <w:tcW w:w="1427" w:type="dxa"/>
            <w:tcBorders>
              <w:top w:val="nil"/>
              <w:left w:val="nil"/>
              <w:bottom w:val="nil"/>
              <w:right w:val="single" w:sz="4" w:space="0" w:color="auto"/>
            </w:tcBorders>
            <w:shd w:val="clear" w:color="auto" w:fill="auto"/>
            <w:vAlign w:val="center"/>
            <w:hideMark/>
          </w:tcPr>
          <w:p w14:paraId="0196954E"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Monthly</w:t>
            </w:r>
            <w:r w:rsidRPr="00547F91">
              <w:rPr>
                <w:rFonts w:ascii="Arial" w:hAnsi="Arial" w:cs="Arial"/>
                <w:sz w:val="20"/>
                <w:szCs w:val="20"/>
              </w:rPr>
              <w:br/>
              <w:t>Quarterly</w:t>
            </w:r>
            <w:r w:rsidRPr="00547F91">
              <w:rPr>
                <w:rFonts w:ascii="Arial" w:hAnsi="Arial" w:cs="Arial"/>
                <w:sz w:val="20"/>
                <w:szCs w:val="20"/>
              </w:rPr>
              <w:br/>
              <w:t>Annual</w:t>
            </w:r>
          </w:p>
        </w:tc>
        <w:tc>
          <w:tcPr>
            <w:tcW w:w="2838" w:type="dxa"/>
            <w:tcBorders>
              <w:top w:val="nil"/>
              <w:left w:val="nil"/>
              <w:bottom w:val="single" w:sz="4" w:space="0" w:color="auto"/>
              <w:right w:val="single" w:sz="4" w:space="0" w:color="auto"/>
            </w:tcBorders>
            <w:shd w:val="clear" w:color="auto" w:fill="auto"/>
            <w:vAlign w:val="center"/>
            <w:hideMark/>
          </w:tcPr>
          <w:p w14:paraId="08EA92D4"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Member Services Telephone Assistance</w:t>
            </w:r>
          </w:p>
        </w:tc>
        <w:tc>
          <w:tcPr>
            <w:tcW w:w="4385" w:type="dxa"/>
            <w:tcBorders>
              <w:top w:val="nil"/>
              <w:left w:val="nil"/>
              <w:bottom w:val="nil"/>
              <w:right w:val="nil"/>
            </w:tcBorders>
            <w:shd w:val="clear" w:color="auto" w:fill="auto"/>
            <w:vAlign w:val="center"/>
            <w:hideMark/>
          </w:tcPr>
          <w:p w14:paraId="2A0F790E"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20th of following month</w:t>
            </w:r>
            <w:r w:rsidRPr="00547F91">
              <w:rPr>
                <w:rFonts w:ascii="Arial" w:hAnsi="Arial" w:cs="Arial"/>
                <w:sz w:val="20"/>
                <w:szCs w:val="20"/>
              </w:rPr>
              <w:br/>
            </w:r>
            <w:r w:rsidRPr="00547F91">
              <w:rPr>
                <w:rFonts w:ascii="Arial" w:hAnsi="Arial" w:cs="Arial"/>
                <w:sz w:val="20"/>
                <w:szCs w:val="20"/>
              </w:rPr>
              <w:br/>
              <w:t>60 days following the close of the calendar quarter/year</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14:paraId="2EA3C93E"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“Telephone”</w:t>
            </w:r>
          </w:p>
        </w:tc>
      </w:tr>
      <w:tr w:rsidR="00085776" w:rsidRPr="00221D33" w14:paraId="5890CF27" w14:textId="77777777" w:rsidTr="00B54D4D">
        <w:trPr>
          <w:trHeight w:val="84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BF03CBB" w14:textId="77777777" w:rsidR="00547F91" w:rsidRPr="00547F91" w:rsidRDefault="00547F91" w:rsidP="00085776">
            <w:pPr>
              <w:spacing w:after="0" w:line="240" w:lineRule="auto"/>
              <w:ind w:left="0" w:right="0" w:firstLine="0"/>
              <w:jc w:val="left"/>
              <w:rPr>
                <w:rFonts w:ascii="Arial" w:hAnsi="Arial" w:cs="Arial"/>
                <w:sz w:val="20"/>
                <w:szCs w:val="20"/>
              </w:rPr>
            </w:pPr>
            <w:r w:rsidRPr="00547F91">
              <w:rPr>
                <w:rFonts w:ascii="Arial" w:hAnsi="Arial" w:cs="Arial"/>
                <w:sz w:val="20"/>
                <w:szCs w:val="20"/>
              </w:rPr>
              <w:t>14b</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14:paraId="0A56A02A" w14:textId="77777777" w:rsidR="00547F91" w:rsidRPr="00547F91" w:rsidRDefault="00547F91" w:rsidP="00547F91">
            <w:pPr>
              <w:spacing w:after="0" w:line="240" w:lineRule="auto"/>
              <w:ind w:left="0" w:right="0" w:firstLine="0"/>
              <w:rPr>
                <w:rFonts w:ascii="Arial" w:hAnsi="Arial" w:cs="Arial"/>
                <w:sz w:val="20"/>
                <w:szCs w:val="20"/>
              </w:rPr>
            </w:pPr>
            <w:r w:rsidRPr="00547F91">
              <w:rPr>
                <w:rFonts w:ascii="Arial" w:hAnsi="Arial" w:cs="Arial"/>
                <w:sz w:val="20"/>
                <w:szCs w:val="20"/>
              </w:rPr>
              <w:t>Annual</w:t>
            </w:r>
          </w:p>
        </w:tc>
        <w:tc>
          <w:tcPr>
            <w:tcW w:w="2838" w:type="dxa"/>
            <w:tcBorders>
              <w:top w:val="nil"/>
              <w:left w:val="nil"/>
              <w:bottom w:val="single" w:sz="4" w:space="0" w:color="auto"/>
              <w:right w:val="single" w:sz="4" w:space="0" w:color="auto"/>
            </w:tcBorders>
            <w:shd w:val="clear" w:color="auto" w:fill="auto"/>
            <w:vAlign w:val="center"/>
            <w:hideMark/>
          </w:tcPr>
          <w:p w14:paraId="384B10A6"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Member Satisfaction Survey Results</w:t>
            </w:r>
          </w:p>
        </w:tc>
        <w:tc>
          <w:tcPr>
            <w:tcW w:w="4385" w:type="dxa"/>
            <w:tcBorders>
              <w:top w:val="single" w:sz="4" w:space="0" w:color="auto"/>
              <w:left w:val="nil"/>
              <w:bottom w:val="single" w:sz="4" w:space="0" w:color="auto"/>
              <w:right w:val="single" w:sz="4" w:space="0" w:color="auto"/>
            </w:tcBorders>
            <w:shd w:val="clear" w:color="auto" w:fill="auto"/>
            <w:vAlign w:val="center"/>
            <w:hideMark/>
          </w:tcPr>
          <w:p w14:paraId="32CA7C48"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60 days following the close of the calendar quarter</w:t>
            </w:r>
          </w:p>
        </w:tc>
        <w:tc>
          <w:tcPr>
            <w:tcW w:w="2970" w:type="dxa"/>
            <w:tcBorders>
              <w:top w:val="nil"/>
              <w:left w:val="nil"/>
              <w:bottom w:val="single" w:sz="4" w:space="0" w:color="auto"/>
              <w:right w:val="single" w:sz="4" w:space="0" w:color="auto"/>
            </w:tcBorders>
            <w:shd w:val="clear" w:color="auto" w:fill="auto"/>
            <w:vAlign w:val="center"/>
            <w:hideMark/>
          </w:tcPr>
          <w:p w14:paraId="1D0EB70A"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“Survey”</w:t>
            </w:r>
          </w:p>
        </w:tc>
      </w:tr>
      <w:tr w:rsidR="00085776" w:rsidRPr="00221D33" w14:paraId="2AB5CD19" w14:textId="77777777" w:rsidTr="00B54D4D">
        <w:trPr>
          <w:trHeight w:val="315"/>
        </w:trPr>
        <w:tc>
          <w:tcPr>
            <w:tcW w:w="1240" w:type="dxa"/>
            <w:tcBorders>
              <w:top w:val="nil"/>
              <w:left w:val="nil"/>
              <w:bottom w:val="nil"/>
              <w:right w:val="nil"/>
            </w:tcBorders>
            <w:shd w:val="clear" w:color="auto" w:fill="auto"/>
            <w:vAlign w:val="center"/>
            <w:hideMark/>
          </w:tcPr>
          <w:p w14:paraId="4667E0D0"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1427" w:type="dxa"/>
            <w:tcBorders>
              <w:top w:val="nil"/>
              <w:left w:val="nil"/>
              <w:bottom w:val="nil"/>
              <w:right w:val="nil"/>
            </w:tcBorders>
            <w:shd w:val="clear" w:color="auto" w:fill="auto"/>
            <w:vAlign w:val="center"/>
            <w:hideMark/>
          </w:tcPr>
          <w:p w14:paraId="1A2856A5" w14:textId="77777777" w:rsidR="00547F91" w:rsidRPr="00547F91" w:rsidRDefault="00547F91" w:rsidP="00547F91">
            <w:pPr>
              <w:spacing w:after="0" w:line="240" w:lineRule="auto"/>
              <w:ind w:left="0" w:right="0" w:firstLine="0"/>
              <w:jc w:val="center"/>
              <w:rPr>
                <w:rFonts w:ascii="Arial" w:hAnsi="Arial" w:cs="Arial"/>
                <w:color w:val="auto"/>
                <w:sz w:val="20"/>
                <w:szCs w:val="20"/>
              </w:rPr>
            </w:pPr>
          </w:p>
        </w:tc>
        <w:tc>
          <w:tcPr>
            <w:tcW w:w="2838" w:type="dxa"/>
            <w:tcBorders>
              <w:top w:val="nil"/>
              <w:left w:val="nil"/>
              <w:bottom w:val="nil"/>
              <w:right w:val="nil"/>
            </w:tcBorders>
            <w:shd w:val="clear" w:color="auto" w:fill="auto"/>
            <w:vAlign w:val="center"/>
            <w:hideMark/>
          </w:tcPr>
          <w:p w14:paraId="1890AB92" w14:textId="77777777" w:rsidR="00547F91" w:rsidRPr="00547F91" w:rsidRDefault="00547F91" w:rsidP="00547F91">
            <w:pPr>
              <w:spacing w:after="0" w:line="240" w:lineRule="auto"/>
              <w:ind w:left="0" w:right="0" w:firstLine="0"/>
              <w:rPr>
                <w:rFonts w:ascii="Arial" w:hAnsi="Arial" w:cs="Arial"/>
                <w:color w:val="auto"/>
                <w:sz w:val="20"/>
                <w:szCs w:val="20"/>
              </w:rPr>
            </w:pPr>
          </w:p>
        </w:tc>
        <w:tc>
          <w:tcPr>
            <w:tcW w:w="4385" w:type="dxa"/>
            <w:tcBorders>
              <w:top w:val="nil"/>
              <w:left w:val="nil"/>
              <w:bottom w:val="nil"/>
              <w:right w:val="nil"/>
            </w:tcBorders>
            <w:shd w:val="clear" w:color="auto" w:fill="auto"/>
            <w:vAlign w:val="center"/>
            <w:hideMark/>
          </w:tcPr>
          <w:p w14:paraId="0112B94A" w14:textId="77777777" w:rsidR="00547F91" w:rsidRPr="00547F91" w:rsidRDefault="00547F91" w:rsidP="00547F91">
            <w:pPr>
              <w:spacing w:after="0" w:line="240" w:lineRule="auto"/>
              <w:ind w:left="0" w:right="0" w:firstLine="0"/>
              <w:jc w:val="left"/>
              <w:rPr>
                <w:rFonts w:ascii="Arial" w:hAnsi="Arial" w:cs="Arial"/>
                <w:color w:val="auto"/>
                <w:sz w:val="20"/>
                <w:szCs w:val="20"/>
              </w:rPr>
            </w:pPr>
          </w:p>
        </w:tc>
        <w:tc>
          <w:tcPr>
            <w:tcW w:w="2970" w:type="dxa"/>
            <w:tcBorders>
              <w:top w:val="nil"/>
              <w:left w:val="nil"/>
              <w:bottom w:val="nil"/>
              <w:right w:val="nil"/>
            </w:tcBorders>
            <w:shd w:val="clear" w:color="auto" w:fill="auto"/>
            <w:vAlign w:val="center"/>
            <w:hideMark/>
          </w:tcPr>
          <w:p w14:paraId="465AF6AB" w14:textId="77777777" w:rsidR="00547F91" w:rsidRPr="00547F91" w:rsidRDefault="00547F91" w:rsidP="00547F91">
            <w:pPr>
              <w:spacing w:after="0" w:line="240" w:lineRule="auto"/>
              <w:ind w:left="0" w:right="0" w:firstLine="0"/>
              <w:jc w:val="left"/>
              <w:rPr>
                <w:rFonts w:ascii="Arial" w:hAnsi="Arial" w:cs="Arial"/>
                <w:color w:val="auto"/>
                <w:sz w:val="20"/>
                <w:szCs w:val="20"/>
              </w:rPr>
            </w:pPr>
          </w:p>
        </w:tc>
      </w:tr>
      <w:tr w:rsidR="00547F91" w:rsidRPr="00547F91" w14:paraId="196B8D18" w14:textId="77777777" w:rsidTr="00B54D4D">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B8A0842"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Exhibit 15: Network Changes Summary</w:t>
            </w:r>
          </w:p>
        </w:tc>
      </w:tr>
      <w:tr w:rsidR="00085776" w:rsidRPr="00221D33" w14:paraId="26E556B0" w14:textId="77777777" w:rsidTr="00A65460">
        <w:trPr>
          <w:trHeight w:val="827"/>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107F46" w14:textId="5AAF08FB" w:rsidR="00547F91" w:rsidRPr="00547F91" w:rsidRDefault="00CD00B3" w:rsidP="00547F91">
            <w:pPr>
              <w:spacing w:after="0" w:line="240" w:lineRule="auto"/>
              <w:ind w:left="0" w:right="0" w:firstLine="0"/>
              <w:jc w:val="left"/>
              <w:rPr>
                <w:rFonts w:ascii="Arial" w:hAnsi="Arial" w:cs="Arial"/>
                <w:sz w:val="20"/>
                <w:szCs w:val="20"/>
              </w:rPr>
            </w:pPr>
            <w:r>
              <w:rPr>
                <w:rFonts w:ascii="Arial" w:hAnsi="Arial" w:cs="Arial"/>
                <w:sz w:val="20"/>
                <w:szCs w:val="20"/>
              </w:rPr>
              <w:t>15a-15</w:t>
            </w:r>
            <w:r w:rsidR="00547F91" w:rsidRPr="00547F91">
              <w:rPr>
                <w:rFonts w:ascii="Arial" w:hAnsi="Arial" w:cs="Arial"/>
                <w:sz w:val="20"/>
                <w:szCs w:val="20"/>
              </w:rPr>
              <w:t>b</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F8B0D"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Monthly</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14:paraId="25B65DC5"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PPO Network Changes Summary</w:t>
            </w:r>
          </w:p>
        </w:tc>
        <w:tc>
          <w:tcPr>
            <w:tcW w:w="4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38258E"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20th of following month</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6505B45E"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“PPO Network Changes”</w:t>
            </w:r>
          </w:p>
        </w:tc>
      </w:tr>
      <w:tr w:rsidR="00085776" w:rsidRPr="00221D33" w14:paraId="59D1D183" w14:textId="77777777" w:rsidTr="00A65460">
        <w:trPr>
          <w:trHeight w:val="89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473B5DED"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4B8F2B95"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2838" w:type="dxa"/>
            <w:tcBorders>
              <w:top w:val="single" w:sz="4" w:space="0" w:color="auto"/>
              <w:left w:val="nil"/>
              <w:bottom w:val="single" w:sz="4" w:space="0" w:color="auto"/>
              <w:right w:val="single" w:sz="4" w:space="0" w:color="auto"/>
            </w:tcBorders>
            <w:shd w:val="clear" w:color="auto" w:fill="auto"/>
            <w:vAlign w:val="center"/>
            <w:hideMark/>
          </w:tcPr>
          <w:p w14:paraId="4E87CED7"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Prepaid/Managed Network Changes Summary</w:t>
            </w:r>
          </w:p>
        </w:tc>
        <w:tc>
          <w:tcPr>
            <w:tcW w:w="4385" w:type="dxa"/>
            <w:vMerge/>
            <w:tcBorders>
              <w:top w:val="single" w:sz="4" w:space="0" w:color="auto"/>
              <w:left w:val="single" w:sz="4" w:space="0" w:color="auto"/>
              <w:bottom w:val="single" w:sz="4" w:space="0" w:color="auto"/>
              <w:right w:val="single" w:sz="4" w:space="0" w:color="auto"/>
            </w:tcBorders>
            <w:vAlign w:val="center"/>
            <w:hideMark/>
          </w:tcPr>
          <w:p w14:paraId="4B16F488"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4AAFEADC"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“Prepaid Network Changes”</w:t>
            </w:r>
          </w:p>
        </w:tc>
      </w:tr>
      <w:tr w:rsidR="00085776" w:rsidRPr="00221D33" w14:paraId="693FA1A7" w14:textId="77777777" w:rsidTr="00B54D4D">
        <w:trPr>
          <w:trHeight w:val="300"/>
        </w:trPr>
        <w:tc>
          <w:tcPr>
            <w:tcW w:w="1240" w:type="dxa"/>
            <w:tcBorders>
              <w:top w:val="single" w:sz="4" w:space="0" w:color="auto"/>
              <w:left w:val="nil"/>
              <w:bottom w:val="single" w:sz="4" w:space="0" w:color="auto"/>
              <w:right w:val="nil"/>
            </w:tcBorders>
            <w:shd w:val="clear" w:color="auto" w:fill="auto"/>
            <w:vAlign w:val="center"/>
            <w:hideMark/>
          </w:tcPr>
          <w:p w14:paraId="615F7564"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1427" w:type="dxa"/>
            <w:tcBorders>
              <w:top w:val="single" w:sz="4" w:space="0" w:color="auto"/>
              <w:left w:val="nil"/>
              <w:bottom w:val="single" w:sz="4" w:space="0" w:color="auto"/>
              <w:right w:val="nil"/>
            </w:tcBorders>
            <w:shd w:val="clear" w:color="auto" w:fill="auto"/>
            <w:vAlign w:val="center"/>
            <w:hideMark/>
          </w:tcPr>
          <w:p w14:paraId="26275F43" w14:textId="77777777" w:rsidR="00547F91" w:rsidRPr="00547F91" w:rsidRDefault="00547F91" w:rsidP="00547F91">
            <w:pPr>
              <w:spacing w:after="0" w:line="240" w:lineRule="auto"/>
              <w:ind w:left="0" w:right="0" w:firstLine="0"/>
              <w:jc w:val="left"/>
              <w:rPr>
                <w:rFonts w:ascii="Arial" w:hAnsi="Arial" w:cs="Arial"/>
                <w:color w:val="auto"/>
                <w:sz w:val="20"/>
                <w:szCs w:val="20"/>
              </w:rPr>
            </w:pPr>
          </w:p>
        </w:tc>
        <w:tc>
          <w:tcPr>
            <w:tcW w:w="2838" w:type="dxa"/>
            <w:tcBorders>
              <w:top w:val="single" w:sz="4" w:space="0" w:color="auto"/>
              <w:left w:val="nil"/>
              <w:bottom w:val="single" w:sz="4" w:space="0" w:color="auto"/>
              <w:right w:val="nil"/>
            </w:tcBorders>
            <w:shd w:val="clear" w:color="auto" w:fill="auto"/>
            <w:vAlign w:val="center"/>
            <w:hideMark/>
          </w:tcPr>
          <w:p w14:paraId="4F7E5053"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 </w:t>
            </w:r>
          </w:p>
        </w:tc>
        <w:tc>
          <w:tcPr>
            <w:tcW w:w="4385" w:type="dxa"/>
            <w:tcBorders>
              <w:top w:val="single" w:sz="4" w:space="0" w:color="auto"/>
              <w:left w:val="nil"/>
              <w:bottom w:val="single" w:sz="4" w:space="0" w:color="auto"/>
              <w:right w:val="nil"/>
            </w:tcBorders>
            <w:shd w:val="clear" w:color="auto" w:fill="auto"/>
            <w:vAlign w:val="center"/>
            <w:hideMark/>
          </w:tcPr>
          <w:p w14:paraId="3BDC68D4"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 </w:t>
            </w:r>
          </w:p>
        </w:tc>
        <w:tc>
          <w:tcPr>
            <w:tcW w:w="2970" w:type="dxa"/>
            <w:tcBorders>
              <w:top w:val="single" w:sz="4" w:space="0" w:color="auto"/>
              <w:left w:val="nil"/>
              <w:bottom w:val="single" w:sz="4" w:space="0" w:color="auto"/>
              <w:right w:val="nil"/>
            </w:tcBorders>
            <w:shd w:val="clear" w:color="auto" w:fill="auto"/>
            <w:vAlign w:val="center"/>
            <w:hideMark/>
          </w:tcPr>
          <w:p w14:paraId="11AE5D58"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 </w:t>
            </w:r>
          </w:p>
        </w:tc>
      </w:tr>
      <w:tr w:rsidR="00547F91" w:rsidRPr="00547F91" w14:paraId="56958C20" w14:textId="77777777" w:rsidTr="00B54D4D">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2975B5"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lastRenderedPageBreak/>
              <w:t>Exhibit 16: HIPAA, FWA, and Grievance Reports</w:t>
            </w:r>
          </w:p>
        </w:tc>
      </w:tr>
      <w:tr w:rsidR="00085776" w:rsidRPr="00221D33" w14:paraId="65FA051A" w14:textId="77777777" w:rsidTr="00A65460">
        <w:trPr>
          <w:trHeight w:val="755"/>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D8CA1"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16a-16d</w:t>
            </w:r>
          </w:p>
        </w:tc>
        <w:tc>
          <w:tcPr>
            <w:tcW w:w="1427" w:type="dxa"/>
            <w:vMerge w:val="restart"/>
            <w:tcBorders>
              <w:top w:val="nil"/>
              <w:left w:val="single" w:sz="4" w:space="0" w:color="auto"/>
              <w:bottom w:val="single" w:sz="4" w:space="0" w:color="000000"/>
              <w:right w:val="single" w:sz="4" w:space="0" w:color="auto"/>
            </w:tcBorders>
            <w:shd w:val="clear" w:color="auto" w:fill="auto"/>
            <w:vAlign w:val="center"/>
            <w:hideMark/>
          </w:tcPr>
          <w:p w14:paraId="6878D0A1"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Quarterly</w:t>
            </w:r>
          </w:p>
        </w:tc>
        <w:tc>
          <w:tcPr>
            <w:tcW w:w="2838" w:type="dxa"/>
            <w:tcBorders>
              <w:top w:val="nil"/>
              <w:left w:val="nil"/>
              <w:bottom w:val="single" w:sz="4" w:space="0" w:color="auto"/>
              <w:right w:val="single" w:sz="4" w:space="0" w:color="auto"/>
            </w:tcBorders>
            <w:shd w:val="clear" w:color="auto" w:fill="auto"/>
            <w:vAlign w:val="center"/>
            <w:hideMark/>
          </w:tcPr>
          <w:p w14:paraId="7DE8B003"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HIPAA Incident Report</w:t>
            </w:r>
          </w:p>
        </w:tc>
        <w:tc>
          <w:tcPr>
            <w:tcW w:w="4385" w:type="dxa"/>
            <w:vMerge w:val="restart"/>
            <w:tcBorders>
              <w:top w:val="nil"/>
              <w:left w:val="single" w:sz="4" w:space="0" w:color="auto"/>
              <w:bottom w:val="single" w:sz="4" w:space="0" w:color="000000"/>
              <w:right w:val="single" w:sz="4" w:space="0" w:color="auto"/>
            </w:tcBorders>
            <w:shd w:val="clear" w:color="auto" w:fill="auto"/>
            <w:vAlign w:val="center"/>
            <w:hideMark/>
          </w:tcPr>
          <w:p w14:paraId="62B56923"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60 days following the close of the calendar quarter</w:t>
            </w:r>
          </w:p>
        </w:tc>
        <w:tc>
          <w:tcPr>
            <w:tcW w:w="2970" w:type="dxa"/>
            <w:tcBorders>
              <w:top w:val="nil"/>
              <w:left w:val="nil"/>
              <w:bottom w:val="single" w:sz="4" w:space="0" w:color="auto"/>
              <w:right w:val="single" w:sz="4" w:space="0" w:color="auto"/>
            </w:tcBorders>
            <w:shd w:val="clear" w:color="auto" w:fill="auto"/>
            <w:vAlign w:val="center"/>
            <w:hideMark/>
          </w:tcPr>
          <w:p w14:paraId="648F3BE7"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“HIPAA”</w:t>
            </w:r>
          </w:p>
        </w:tc>
      </w:tr>
      <w:tr w:rsidR="00085776" w:rsidRPr="00221D33" w14:paraId="5F562FBF" w14:textId="77777777" w:rsidTr="00A65460">
        <w:trPr>
          <w:trHeight w:val="809"/>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43A29DC6"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1427" w:type="dxa"/>
            <w:vMerge/>
            <w:tcBorders>
              <w:top w:val="nil"/>
              <w:left w:val="single" w:sz="4" w:space="0" w:color="auto"/>
              <w:bottom w:val="single" w:sz="4" w:space="0" w:color="000000"/>
              <w:right w:val="single" w:sz="4" w:space="0" w:color="auto"/>
            </w:tcBorders>
            <w:vAlign w:val="center"/>
            <w:hideMark/>
          </w:tcPr>
          <w:p w14:paraId="508B7AE9"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2838" w:type="dxa"/>
            <w:tcBorders>
              <w:top w:val="nil"/>
              <w:left w:val="nil"/>
              <w:bottom w:val="single" w:sz="4" w:space="0" w:color="auto"/>
              <w:right w:val="single" w:sz="4" w:space="0" w:color="auto"/>
            </w:tcBorders>
            <w:shd w:val="clear" w:color="auto" w:fill="auto"/>
            <w:vAlign w:val="center"/>
            <w:hideMark/>
          </w:tcPr>
          <w:p w14:paraId="11F72F83"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Fraud, Waste, or Abuse Prevention Incident Report</w:t>
            </w:r>
          </w:p>
        </w:tc>
        <w:tc>
          <w:tcPr>
            <w:tcW w:w="4385" w:type="dxa"/>
            <w:vMerge/>
            <w:tcBorders>
              <w:top w:val="nil"/>
              <w:left w:val="single" w:sz="4" w:space="0" w:color="auto"/>
              <w:bottom w:val="single" w:sz="4" w:space="0" w:color="000000"/>
              <w:right w:val="single" w:sz="4" w:space="0" w:color="auto"/>
            </w:tcBorders>
            <w:vAlign w:val="center"/>
            <w:hideMark/>
          </w:tcPr>
          <w:p w14:paraId="52E67986"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2970" w:type="dxa"/>
            <w:tcBorders>
              <w:top w:val="nil"/>
              <w:left w:val="nil"/>
              <w:bottom w:val="single" w:sz="4" w:space="0" w:color="auto"/>
              <w:right w:val="single" w:sz="4" w:space="0" w:color="auto"/>
            </w:tcBorders>
            <w:shd w:val="clear" w:color="auto" w:fill="auto"/>
            <w:vAlign w:val="center"/>
            <w:hideMark/>
          </w:tcPr>
          <w:p w14:paraId="6ED0E7B6"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“Fraud”</w:t>
            </w:r>
          </w:p>
        </w:tc>
      </w:tr>
      <w:tr w:rsidR="00085776" w:rsidRPr="00221D33" w14:paraId="73033BD2" w14:textId="77777777" w:rsidTr="00A65460">
        <w:trPr>
          <w:trHeight w:val="8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08728B55"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1427" w:type="dxa"/>
            <w:vMerge/>
            <w:tcBorders>
              <w:top w:val="nil"/>
              <w:left w:val="single" w:sz="4" w:space="0" w:color="auto"/>
              <w:bottom w:val="single" w:sz="4" w:space="0" w:color="000000"/>
              <w:right w:val="single" w:sz="4" w:space="0" w:color="auto"/>
            </w:tcBorders>
            <w:vAlign w:val="center"/>
            <w:hideMark/>
          </w:tcPr>
          <w:p w14:paraId="2D57E04C"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2838" w:type="dxa"/>
            <w:tcBorders>
              <w:top w:val="nil"/>
              <w:left w:val="nil"/>
              <w:bottom w:val="single" w:sz="4" w:space="0" w:color="auto"/>
              <w:right w:val="single" w:sz="4" w:space="0" w:color="auto"/>
            </w:tcBorders>
            <w:shd w:val="clear" w:color="auto" w:fill="auto"/>
            <w:vAlign w:val="center"/>
            <w:hideMark/>
          </w:tcPr>
          <w:p w14:paraId="1F4481BA"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PPO Grievance Report</w:t>
            </w:r>
          </w:p>
        </w:tc>
        <w:tc>
          <w:tcPr>
            <w:tcW w:w="4385" w:type="dxa"/>
            <w:vMerge/>
            <w:tcBorders>
              <w:top w:val="nil"/>
              <w:left w:val="single" w:sz="4" w:space="0" w:color="auto"/>
              <w:bottom w:val="single" w:sz="4" w:space="0" w:color="000000"/>
              <w:right w:val="single" w:sz="4" w:space="0" w:color="auto"/>
            </w:tcBorders>
            <w:vAlign w:val="center"/>
            <w:hideMark/>
          </w:tcPr>
          <w:p w14:paraId="2231864D"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2970" w:type="dxa"/>
            <w:tcBorders>
              <w:top w:val="nil"/>
              <w:left w:val="nil"/>
              <w:bottom w:val="single" w:sz="4" w:space="0" w:color="auto"/>
              <w:right w:val="single" w:sz="4" w:space="0" w:color="auto"/>
            </w:tcBorders>
            <w:shd w:val="clear" w:color="auto" w:fill="auto"/>
            <w:vAlign w:val="center"/>
            <w:hideMark/>
          </w:tcPr>
          <w:p w14:paraId="60FA079F"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“PPO Grievance”</w:t>
            </w:r>
          </w:p>
        </w:tc>
      </w:tr>
      <w:tr w:rsidR="00085776" w:rsidRPr="00221D33" w14:paraId="583FCD4B" w14:textId="77777777" w:rsidTr="00A65460">
        <w:trPr>
          <w:trHeight w:val="8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5E1AD80E"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1427" w:type="dxa"/>
            <w:vMerge/>
            <w:tcBorders>
              <w:top w:val="nil"/>
              <w:left w:val="single" w:sz="4" w:space="0" w:color="auto"/>
              <w:bottom w:val="single" w:sz="4" w:space="0" w:color="000000"/>
              <w:right w:val="single" w:sz="4" w:space="0" w:color="auto"/>
            </w:tcBorders>
            <w:vAlign w:val="center"/>
            <w:hideMark/>
          </w:tcPr>
          <w:p w14:paraId="46DF7929"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2838" w:type="dxa"/>
            <w:tcBorders>
              <w:top w:val="nil"/>
              <w:left w:val="nil"/>
              <w:bottom w:val="single" w:sz="4" w:space="0" w:color="auto"/>
              <w:right w:val="single" w:sz="4" w:space="0" w:color="auto"/>
            </w:tcBorders>
            <w:shd w:val="clear" w:color="auto" w:fill="auto"/>
            <w:vAlign w:val="center"/>
            <w:hideMark/>
          </w:tcPr>
          <w:p w14:paraId="0637FF34"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Prepaid/Managed Grievance Report</w:t>
            </w:r>
          </w:p>
        </w:tc>
        <w:tc>
          <w:tcPr>
            <w:tcW w:w="4385" w:type="dxa"/>
            <w:vMerge/>
            <w:tcBorders>
              <w:top w:val="nil"/>
              <w:left w:val="single" w:sz="4" w:space="0" w:color="auto"/>
              <w:bottom w:val="single" w:sz="4" w:space="0" w:color="000000"/>
              <w:right w:val="single" w:sz="4" w:space="0" w:color="auto"/>
            </w:tcBorders>
            <w:vAlign w:val="center"/>
            <w:hideMark/>
          </w:tcPr>
          <w:p w14:paraId="2D46112F"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2970" w:type="dxa"/>
            <w:tcBorders>
              <w:top w:val="nil"/>
              <w:left w:val="nil"/>
              <w:bottom w:val="single" w:sz="4" w:space="0" w:color="auto"/>
              <w:right w:val="single" w:sz="4" w:space="0" w:color="auto"/>
            </w:tcBorders>
            <w:shd w:val="clear" w:color="auto" w:fill="auto"/>
            <w:vAlign w:val="center"/>
            <w:hideMark/>
          </w:tcPr>
          <w:p w14:paraId="740E00C0"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“Prepaid Grievance”</w:t>
            </w:r>
          </w:p>
        </w:tc>
      </w:tr>
      <w:tr w:rsidR="00085776" w:rsidRPr="00221D33" w14:paraId="48FF6F31" w14:textId="77777777" w:rsidTr="00B54D4D">
        <w:trPr>
          <w:trHeight w:val="315"/>
        </w:trPr>
        <w:tc>
          <w:tcPr>
            <w:tcW w:w="1240" w:type="dxa"/>
            <w:tcBorders>
              <w:top w:val="single" w:sz="4" w:space="0" w:color="auto"/>
              <w:left w:val="nil"/>
              <w:bottom w:val="nil"/>
              <w:right w:val="nil"/>
            </w:tcBorders>
            <w:shd w:val="clear" w:color="auto" w:fill="auto"/>
            <w:vAlign w:val="center"/>
            <w:hideMark/>
          </w:tcPr>
          <w:p w14:paraId="22B3A6B7"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1427" w:type="dxa"/>
            <w:tcBorders>
              <w:top w:val="nil"/>
              <w:left w:val="nil"/>
              <w:bottom w:val="nil"/>
              <w:right w:val="nil"/>
            </w:tcBorders>
            <w:shd w:val="clear" w:color="auto" w:fill="auto"/>
            <w:vAlign w:val="center"/>
            <w:hideMark/>
          </w:tcPr>
          <w:p w14:paraId="610F869B" w14:textId="77777777" w:rsidR="00547F91" w:rsidRPr="00547F91" w:rsidRDefault="00547F91" w:rsidP="00547F91">
            <w:pPr>
              <w:spacing w:after="0" w:line="240" w:lineRule="auto"/>
              <w:ind w:left="0" w:right="0" w:firstLine="0"/>
              <w:rPr>
                <w:rFonts w:ascii="Arial" w:hAnsi="Arial" w:cs="Arial"/>
                <w:color w:val="auto"/>
                <w:sz w:val="20"/>
                <w:szCs w:val="20"/>
              </w:rPr>
            </w:pPr>
          </w:p>
        </w:tc>
        <w:tc>
          <w:tcPr>
            <w:tcW w:w="2838" w:type="dxa"/>
            <w:tcBorders>
              <w:top w:val="nil"/>
              <w:left w:val="nil"/>
              <w:bottom w:val="nil"/>
              <w:right w:val="nil"/>
            </w:tcBorders>
            <w:shd w:val="clear" w:color="auto" w:fill="auto"/>
            <w:vAlign w:val="center"/>
            <w:hideMark/>
          </w:tcPr>
          <w:p w14:paraId="2BABD721" w14:textId="77777777" w:rsidR="00547F91" w:rsidRPr="00547F91" w:rsidRDefault="00547F91" w:rsidP="00547F91">
            <w:pPr>
              <w:spacing w:after="0" w:line="240" w:lineRule="auto"/>
              <w:ind w:left="0" w:right="0" w:firstLine="0"/>
              <w:rPr>
                <w:rFonts w:ascii="Arial" w:hAnsi="Arial" w:cs="Arial"/>
                <w:color w:val="auto"/>
                <w:sz w:val="20"/>
                <w:szCs w:val="20"/>
              </w:rPr>
            </w:pPr>
          </w:p>
        </w:tc>
        <w:tc>
          <w:tcPr>
            <w:tcW w:w="4385" w:type="dxa"/>
            <w:tcBorders>
              <w:top w:val="nil"/>
              <w:left w:val="nil"/>
              <w:bottom w:val="nil"/>
              <w:right w:val="nil"/>
            </w:tcBorders>
            <w:shd w:val="clear" w:color="auto" w:fill="auto"/>
            <w:vAlign w:val="center"/>
            <w:hideMark/>
          </w:tcPr>
          <w:p w14:paraId="7A68D943" w14:textId="77777777" w:rsidR="00547F91" w:rsidRPr="00547F91" w:rsidRDefault="00547F91" w:rsidP="00547F91">
            <w:pPr>
              <w:spacing w:after="0" w:line="240" w:lineRule="auto"/>
              <w:ind w:left="0" w:right="0" w:firstLine="0"/>
              <w:jc w:val="left"/>
              <w:rPr>
                <w:rFonts w:ascii="Arial" w:hAnsi="Arial" w:cs="Arial"/>
                <w:color w:val="auto"/>
                <w:sz w:val="20"/>
                <w:szCs w:val="20"/>
              </w:rPr>
            </w:pPr>
          </w:p>
        </w:tc>
        <w:tc>
          <w:tcPr>
            <w:tcW w:w="2970" w:type="dxa"/>
            <w:tcBorders>
              <w:top w:val="nil"/>
              <w:left w:val="nil"/>
              <w:bottom w:val="nil"/>
              <w:right w:val="nil"/>
            </w:tcBorders>
            <w:shd w:val="clear" w:color="auto" w:fill="auto"/>
            <w:vAlign w:val="center"/>
            <w:hideMark/>
          </w:tcPr>
          <w:p w14:paraId="2363DC19" w14:textId="77777777" w:rsidR="00547F91" w:rsidRPr="00547F91" w:rsidRDefault="00547F91" w:rsidP="00547F91">
            <w:pPr>
              <w:spacing w:after="0" w:line="240" w:lineRule="auto"/>
              <w:ind w:left="0" w:right="0" w:firstLine="0"/>
              <w:jc w:val="left"/>
              <w:rPr>
                <w:rFonts w:ascii="Arial" w:hAnsi="Arial" w:cs="Arial"/>
                <w:color w:val="auto"/>
                <w:sz w:val="20"/>
                <w:szCs w:val="20"/>
              </w:rPr>
            </w:pPr>
          </w:p>
        </w:tc>
      </w:tr>
      <w:tr w:rsidR="00547F91" w:rsidRPr="00547F91" w14:paraId="27E631E1" w14:textId="77777777" w:rsidTr="00B54D4D">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A5988EA" w14:textId="0BF87043"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 xml:space="preserve">Exhibit 17: </w:t>
            </w:r>
            <w:r w:rsidR="00CD00B3">
              <w:rPr>
                <w:rFonts w:ascii="Arial" w:hAnsi="Arial" w:cs="Arial"/>
                <w:sz w:val="20"/>
                <w:szCs w:val="20"/>
              </w:rPr>
              <w:t xml:space="preserve">Annual </w:t>
            </w:r>
            <w:r w:rsidRPr="00547F91">
              <w:rPr>
                <w:rFonts w:ascii="Arial" w:hAnsi="Arial" w:cs="Arial"/>
                <w:sz w:val="20"/>
                <w:szCs w:val="20"/>
              </w:rPr>
              <w:t>Dental Provider Network</w:t>
            </w:r>
            <w:r w:rsidRPr="00547F91">
              <w:rPr>
                <w:rFonts w:ascii="Arial" w:hAnsi="Arial" w:cs="Arial"/>
                <w:color w:val="auto"/>
                <w:sz w:val="16"/>
                <w:szCs w:val="16"/>
              </w:rPr>
              <w:t> </w:t>
            </w:r>
            <w:r w:rsidRPr="00547F91">
              <w:rPr>
                <w:rFonts w:ascii="Arial" w:hAnsi="Arial" w:cs="Arial"/>
                <w:sz w:val="20"/>
                <w:szCs w:val="20"/>
              </w:rPr>
              <w:t xml:space="preserve"> </w:t>
            </w:r>
            <w:r w:rsidR="00CD00B3">
              <w:rPr>
                <w:rFonts w:ascii="Arial" w:hAnsi="Arial" w:cs="Arial"/>
                <w:sz w:val="20"/>
                <w:szCs w:val="20"/>
              </w:rPr>
              <w:t>Report</w:t>
            </w:r>
          </w:p>
        </w:tc>
      </w:tr>
      <w:tr w:rsidR="00085776" w:rsidRPr="00221D33" w14:paraId="1FB42B7A" w14:textId="77777777" w:rsidTr="00A65460">
        <w:trPr>
          <w:trHeight w:val="863"/>
        </w:trPr>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45145968"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17a-17b</w:t>
            </w:r>
          </w:p>
        </w:tc>
        <w:tc>
          <w:tcPr>
            <w:tcW w:w="1427" w:type="dxa"/>
            <w:vMerge w:val="restart"/>
            <w:tcBorders>
              <w:top w:val="nil"/>
              <w:left w:val="single" w:sz="4" w:space="0" w:color="auto"/>
              <w:bottom w:val="single" w:sz="4" w:space="0" w:color="000000"/>
              <w:right w:val="single" w:sz="4" w:space="0" w:color="auto"/>
            </w:tcBorders>
            <w:shd w:val="clear" w:color="auto" w:fill="auto"/>
            <w:vAlign w:val="center"/>
            <w:hideMark/>
          </w:tcPr>
          <w:p w14:paraId="38B6CE5D"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Annual</w:t>
            </w:r>
          </w:p>
        </w:tc>
        <w:tc>
          <w:tcPr>
            <w:tcW w:w="2838" w:type="dxa"/>
            <w:tcBorders>
              <w:top w:val="nil"/>
              <w:left w:val="nil"/>
              <w:bottom w:val="single" w:sz="4" w:space="0" w:color="auto"/>
              <w:right w:val="single" w:sz="4" w:space="0" w:color="auto"/>
            </w:tcBorders>
            <w:shd w:val="clear" w:color="auto" w:fill="auto"/>
            <w:vAlign w:val="center"/>
            <w:hideMark/>
          </w:tcPr>
          <w:p w14:paraId="5817889F" w14:textId="7DD6F113" w:rsidR="00547F91" w:rsidRPr="00547F91" w:rsidRDefault="00185E41" w:rsidP="00547F91">
            <w:pPr>
              <w:spacing w:after="0" w:line="240" w:lineRule="auto"/>
              <w:ind w:left="0" w:right="0" w:firstLine="0"/>
              <w:jc w:val="left"/>
              <w:rPr>
                <w:rFonts w:ascii="Arial" w:hAnsi="Arial" w:cs="Arial"/>
                <w:sz w:val="20"/>
                <w:szCs w:val="20"/>
              </w:rPr>
            </w:pPr>
            <w:r>
              <w:rPr>
                <w:rFonts w:ascii="Arial" w:hAnsi="Arial" w:cs="Arial"/>
                <w:sz w:val="20"/>
                <w:szCs w:val="20"/>
              </w:rPr>
              <w:t xml:space="preserve">Annual </w:t>
            </w:r>
            <w:r w:rsidR="00547F91" w:rsidRPr="00547F91">
              <w:rPr>
                <w:rFonts w:ascii="Arial" w:hAnsi="Arial" w:cs="Arial"/>
                <w:sz w:val="20"/>
                <w:szCs w:val="20"/>
              </w:rPr>
              <w:t>PPO Dental Provider Network</w:t>
            </w:r>
          </w:p>
        </w:tc>
        <w:tc>
          <w:tcPr>
            <w:tcW w:w="4385" w:type="dxa"/>
            <w:vMerge w:val="restart"/>
            <w:tcBorders>
              <w:top w:val="nil"/>
              <w:left w:val="single" w:sz="4" w:space="0" w:color="auto"/>
              <w:bottom w:val="single" w:sz="4" w:space="0" w:color="000000"/>
              <w:right w:val="single" w:sz="4" w:space="0" w:color="auto"/>
            </w:tcBorders>
            <w:shd w:val="clear" w:color="auto" w:fill="auto"/>
            <w:vAlign w:val="center"/>
            <w:hideMark/>
          </w:tcPr>
          <w:p w14:paraId="19E11681"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February 20</w:t>
            </w:r>
            <w:r w:rsidRPr="00547F91">
              <w:rPr>
                <w:rFonts w:ascii="Arial" w:hAnsi="Arial" w:cs="Arial"/>
                <w:sz w:val="20"/>
                <w:szCs w:val="20"/>
                <w:vertAlign w:val="superscript"/>
              </w:rPr>
              <w:t>th</w:t>
            </w:r>
            <w:r w:rsidRPr="00547F91">
              <w:rPr>
                <w:rFonts w:ascii="Arial" w:hAnsi="Arial" w:cs="Arial"/>
                <w:sz w:val="20"/>
                <w:szCs w:val="20"/>
              </w:rPr>
              <w:t xml:space="preserve"> of each current plan year (data as of January 31 of the same plan year)</w:t>
            </w:r>
          </w:p>
        </w:tc>
        <w:tc>
          <w:tcPr>
            <w:tcW w:w="2970" w:type="dxa"/>
            <w:tcBorders>
              <w:top w:val="nil"/>
              <w:left w:val="nil"/>
              <w:bottom w:val="single" w:sz="4" w:space="0" w:color="auto"/>
              <w:right w:val="single" w:sz="4" w:space="0" w:color="auto"/>
            </w:tcBorders>
            <w:shd w:val="clear" w:color="auto" w:fill="auto"/>
            <w:vAlign w:val="center"/>
            <w:hideMark/>
          </w:tcPr>
          <w:p w14:paraId="6B290510"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“PPO Network”</w:t>
            </w:r>
          </w:p>
        </w:tc>
      </w:tr>
      <w:tr w:rsidR="00085776" w:rsidRPr="00221D33" w14:paraId="341E52C2" w14:textId="77777777" w:rsidTr="00A65460">
        <w:trPr>
          <w:trHeight w:val="836"/>
        </w:trPr>
        <w:tc>
          <w:tcPr>
            <w:tcW w:w="1240" w:type="dxa"/>
            <w:vMerge/>
            <w:tcBorders>
              <w:top w:val="nil"/>
              <w:left w:val="single" w:sz="4" w:space="0" w:color="auto"/>
              <w:bottom w:val="single" w:sz="4" w:space="0" w:color="000000"/>
              <w:right w:val="single" w:sz="4" w:space="0" w:color="auto"/>
            </w:tcBorders>
            <w:vAlign w:val="center"/>
            <w:hideMark/>
          </w:tcPr>
          <w:p w14:paraId="5DF4BA1D"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1427" w:type="dxa"/>
            <w:vMerge/>
            <w:tcBorders>
              <w:top w:val="nil"/>
              <w:left w:val="single" w:sz="4" w:space="0" w:color="auto"/>
              <w:bottom w:val="single" w:sz="4" w:space="0" w:color="000000"/>
              <w:right w:val="single" w:sz="4" w:space="0" w:color="auto"/>
            </w:tcBorders>
            <w:vAlign w:val="center"/>
            <w:hideMark/>
          </w:tcPr>
          <w:p w14:paraId="1094DFBA"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2838" w:type="dxa"/>
            <w:tcBorders>
              <w:top w:val="nil"/>
              <w:left w:val="nil"/>
              <w:bottom w:val="single" w:sz="4" w:space="0" w:color="auto"/>
              <w:right w:val="single" w:sz="4" w:space="0" w:color="auto"/>
            </w:tcBorders>
            <w:shd w:val="clear" w:color="auto" w:fill="auto"/>
            <w:vAlign w:val="center"/>
            <w:hideMark/>
          </w:tcPr>
          <w:p w14:paraId="3A579958" w14:textId="1996C934" w:rsidR="00547F91" w:rsidRPr="00547F91" w:rsidRDefault="00185E41" w:rsidP="00547F91">
            <w:pPr>
              <w:spacing w:after="0" w:line="240" w:lineRule="auto"/>
              <w:ind w:left="0" w:right="0" w:firstLine="0"/>
              <w:jc w:val="left"/>
              <w:rPr>
                <w:rFonts w:ascii="Arial" w:hAnsi="Arial" w:cs="Arial"/>
                <w:sz w:val="20"/>
                <w:szCs w:val="20"/>
              </w:rPr>
            </w:pPr>
            <w:r>
              <w:rPr>
                <w:rFonts w:ascii="Arial" w:hAnsi="Arial" w:cs="Arial"/>
                <w:sz w:val="20"/>
                <w:szCs w:val="20"/>
              </w:rPr>
              <w:t xml:space="preserve">Annual </w:t>
            </w:r>
            <w:r w:rsidR="00547F91" w:rsidRPr="00547F91">
              <w:rPr>
                <w:rFonts w:ascii="Arial" w:hAnsi="Arial" w:cs="Arial"/>
                <w:sz w:val="20"/>
                <w:szCs w:val="20"/>
              </w:rPr>
              <w:t>Prepaid/Managed Dental Provider Network</w:t>
            </w:r>
          </w:p>
        </w:tc>
        <w:tc>
          <w:tcPr>
            <w:tcW w:w="4385" w:type="dxa"/>
            <w:vMerge/>
            <w:tcBorders>
              <w:top w:val="nil"/>
              <w:left w:val="single" w:sz="4" w:space="0" w:color="auto"/>
              <w:bottom w:val="single" w:sz="4" w:space="0" w:color="000000"/>
              <w:right w:val="single" w:sz="4" w:space="0" w:color="auto"/>
            </w:tcBorders>
            <w:vAlign w:val="center"/>
            <w:hideMark/>
          </w:tcPr>
          <w:p w14:paraId="4DA29657"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2970" w:type="dxa"/>
            <w:tcBorders>
              <w:top w:val="nil"/>
              <w:left w:val="nil"/>
              <w:bottom w:val="single" w:sz="4" w:space="0" w:color="auto"/>
              <w:right w:val="single" w:sz="4" w:space="0" w:color="auto"/>
            </w:tcBorders>
            <w:shd w:val="clear" w:color="auto" w:fill="auto"/>
            <w:vAlign w:val="center"/>
            <w:hideMark/>
          </w:tcPr>
          <w:p w14:paraId="716E6B7B"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“Prepaid Network”</w:t>
            </w:r>
          </w:p>
        </w:tc>
      </w:tr>
      <w:tr w:rsidR="00085776" w:rsidRPr="00221D33" w14:paraId="7D44DD74" w14:textId="77777777" w:rsidTr="00B54D4D">
        <w:trPr>
          <w:trHeight w:val="315"/>
        </w:trPr>
        <w:tc>
          <w:tcPr>
            <w:tcW w:w="1240" w:type="dxa"/>
            <w:tcBorders>
              <w:top w:val="nil"/>
              <w:left w:val="nil"/>
              <w:bottom w:val="nil"/>
              <w:right w:val="nil"/>
            </w:tcBorders>
            <w:shd w:val="clear" w:color="auto" w:fill="auto"/>
            <w:vAlign w:val="center"/>
            <w:hideMark/>
          </w:tcPr>
          <w:p w14:paraId="0A59A6BC" w14:textId="77777777" w:rsidR="00547F91" w:rsidRPr="00547F91" w:rsidRDefault="00547F91" w:rsidP="00547F91">
            <w:pPr>
              <w:spacing w:after="0" w:line="240" w:lineRule="auto"/>
              <w:ind w:left="0" w:right="0" w:firstLine="0"/>
              <w:jc w:val="left"/>
              <w:rPr>
                <w:rFonts w:ascii="Arial" w:hAnsi="Arial" w:cs="Arial"/>
                <w:sz w:val="20"/>
                <w:szCs w:val="20"/>
              </w:rPr>
            </w:pPr>
          </w:p>
        </w:tc>
        <w:tc>
          <w:tcPr>
            <w:tcW w:w="1427" w:type="dxa"/>
            <w:tcBorders>
              <w:top w:val="nil"/>
              <w:left w:val="nil"/>
              <w:bottom w:val="nil"/>
              <w:right w:val="nil"/>
            </w:tcBorders>
            <w:shd w:val="clear" w:color="auto" w:fill="auto"/>
            <w:vAlign w:val="center"/>
            <w:hideMark/>
          </w:tcPr>
          <w:p w14:paraId="2C5E2E00" w14:textId="77777777" w:rsidR="00547F91" w:rsidRPr="00547F91" w:rsidRDefault="00547F91" w:rsidP="00547F91">
            <w:pPr>
              <w:spacing w:after="0" w:line="240" w:lineRule="auto"/>
              <w:ind w:left="0" w:right="0" w:firstLine="0"/>
              <w:jc w:val="center"/>
              <w:rPr>
                <w:rFonts w:ascii="Arial" w:hAnsi="Arial" w:cs="Arial"/>
                <w:color w:val="auto"/>
                <w:sz w:val="20"/>
                <w:szCs w:val="20"/>
              </w:rPr>
            </w:pPr>
          </w:p>
        </w:tc>
        <w:tc>
          <w:tcPr>
            <w:tcW w:w="2838" w:type="dxa"/>
            <w:tcBorders>
              <w:top w:val="nil"/>
              <w:left w:val="nil"/>
              <w:bottom w:val="single" w:sz="4" w:space="0" w:color="auto"/>
              <w:right w:val="nil"/>
            </w:tcBorders>
            <w:shd w:val="clear" w:color="auto" w:fill="auto"/>
            <w:vAlign w:val="center"/>
            <w:hideMark/>
          </w:tcPr>
          <w:p w14:paraId="34177637"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 </w:t>
            </w:r>
          </w:p>
        </w:tc>
        <w:tc>
          <w:tcPr>
            <w:tcW w:w="4385" w:type="dxa"/>
            <w:tcBorders>
              <w:top w:val="nil"/>
              <w:left w:val="nil"/>
              <w:bottom w:val="single" w:sz="4" w:space="0" w:color="auto"/>
              <w:right w:val="nil"/>
            </w:tcBorders>
            <w:shd w:val="clear" w:color="auto" w:fill="auto"/>
            <w:vAlign w:val="center"/>
            <w:hideMark/>
          </w:tcPr>
          <w:p w14:paraId="031EE903"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 </w:t>
            </w:r>
          </w:p>
        </w:tc>
        <w:tc>
          <w:tcPr>
            <w:tcW w:w="2970" w:type="dxa"/>
            <w:tcBorders>
              <w:top w:val="nil"/>
              <w:left w:val="nil"/>
              <w:bottom w:val="single" w:sz="4" w:space="0" w:color="auto"/>
              <w:right w:val="nil"/>
            </w:tcBorders>
            <w:shd w:val="clear" w:color="auto" w:fill="auto"/>
            <w:vAlign w:val="center"/>
            <w:hideMark/>
          </w:tcPr>
          <w:p w14:paraId="53DDC113"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 </w:t>
            </w:r>
          </w:p>
        </w:tc>
      </w:tr>
      <w:tr w:rsidR="00547F91" w:rsidRPr="00547F91" w14:paraId="0AC51958" w14:textId="77777777" w:rsidTr="00B54D4D">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5F09D08" w14:textId="5DCD8826"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Exhibit</w:t>
            </w:r>
            <w:r w:rsidR="00125204">
              <w:rPr>
                <w:rFonts w:ascii="Arial" w:hAnsi="Arial" w:cs="Arial"/>
                <w:sz w:val="20"/>
                <w:szCs w:val="20"/>
              </w:rPr>
              <w:t>s</w:t>
            </w:r>
            <w:r w:rsidRPr="00547F91">
              <w:rPr>
                <w:rFonts w:ascii="Arial" w:hAnsi="Arial" w:cs="Arial"/>
                <w:sz w:val="20"/>
                <w:szCs w:val="20"/>
              </w:rPr>
              <w:t xml:space="preserve"> 18</w:t>
            </w:r>
            <w:r w:rsidR="00125204">
              <w:rPr>
                <w:rFonts w:ascii="Arial" w:hAnsi="Arial" w:cs="Arial"/>
                <w:sz w:val="20"/>
                <w:szCs w:val="20"/>
              </w:rPr>
              <w:t>A and 18B</w:t>
            </w:r>
            <w:r w:rsidRPr="00547F91">
              <w:rPr>
                <w:rFonts w:ascii="Arial" w:hAnsi="Arial" w:cs="Arial"/>
                <w:sz w:val="20"/>
                <w:szCs w:val="20"/>
              </w:rPr>
              <w:t>: Individual Employer Experience</w:t>
            </w:r>
            <w:r w:rsidR="00125204">
              <w:rPr>
                <w:rFonts w:ascii="Arial" w:hAnsi="Arial" w:cs="Arial"/>
                <w:sz w:val="20"/>
                <w:szCs w:val="20"/>
              </w:rPr>
              <w:t xml:space="preserve"> Instructions and</w:t>
            </w:r>
            <w:r w:rsidRPr="00547F91">
              <w:rPr>
                <w:rFonts w:ascii="Arial" w:hAnsi="Arial" w:cs="Arial"/>
                <w:sz w:val="20"/>
                <w:szCs w:val="20"/>
              </w:rPr>
              <w:t xml:space="preserve"> Reports</w:t>
            </w:r>
          </w:p>
        </w:tc>
      </w:tr>
      <w:tr w:rsidR="00085776" w:rsidRPr="00221D33" w14:paraId="6EDC5F76" w14:textId="77777777" w:rsidTr="006B5B5A">
        <w:trPr>
          <w:trHeight w:val="746"/>
        </w:trPr>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19FA4C79" w14:textId="3A7F4D08" w:rsidR="00547F91" w:rsidRDefault="00125204" w:rsidP="00B0576D">
            <w:pPr>
              <w:spacing w:after="0" w:line="240" w:lineRule="auto"/>
              <w:ind w:left="0" w:right="0" w:firstLine="0"/>
              <w:jc w:val="left"/>
              <w:rPr>
                <w:rFonts w:ascii="Arial" w:hAnsi="Arial" w:cs="Arial"/>
                <w:sz w:val="20"/>
                <w:szCs w:val="20"/>
              </w:rPr>
            </w:pPr>
            <w:r>
              <w:rPr>
                <w:rFonts w:ascii="Arial" w:hAnsi="Arial" w:cs="Arial"/>
                <w:sz w:val="20"/>
                <w:szCs w:val="20"/>
              </w:rPr>
              <w:t>18A</w:t>
            </w:r>
            <w:r w:rsidR="00B0576D">
              <w:rPr>
                <w:rFonts w:ascii="Arial" w:hAnsi="Arial" w:cs="Arial"/>
                <w:sz w:val="20"/>
                <w:szCs w:val="20"/>
              </w:rPr>
              <w:t xml:space="preserve"> Instructions</w:t>
            </w:r>
          </w:p>
          <w:p w14:paraId="0C257B77" w14:textId="77777777" w:rsidR="00125204" w:rsidRDefault="00125204" w:rsidP="00B0576D">
            <w:pPr>
              <w:spacing w:after="0" w:line="240" w:lineRule="auto"/>
              <w:ind w:left="0" w:right="0" w:firstLine="0"/>
              <w:jc w:val="left"/>
              <w:rPr>
                <w:rFonts w:ascii="Arial" w:hAnsi="Arial" w:cs="Arial"/>
                <w:sz w:val="20"/>
                <w:szCs w:val="20"/>
              </w:rPr>
            </w:pPr>
          </w:p>
          <w:p w14:paraId="13BB749C" w14:textId="71134AB2" w:rsidR="00125204" w:rsidRDefault="00125204" w:rsidP="00B0576D">
            <w:pPr>
              <w:spacing w:after="0" w:line="240" w:lineRule="auto"/>
              <w:ind w:left="0" w:right="0" w:firstLine="0"/>
              <w:jc w:val="left"/>
              <w:rPr>
                <w:rFonts w:ascii="Arial" w:hAnsi="Arial" w:cs="Arial"/>
                <w:sz w:val="20"/>
                <w:szCs w:val="20"/>
              </w:rPr>
            </w:pPr>
            <w:r>
              <w:rPr>
                <w:rFonts w:ascii="Arial" w:hAnsi="Arial" w:cs="Arial"/>
                <w:sz w:val="20"/>
                <w:szCs w:val="20"/>
              </w:rPr>
              <w:t>18B Reports</w:t>
            </w:r>
          </w:p>
          <w:p w14:paraId="466A0BDA" w14:textId="3E20F1DB" w:rsidR="00125204" w:rsidRPr="00547F91" w:rsidRDefault="00125204" w:rsidP="00B0576D">
            <w:pPr>
              <w:spacing w:after="0" w:line="240" w:lineRule="auto"/>
              <w:ind w:left="0" w:right="0" w:firstLine="0"/>
              <w:jc w:val="left"/>
              <w:rPr>
                <w:rFonts w:ascii="Arial" w:hAnsi="Arial" w:cs="Arial"/>
                <w:sz w:val="20"/>
                <w:szCs w:val="20"/>
              </w:rPr>
            </w:pPr>
            <w:r>
              <w:rPr>
                <w:rFonts w:ascii="Arial" w:hAnsi="Arial" w:cs="Arial"/>
                <w:sz w:val="20"/>
                <w:szCs w:val="20"/>
              </w:rPr>
              <w:t>18a-18b</w:t>
            </w:r>
          </w:p>
        </w:tc>
        <w:tc>
          <w:tcPr>
            <w:tcW w:w="1427" w:type="dxa"/>
            <w:vMerge w:val="restart"/>
            <w:tcBorders>
              <w:top w:val="nil"/>
              <w:left w:val="single" w:sz="4" w:space="0" w:color="auto"/>
              <w:bottom w:val="single" w:sz="4" w:space="0" w:color="000000"/>
              <w:right w:val="single" w:sz="4" w:space="0" w:color="auto"/>
            </w:tcBorders>
            <w:shd w:val="clear" w:color="auto" w:fill="auto"/>
            <w:vAlign w:val="center"/>
            <w:hideMark/>
          </w:tcPr>
          <w:p w14:paraId="6D557D97"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As requested</w:t>
            </w:r>
          </w:p>
        </w:tc>
        <w:tc>
          <w:tcPr>
            <w:tcW w:w="2838" w:type="dxa"/>
            <w:vMerge w:val="restart"/>
            <w:tcBorders>
              <w:top w:val="nil"/>
              <w:left w:val="single" w:sz="4" w:space="0" w:color="auto"/>
              <w:bottom w:val="single" w:sz="4" w:space="0" w:color="000000"/>
              <w:right w:val="single" w:sz="4" w:space="0" w:color="auto"/>
            </w:tcBorders>
            <w:shd w:val="clear" w:color="auto" w:fill="auto"/>
            <w:vAlign w:val="center"/>
            <w:hideMark/>
          </w:tcPr>
          <w:p w14:paraId="03BFEA11"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Individual Employer Experience Reports</w:t>
            </w:r>
          </w:p>
        </w:tc>
        <w:tc>
          <w:tcPr>
            <w:tcW w:w="4385" w:type="dxa"/>
            <w:vMerge w:val="restart"/>
            <w:tcBorders>
              <w:top w:val="nil"/>
              <w:left w:val="single" w:sz="4" w:space="0" w:color="auto"/>
              <w:bottom w:val="single" w:sz="4" w:space="0" w:color="000000"/>
              <w:right w:val="single" w:sz="4" w:space="0" w:color="auto"/>
            </w:tcBorders>
            <w:shd w:val="clear" w:color="auto" w:fill="auto"/>
            <w:vAlign w:val="center"/>
            <w:hideMark/>
          </w:tcPr>
          <w:p w14:paraId="74834A57"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Within ten (10) business days from EGID request.</w:t>
            </w:r>
          </w:p>
        </w:tc>
        <w:tc>
          <w:tcPr>
            <w:tcW w:w="2970" w:type="dxa"/>
            <w:tcBorders>
              <w:top w:val="nil"/>
              <w:left w:val="nil"/>
              <w:bottom w:val="single" w:sz="4" w:space="0" w:color="auto"/>
              <w:right w:val="single" w:sz="4" w:space="0" w:color="auto"/>
            </w:tcBorders>
            <w:shd w:val="clear" w:color="auto" w:fill="auto"/>
            <w:vAlign w:val="center"/>
            <w:hideMark/>
          </w:tcPr>
          <w:p w14:paraId="6BC7E656" w14:textId="77777777" w:rsidR="00547F91" w:rsidRPr="00547F91" w:rsidRDefault="00547F91" w:rsidP="00547F91">
            <w:pPr>
              <w:spacing w:after="0" w:line="240" w:lineRule="auto"/>
              <w:ind w:left="0" w:right="0" w:firstLine="0"/>
              <w:jc w:val="left"/>
              <w:rPr>
                <w:rFonts w:ascii="Arial" w:hAnsi="Arial" w:cs="Arial"/>
                <w:sz w:val="20"/>
                <w:szCs w:val="20"/>
              </w:rPr>
            </w:pPr>
            <w:r w:rsidRPr="00547F91">
              <w:rPr>
                <w:rFonts w:ascii="Arial" w:hAnsi="Arial" w:cs="Arial"/>
                <w:sz w:val="20"/>
                <w:szCs w:val="20"/>
              </w:rPr>
              <w:t>“Experience”</w:t>
            </w:r>
          </w:p>
        </w:tc>
      </w:tr>
      <w:tr w:rsidR="00085776" w:rsidRPr="00221D33" w14:paraId="1A4B2193" w14:textId="346DA8A9" w:rsidTr="006B5B5A">
        <w:trPr>
          <w:trHeight w:val="881"/>
        </w:trPr>
        <w:tc>
          <w:tcPr>
            <w:tcW w:w="1240" w:type="dxa"/>
            <w:vMerge/>
            <w:tcBorders>
              <w:top w:val="nil"/>
              <w:left w:val="single" w:sz="4" w:space="0" w:color="auto"/>
              <w:bottom w:val="single" w:sz="4" w:space="0" w:color="000000"/>
              <w:right w:val="single" w:sz="4" w:space="0" w:color="auto"/>
            </w:tcBorders>
            <w:vAlign w:val="center"/>
            <w:hideMark/>
          </w:tcPr>
          <w:p w14:paraId="17471334" w14:textId="77777777" w:rsidR="00085776" w:rsidRPr="00547F91" w:rsidRDefault="00085776" w:rsidP="00085776">
            <w:pPr>
              <w:spacing w:after="0" w:line="240" w:lineRule="auto"/>
              <w:ind w:left="0" w:right="0" w:firstLine="0"/>
              <w:jc w:val="left"/>
              <w:rPr>
                <w:rFonts w:ascii="Arial" w:hAnsi="Arial" w:cs="Arial"/>
                <w:sz w:val="20"/>
                <w:szCs w:val="20"/>
              </w:rPr>
            </w:pPr>
          </w:p>
        </w:tc>
        <w:tc>
          <w:tcPr>
            <w:tcW w:w="1427" w:type="dxa"/>
            <w:vMerge/>
            <w:tcBorders>
              <w:top w:val="nil"/>
              <w:left w:val="single" w:sz="4" w:space="0" w:color="auto"/>
              <w:bottom w:val="single" w:sz="4" w:space="0" w:color="000000"/>
              <w:right w:val="single" w:sz="4" w:space="0" w:color="auto"/>
            </w:tcBorders>
            <w:vAlign w:val="center"/>
            <w:hideMark/>
          </w:tcPr>
          <w:p w14:paraId="1CB86392" w14:textId="77777777" w:rsidR="00085776" w:rsidRPr="00547F91" w:rsidRDefault="00085776" w:rsidP="00085776">
            <w:pPr>
              <w:spacing w:after="0" w:line="240" w:lineRule="auto"/>
              <w:ind w:left="0" w:right="0" w:firstLine="0"/>
              <w:jc w:val="left"/>
              <w:rPr>
                <w:rFonts w:ascii="Arial" w:hAnsi="Arial" w:cs="Arial"/>
                <w:sz w:val="20"/>
                <w:szCs w:val="20"/>
              </w:rPr>
            </w:pPr>
          </w:p>
        </w:tc>
        <w:tc>
          <w:tcPr>
            <w:tcW w:w="2838" w:type="dxa"/>
            <w:vMerge/>
            <w:tcBorders>
              <w:top w:val="nil"/>
              <w:left w:val="single" w:sz="4" w:space="0" w:color="auto"/>
              <w:bottom w:val="single" w:sz="4" w:space="0" w:color="000000"/>
              <w:right w:val="single" w:sz="4" w:space="0" w:color="auto"/>
            </w:tcBorders>
            <w:vAlign w:val="center"/>
            <w:hideMark/>
          </w:tcPr>
          <w:p w14:paraId="68D09BEC" w14:textId="77777777" w:rsidR="00085776" w:rsidRPr="00547F91" w:rsidRDefault="00085776" w:rsidP="00085776">
            <w:pPr>
              <w:spacing w:after="0" w:line="240" w:lineRule="auto"/>
              <w:ind w:left="0" w:right="0" w:firstLine="0"/>
              <w:jc w:val="left"/>
              <w:rPr>
                <w:rFonts w:ascii="Arial" w:hAnsi="Arial" w:cs="Arial"/>
                <w:sz w:val="20"/>
                <w:szCs w:val="20"/>
              </w:rPr>
            </w:pPr>
          </w:p>
        </w:tc>
        <w:tc>
          <w:tcPr>
            <w:tcW w:w="4385" w:type="dxa"/>
            <w:vMerge/>
            <w:tcBorders>
              <w:top w:val="nil"/>
              <w:left w:val="single" w:sz="4" w:space="0" w:color="auto"/>
              <w:bottom w:val="single" w:sz="4" w:space="0" w:color="000000"/>
              <w:right w:val="single" w:sz="4" w:space="0" w:color="auto"/>
            </w:tcBorders>
            <w:vAlign w:val="center"/>
            <w:hideMark/>
          </w:tcPr>
          <w:p w14:paraId="25FA9C4E" w14:textId="77777777" w:rsidR="00085776" w:rsidRPr="00547F91" w:rsidRDefault="00085776" w:rsidP="00085776">
            <w:pPr>
              <w:spacing w:after="0" w:line="240" w:lineRule="auto"/>
              <w:ind w:left="0" w:right="0" w:firstLine="0"/>
              <w:jc w:val="left"/>
              <w:rPr>
                <w:rFonts w:ascii="Arial" w:hAnsi="Arial" w:cs="Arial"/>
                <w:sz w:val="20"/>
                <w:szCs w:val="20"/>
              </w:rPr>
            </w:pPr>
          </w:p>
        </w:tc>
        <w:tc>
          <w:tcPr>
            <w:tcW w:w="2970" w:type="dxa"/>
            <w:tcBorders>
              <w:top w:val="nil"/>
              <w:left w:val="single" w:sz="4" w:space="0" w:color="auto"/>
              <w:bottom w:val="single" w:sz="4" w:space="0" w:color="000000"/>
              <w:right w:val="single" w:sz="4" w:space="0" w:color="auto"/>
            </w:tcBorders>
            <w:vAlign w:val="center"/>
          </w:tcPr>
          <w:p w14:paraId="6DEC1DC7" w14:textId="4CFFCED7" w:rsidR="00085776" w:rsidRPr="00221D33" w:rsidRDefault="00085776" w:rsidP="00085776">
            <w:pPr>
              <w:spacing w:after="0" w:line="240" w:lineRule="auto"/>
              <w:ind w:left="0" w:right="0" w:firstLine="0"/>
              <w:jc w:val="left"/>
              <w:rPr>
                <w:rFonts w:ascii="Arial" w:hAnsi="Arial" w:cs="Arial"/>
                <w:sz w:val="20"/>
                <w:szCs w:val="20"/>
              </w:rPr>
            </w:pPr>
            <w:r w:rsidRPr="00221D33">
              <w:rPr>
                <w:rFonts w:ascii="Arial" w:hAnsi="Arial" w:cs="Arial"/>
                <w:sz w:val="20"/>
                <w:szCs w:val="20"/>
              </w:rPr>
              <w:t>“Dental Claims &amp; Enrollment”</w:t>
            </w:r>
          </w:p>
        </w:tc>
      </w:tr>
      <w:tr w:rsidR="00085776" w:rsidRPr="00221D33" w14:paraId="2346782B" w14:textId="77777777" w:rsidTr="00B54D4D">
        <w:trPr>
          <w:trHeight w:val="300"/>
        </w:trPr>
        <w:tc>
          <w:tcPr>
            <w:tcW w:w="1240" w:type="dxa"/>
            <w:tcBorders>
              <w:top w:val="nil"/>
              <w:left w:val="nil"/>
              <w:bottom w:val="single" w:sz="4" w:space="0" w:color="auto"/>
              <w:right w:val="nil"/>
            </w:tcBorders>
            <w:shd w:val="clear" w:color="auto" w:fill="auto"/>
            <w:vAlign w:val="center"/>
            <w:hideMark/>
          </w:tcPr>
          <w:p w14:paraId="4F53B195" w14:textId="77777777" w:rsidR="00085776" w:rsidRPr="00547F91" w:rsidRDefault="00085776" w:rsidP="00085776">
            <w:pPr>
              <w:spacing w:after="0" w:line="240" w:lineRule="auto"/>
              <w:ind w:left="0" w:right="0" w:firstLine="0"/>
              <w:jc w:val="left"/>
              <w:rPr>
                <w:rFonts w:ascii="Arial" w:hAnsi="Arial" w:cs="Arial"/>
                <w:sz w:val="20"/>
                <w:szCs w:val="20"/>
              </w:rPr>
            </w:pPr>
          </w:p>
        </w:tc>
        <w:tc>
          <w:tcPr>
            <w:tcW w:w="1427" w:type="dxa"/>
            <w:tcBorders>
              <w:top w:val="nil"/>
              <w:left w:val="nil"/>
              <w:bottom w:val="single" w:sz="4" w:space="0" w:color="auto"/>
              <w:right w:val="nil"/>
            </w:tcBorders>
            <w:shd w:val="clear" w:color="auto" w:fill="auto"/>
            <w:vAlign w:val="center"/>
            <w:hideMark/>
          </w:tcPr>
          <w:p w14:paraId="58D08F46" w14:textId="77777777" w:rsidR="00085776" w:rsidRPr="00547F91" w:rsidRDefault="00085776" w:rsidP="00085776">
            <w:pPr>
              <w:spacing w:after="0" w:line="240" w:lineRule="auto"/>
              <w:ind w:left="0" w:right="0" w:firstLine="0"/>
              <w:jc w:val="left"/>
              <w:rPr>
                <w:rFonts w:ascii="Arial" w:hAnsi="Arial" w:cs="Arial"/>
                <w:color w:val="auto"/>
                <w:sz w:val="20"/>
                <w:szCs w:val="20"/>
              </w:rPr>
            </w:pPr>
          </w:p>
        </w:tc>
        <w:tc>
          <w:tcPr>
            <w:tcW w:w="2838" w:type="dxa"/>
            <w:tcBorders>
              <w:top w:val="nil"/>
              <w:left w:val="nil"/>
              <w:bottom w:val="single" w:sz="4" w:space="0" w:color="auto"/>
              <w:right w:val="nil"/>
            </w:tcBorders>
            <w:shd w:val="clear" w:color="auto" w:fill="auto"/>
            <w:vAlign w:val="center"/>
            <w:hideMark/>
          </w:tcPr>
          <w:p w14:paraId="54154AB8" w14:textId="77777777" w:rsidR="00085776" w:rsidRPr="00547F91" w:rsidRDefault="00085776" w:rsidP="00085776">
            <w:pPr>
              <w:spacing w:after="0" w:line="240" w:lineRule="auto"/>
              <w:ind w:left="0" w:right="0" w:firstLine="0"/>
              <w:jc w:val="left"/>
              <w:rPr>
                <w:rFonts w:ascii="Arial" w:hAnsi="Arial" w:cs="Arial"/>
                <w:sz w:val="20"/>
                <w:szCs w:val="20"/>
              </w:rPr>
            </w:pPr>
            <w:r w:rsidRPr="00547F91">
              <w:rPr>
                <w:rFonts w:ascii="Arial" w:hAnsi="Arial" w:cs="Arial"/>
                <w:sz w:val="20"/>
                <w:szCs w:val="20"/>
              </w:rPr>
              <w:t> </w:t>
            </w:r>
          </w:p>
        </w:tc>
        <w:tc>
          <w:tcPr>
            <w:tcW w:w="4385" w:type="dxa"/>
            <w:tcBorders>
              <w:top w:val="nil"/>
              <w:left w:val="nil"/>
              <w:bottom w:val="single" w:sz="4" w:space="0" w:color="auto"/>
              <w:right w:val="nil"/>
            </w:tcBorders>
            <w:shd w:val="clear" w:color="auto" w:fill="auto"/>
            <w:vAlign w:val="center"/>
            <w:hideMark/>
          </w:tcPr>
          <w:p w14:paraId="4FE049F6" w14:textId="77777777" w:rsidR="00085776" w:rsidRPr="00547F91" w:rsidRDefault="00085776" w:rsidP="00085776">
            <w:pPr>
              <w:spacing w:after="0" w:line="240" w:lineRule="auto"/>
              <w:ind w:left="0" w:right="0" w:firstLine="0"/>
              <w:jc w:val="left"/>
              <w:rPr>
                <w:rFonts w:ascii="Arial" w:hAnsi="Arial" w:cs="Arial"/>
                <w:sz w:val="20"/>
                <w:szCs w:val="20"/>
              </w:rPr>
            </w:pPr>
            <w:r w:rsidRPr="00547F91">
              <w:rPr>
                <w:rFonts w:ascii="Arial" w:hAnsi="Arial" w:cs="Arial"/>
                <w:sz w:val="20"/>
                <w:szCs w:val="20"/>
              </w:rPr>
              <w:t> </w:t>
            </w:r>
          </w:p>
        </w:tc>
        <w:tc>
          <w:tcPr>
            <w:tcW w:w="2970" w:type="dxa"/>
            <w:tcBorders>
              <w:top w:val="nil"/>
              <w:left w:val="nil"/>
              <w:bottom w:val="single" w:sz="4" w:space="0" w:color="auto"/>
              <w:right w:val="nil"/>
            </w:tcBorders>
            <w:shd w:val="clear" w:color="auto" w:fill="auto"/>
            <w:vAlign w:val="center"/>
            <w:hideMark/>
          </w:tcPr>
          <w:p w14:paraId="6A824964" w14:textId="77777777" w:rsidR="00085776" w:rsidRPr="00547F91" w:rsidRDefault="00085776" w:rsidP="00085776">
            <w:pPr>
              <w:spacing w:after="0" w:line="240" w:lineRule="auto"/>
              <w:ind w:left="0" w:right="0" w:firstLine="0"/>
              <w:jc w:val="left"/>
              <w:rPr>
                <w:rFonts w:ascii="Arial" w:hAnsi="Arial" w:cs="Arial"/>
                <w:sz w:val="20"/>
                <w:szCs w:val="20"/>
              </w:rPr>
            </w:pPr>
            <w:r w:rsidRPr="00547F91">
              <w:rPr>
                <w:rFonts w:ascii="Arial" w:hAnsi="Arial" w:cs="Arial"/>
                <w:sz w:val="20"/>
                <w:szCs w:val="20"/>
              </w:rPr>
              <w:t> </w:t>
            </w:r>
          </w:p>
        </w:tc>
      </w:tr>
      <w:tr w:rsidR="00085776" w:rsidRPr="00221D33" w14:paraId="0694129F" w14:textId="77777777" w:rsidTr="00B54D4D">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593D5D" w14:textId="2B482013" w:rsidR="00085776" w:rsidRPr="00221D33" w:rsidRDefault="00085776" w:rsidP="00085776">
            <w:pPr>
              <w:spacing w:after="0" w:line="240" w:lineRule="auto"/>
              <w:ind w:left="0" w:right="0" w:firstLine="0"/>
              <w:jc w:val="left"/>
              <w:rPr>
                <w:rFonts w:ascii="Arial" w:hAnsi="Arial" w:cs="Arial"/>
                <w:sz w:val="20"/>
                <w:szCs w:val="20"/>
              </w:rPr>
            </w:pPr>
            <w:r w:rsidRPr="00221D33">
              <w:rPr>
                <w:rFonts w:ascii="Arial" w:hAnsi="Arial" w:cs="Arial"/>
                <w:sz w:val="20"/>
                <w:szCs w:val="20"/>
              </w:rPr>
              <w:t>Exhibit 19</w:t>
            </w:r>
            <w:r w:rsidRPr="00547F91">
              <w:rPr>
                <w:rFonts w:ascii="Arial" w:hAnsi="Arial" w:cs="Arial"/>
                <w:sz w:val="20"/>
                <w:szCs w:val="20"/>
              </w:rPr>
              <w:t xml:space="preserve">: </w:t>
            </w:r>
            <w:r w:rsidRPr="00221D33">
              <w:rPr>
                <w:rFonts w:ascii="Arial" w:hAnsi="Arial" w:cs="Arial"/>
                <w:sz w:val="20"/>
                <w:szCs w:val="20"/>
              </w:rPr>
              <w:t>Advertising Approval Request Form</w:t>
            </w:r>
          </w:p>
        </w:tc>
      </w:tr>
      <w:tr w:rsidR="00085776" w:rsidRPr="00221D33" w14:paraId="660A562C" w14:textId="77777777" w:rsidTr="00A65460">
        <w:trPr>
          <w:trHeight w:val="98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7F453" w14:textId="77777777" w:rsidR="00085776" w:rsidRPr="00547F91" w:rsidRDefault="00085776" w:rsidP="00767AC8">
            <w:pPr>
              <w:spacing w:after="0" w:line="240" w:lineRule="auto"/>
              <w:ind w:left="0" w:right="0" w:firstLine="0"/>
              <w:jc w:val="left"/>
              <w:rPr>
                <w:rFonts w:ascii="Arial" w:hAnsi="Arial" w:cs="Arial"/>
                <w:sz w:val="20"/>
                <w:szCs w:val="20"/>
              </w:rPr>
            </w:pPr>
            <w:r w:rsidRPr="00547F91">
              <w:rPr>
                <w:rFonts w:ascii="Arial" w:hAnsi="Arial" w:cs="Arial"/>
                <w:sz w:val="20"/>
                <w:szCs w:val="20"/>
              </w:rPr>
              <w:t>19</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14:paraId="2294D9EA" w14:textId="77777777" w:rsidR="00085776" w:rsidRPr="00547F91" w:rsidRDefault="00085776" w:rsidP="00085776">
            <w:pPr>
              <w:spacing w:after="0" w:line="240" w:lineRule="auto"/>
              <w:ind w:left="0" w:right="0" w:firstLine="0"/>
              <w:jc w:val="left"/>
              <w:rPr>
                <w:rFonts w:ascii="Arial" w:hAnsi="Arial" w:cs="Arial"/>
                <w:sz w:val="20"/>
                <w:szCs w:val="20"/>
              </w:rPr>
            </w:pPr>
            <w:r w:rsidRPr="00547F91">
              <w:rPr>
                <w:rFonts w:ascii="Arial" w:hAnsi="Arial" w:cs="Arial"/>
                <w:sz w:val="20"/>
                <w:szCs w:val="20"/>
              </w:rPr>
              <w:t>As needed by Supplier</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14:paraId="43789D9B" w14:textId="77777777" w:rsidR="00085776" w:rsidRPr="00547F91" w:rsidRDefault="00085776" w:rsidP="00085776">
            <w:pPr>
              <w:spacing w:after="0" w:line="240" w:lineRule="auto"/>
              <w:ind w:left="0" w:right="0" w:firstLine="0"/>
              <w:jc w:val="left"/>
              <w:rPr>
                <w:rFonts w:ascii="Arial" w:hAnsi="Arial" w:cs="Arial"/>
                <w:sz w:val="20"/>
                <w:szCs w:val="20"/>
              </w:rPr>
            </w:pPr>
            <w:r w:rsidRPr="00547F91">
              <w:rPr>
                <w:rFonts w:ascii="Arial" w:hAnsi="Arial" w:cs="Arial"/>
                <w:sz w:val="20"/>
                <w:szCs w:val="20"/>
              </w:rPr>
              <w:t>Advertising Approval Request Form</w:t>
            </w:r>
          </w:p>
        </w:tc>
        <w:tc>
          <w:tcPr>
            <w:tcW w:w="4385" w:type="dxa"/>
            <w:tcBorders>
              <w:top w:val="single" w:sz="4" w:space="0" w:color="auto"/>
              <w:left w:val="nil"/>
              <w:bottom w:val="single" w:sz="4" w:space="0" w:color="auto"/>
              <w:right w:val="single" w:sz="4" w:space="0" w:color="auto"/>
            </w:tcBorders>
            <w:shd w:val="clear" w:color="auto" w:fill="auto"/>
            <w:vAlign w:val="center"/>
            <w:hideMark/>
          </w:tcPr>
          <w:p w14:paraId="0543149C" w14:textId="158F1F09" w:rsidR="00085776" w:rsidRPr="00547F91" w:rsidRDefault="00085776" w:rsidP="00085776">
            <w:pPr>
              <w:spacing w:after="0" w:line="240" w:lineRule="auto"/>
              <w:ind w:left="0" w:right="0" w:firstLine="0"/>
              <w:jc w:val="left"/>
              <w:rPr>
                <w:rFonts w:ascii="Arial" w:hAnsi="Arial" w:cs="Arial"/>
                <w:sz w:val="20"/>
                <w:szCs w:val="20"/>
              </w:rPr>
            </w:pPr>
            <w:r w:rsidRPr="00547F91">
              <w:rPr>
                <w:rFonts w:ascii="Arial" w:hAnsi="Arial" w:cs="Arial"/>
                <w:sz w:val="20"/>
                <w:szCs w:val="20"/>
              </w:rPr>
              <w:t xml:space="preserve">Advertising approval request must be submitted for </w:t>
            </w:r>
            <w:r w:rsidRPr="00547F91">
              <w:rPr>
                <w:rFonts w:ascii="Arial" w:hAnsi="Arial" w:cs="Arial"/>
                <w:b/>
                <w:bCs/>
                <w:sz w:val="20"/>
                <w:szCs w:val="20"/>
              </w:rPr>
              <w:t>PRIOR</w:t>
            </w:r>
            <w:r w:rsidRPr="00547F91">
              <w:rPr>
                <w:rFonts w:ascii="Arial" w:hAnsi="Arial" w:cs="Arial"/>
                <w:sz w:val="20"/>
                <w:szCs w:val="20"/>
              </w:rPr>
              <w:t xml:space="preserve"> </w:t>
            </w:r>
            <w:r w:rsidR="00A5201B">
              <w:rPr>
                <w:rFonts w:ascii="Arial" w:hAnsi="Arial" w:cs="Arial"/>
                <w:sz w:val="20"/>
                <w:szCs w:val="20"/>
              </w:rPr>
              <w:t xml:space="preserve">EGID </w:t>
            </w:r>
            <w:r w:rsidRPr="00547F91">
              <w:rPr>
                <w:rFonts w:ascii="Arial" w:hAnsi="Arial" w:cs="Arial"/>
                <w:sz w:val="20"/>
                <w:szCs w:val="20"/>
              </w:rPr>
              <w:t>approval</w:t>
            </w:r>
            <w:r w:rsidR="005E2AB8">
              <w:rPr>
                <w:rFonts w:ascii="Arial" w:hAnsi="Arial" w:cs="Arial"/>
                <w:sz w:val="20"/>
                <w:szCs w:val="20"/>
              </w:rPr>
              <w:t>.</w:t>
            </w:r>
          </w:p>
        </w:tc>
        <w:tc>
          <w:tcPr>
            <w:tcW w:w="2970" w:type="dxa"/>
            <w:tcBorders>
              <w:top w:val="single" w:sz="4" w:space="0" w:color="auto"/>
              <w:left w:val="nil"/>
              <w:bottom w:val="single" w:sz="4" w:space="0" w:color="auto"/>
              <w:right w:val="single" w:sz="4" w:space="0" w:color="auto"/>
            </w:tcBorders>
            <w:shd w:val="clear" w:color="auto" w:fill="auto"/>
            <w:vAlign w:val="center"/>
          </w:tcPr>
          <w:p w14:paraId="797A5B37" w14:textId="19A2F63B" w:rsidR="00085776" w:rsidRPr="00547F91" w:rsidRDefault="00085776" w:rsidP="00085776">
            <w:pPr>
              <w:spacing w:after="0" w:line="240" w:lineRule="auto"/>
              <w:ind w:left="0" w:right="0" w:firstLine="0"/>
              <w:jc w:val="left"/>
              <w:rPr>
                <w:rFonts w:ascii="Arial" w:hAnsi="Arial" w:cs="Arial"/>
                <w:sz w:val="20"/>
                <w:szCs w:val="20"/>
              </w:rPr>
            </w:pPr>
          </w:p>
        </w:tc>
      </w:tr>
    </w:tbl>
    <w:p w14:paraId="25F32D3E" w14:textId="76805FEC" w:rsidR="00505F02" w:rsidRPr="00221D33" w:rsidRDefault="00505F02" w:rsidP="00E34B60">
      <w:pPr>
        <w:ind w:left="0" w:firstLine="0"/>
        <w:rPr>
          <w:rFonts w:ascii="Arial" w:hAnsi="Arial" w:cs="Arial"/>
          <w:sz w:val="22"/>
        </w:rPr>
      </w:pPr>
    </w:p>
    <w:p w14:paraId="740599B7" w14:textId="25EB793F" w:rsidR="00304B6D" w:rsidRPr="00221D33" w:rsidRDefault="00304B6D" w:rsidP="00607838">
      <w:pPr>
        <w:ind w:left="0" w:firstLine="0"/>
        <w:rPr>
          <w:rFonts w:ascii="Arial" w:hAnsi="Arial" w:cs="Arial"/>
          <w:sz w:val="22"/>
        </w:rPr>
      </w:pPr>
    </w:p>
    <w:p w14:paraId="14F3151C" w14:textId="77777777" w:rsidR="00A3654F" w:rsidRPr="00A3654F" w:rsidRDefault="00A3654F" w:rsidP="00A3654F">
      <w:pPr>
        <w:ind w:left="0" w:firstLine="0"/>
        <w:jc w:val="left"/>
        <w:rPr>
          <w:rFonts w:ascii="Arial" w:hAnsi="Arial" w:cs="Arial"/>
          <w:b/>
          <w:sz w:val="22"/>
        </w:rPr>
      </w:pPr>
      <w:r w:rsidRPr="00A3654F">
        <w:rPr>
          <w:rFonts w:ascii="Arial" w:hAnsi="Arial" w:cs="Arial"/>
          <w:b/>
          <w:sz w:val="22"/>
        </w:rPr>
        <w:t>Reminders:</w:t>
      </w:r>
    </w:p>
    <w:p w14:paraId="54DCE5C8" w14:textId="32CA1E9F" w:rsidR="00607838" w:rsidRPr="00221D33" w:rsidRDefault="00A3654F" w:rsidP="00A3654F">
      <w:pPr>
        <w:ind w:left="0" w:firstLine="0"/>
        <w:jc w:val="left"/>
        <w:rPr>
          <w:rFonts w:ascii="Arial" w:hAnsi="Arial" w:cs="Arial"/>
          <w:sz w:val="22"/>
        </w:rPr>
      </w:pPr>
      <w:r>
        <w:rPr>
          <w:rFonts w:ascii="Arial" w:hAnsi="Arial" w:cs="Arial"/>
          <w:sz w:val="22"/>
        </w:rPr>
        <w:t xml:space="preserve">Additional </w:t>
      </w:r>
      <w:r w:rsidR="00607838" w:rsidRPr="00221D33">
        <w:rPr>
          <w:rFonts w:ascii="Arial" w:hAnsi="Arial" w:cs="Arial"/>
          <w:sz w:val="22"/>
        </w:rPr>
        <w:t>details will be sent to Supplier prior to deadlines</w:t>
      </w:r>
      <w:r>
        <w:rPr>
          <w:rFonts w:ascii="Arial" w:hAnsi="Arial" w:cs="Arial"/>
          <w:sz w:val="22"/>
        </w:rPr>
        <w:t xml:space="preserve"> if awarded the contract</w:t>
      </w:r>
      <w:r w:rsidR="00607838" w:rsidRPr="00221D33">
        <w:rPr>
          <w:rFonts w:ascii="Arial" w:hAnsi="Arial" w:cs="Arial"/>
          <w:sz w:val="22"/>
        </w:rPr>
        <w:t>.</w:t>
      </w:r>
      <w:r w:rsidR="007E69E7" w:rsidRPr="00221D33">
        <w:rPr>
          <w:rFonts w:ascii="Arial" w:hAnsi="Arial" w:cs="Arial"/>
          <w:sz w:val="22"/>
        </w:rPr>
        <w:t xml:space="preserve"> This information should be sent to EGIDVendorReporting@omes.ok.gov</w:t>
      </w:r>
      <w:r w:rsidR="000E5914">
        <w:rPr>
          <w:rFonts w:ascii="Arial" w:hAnsi="Arial" w:cs="Arial"/>
          <w:sz w:val="22"/>
        </w:rPr>
        <w:t>.</w:t>
      </w:r>
    </w:p>
    <w:p w14:paraId="2C32E781" w14:textId="3FA7D30F" w:rsidR="004C65C1" w:rsidRPr="00221D33" w:rsidRDefault="00607838" w:rsidP="00607838">
      <w:pPr>
        <w:pStyle w:val="ListParagraph"/>
        <w:numPr>
          <w:ilvl w:val="0"/>
          <w:numId w:val="3"/>
        </w:numPr>
        <w:rPr>
          <w:rFonts w:ascii="Arial" w:hAnsi="Arial" w:cs="Arial"/>
          <w:sz w:val="22"/>
        </w:rPr>
      </w:pPr>
      <w:r w:rsidRPr="00221D33">
        <w:rPr>
          <w:rFonts w:ascii="Arial" w:hAnsi="Arial" w:cs="Arial"/>
          <w:sz w:val="22"/>
        </w:rPr>
        <w:t>Distribut</w:t>
      </w:r>
      <w:r w:rsidR="00794192" w:rsidRPr="00221D33">
        <w:rPr>
          <w:rFonts w:ascii="Arial" w:hAnsi="Arial" w:cs="Arial"/>
          <w:sz w:val="22"/>
        </w:rPr>
        <w:t>ion of member I.D. cards status</w:t>
      </w:r>
      <w:r w:rsidR="00F93166">
        <w:rPr>
          <w:rFonts w:ascii="Arial" w:hAnsi="Arial" w:cs="Arial"/>
          <w:sz w:val="22"/>
        </w:rPr>
        <w:t>.</w:t>
      </w:r>
    </w:p>
    <w:p w14:paraId="3C2D8B32" w14:textId="4E58CC70" w:rsidR="00794192" w:rsidRPr="00221D33" w:rsidRDefault="00794192" w:rsidP="00794192">
      <w:pPr>
        <w:pStyle w:val="ListParagraph"/>
        <w:numPr>
          <w:ilvl w:val="0"/>
          <w:numId w:val="3"/>
        </w:numPr>
        <w:rPr>
          <w:rFonts w:ascii="Arial" w:hAnsi="Arial" w:cs="Arial"/>
          <w:sz w:val="22"/>
        </w:rPr>
      </w:pPr>
      <w:r w:rsidRPr="00221D33">
        <w:rPr>
          <w:rFonts w:ascii="Arial" w:hAnsi="Arial" w:cs="Arial"/>
          <w:sz w:val="22"/>
        </w:rPr>
        <w:t>Administrative Procedures Reference Manual</w:t>
      </w:r>
      <w:r w:rsidR="00F93166">
        <w:rPr>
          <w:rFonts w:ascii="Arial" w:hAnsi="Arial" w:cs="Arial"/>
          <w:sz w:val="22"/>
        </w:rPr>
        <w:t>.</w:t>
      </w:r>
    </w:p>
    <w:p w14:paraId="684A5438" w14:textId="750AE0BA" w:rsidR="007E69E7" w:rsidRDefault="007E69E7" w:rsidP="00794192">
      <w:pPr>
        <w:pStyle w:val="ListParagraph"/>
        <w:numPr>
          <w:ilvl w:val="0"/>
          <w:numId w:val="3"/>
        </w:numPr>
        <w:rPr>
          <w:rFonts w:ascii="Arial" w:hAnsi="Arial" w:cs="Arial"/>
          <w:sz w:val="22"/>
        </w:rPr>
      </w:pPr>
      <w:r w:rsidRPr="00221D33">
        <w:rPr>
          <w:rFonts w:ascii="Arial" w:hAnsi="Arial" w:cs="Arial"/>
          <w:sz w:val="22"/>
        </w:rPr>
        <w:t>Marketing materials as requested.</w:t>
      </w:r>
    </w:p>
    <w:p w14:paraId="3D5C3BCD" w14:textId="1A2F2D27" w:rsidR="005F6FAB" w:rsidRPr="00221D33" w:rsidRDefault="005F6FAB" w:rsidP="00794192">
      <w:pPr>
        <w:pStyle w:val="ListParagraph"/>
        <w:numPr>
          <w:ilvl w:val="0"/>
          <w:numId w:val="3"/>
        </w:numPr>
        <w:rPr>
          <w:rFonts w:ascii="Arial" w:hAnsi="Arial" w:cs="Arial"/>
          <w:sz w:val="22"/>
        </w:rPr>
      </w:pPr>
      <w:r>
        <w:rPr>
          <w:rFonts w:ascii="Arial" w:hAnsi="Arial" w:cs="Arial"/>
          <w:sz w:val="22"/>
        </w:rPr>
        <w:t>Member Handbook</w:t>
      </w:r>
      <w:bookmarkStart w:id="0" w:name="_GoBack"/>
      <w:bookmarkEnd w:id="0"/>
    </w:p>
    <w:sectPr w:rsidR="005F6FAB" w:rsidRPr="00221D33" w:rsidSect="00B54D4D">
      <w:pgSz w:w="15840" w:h="1697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5D47"/>
    <w:multiLevelType w:val="hybridMultilevel"/>
    <w:tmpl w:val="4DC84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709E4"/>
    <w:multiLevelType w:val="hybridMultilevel"/>
    <w:tmpl w:val="3378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078C6"/>
    <w:multiLevelType w:val="hybridMultilevel"/>
    <w:tmpl w:val="6C940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C1"/>
    <w:rsid w:val="00014B83"/>
    <w:rsid w:val="00022562"/>
    <w:rsid w:val="00085776"/>
    <w:rsid w:val="00093022"/>
    <w:rsid w:val="000A6237"/>
    <w:rsid w:val="000B6C0A"/>
    <w:rsid w:val="000C0163"/>
    <w:rsid w:val="000C2101"/>
    <w:rsid w:val="000C49E7"/>
    <w:rsid w:val="000D62CA"/>
    <w:rsid w:val="000E1027"/>
    <w:rsid w:val="000E5914"/>
    <w:rsid w:val="000E6211"/>
    <w:rsid w:val="0012380E"/>
    <w:rsid w:val="00125204"/>
    <w:rsid w:val="00140EC2"/>
    <w:rsid w:val="001428E2"/>
    <w:rsid w:val="00147603"/>
    <w:rsid w:val="00163A7F"/>
    <w:rsid w:val="00185E41"/>
    <w:rsid w:val="001C45CF"/>
    <w:rsid w:val="001D0EC8"/>
    <w:rsid w:val="00221D33"/>
    <w:rsid w:val="00221E71"/>
    <w:rsid w:val="00223DE2"/>
    <w:rsid w:val="00252D30"/>
    <w:rsid w:val="0026173B"/>
    <w:rsid w:val="00266480"/>
    <w:rsid w:val="00275697"/>
    <w:rsid w:val="00292D91"/>
    <w:rsid w:val="002A1F4D"/>
    <w:rsid w:val="002C2BBA"/>
    <w:rsid w:val="0030036B"/>
    <w:rsid w:val="003036E0"/>
    <w:rsid w:val="00304B6D"/>
    <w:rsid w:val="003526DE"/>
    <w:rsid w:val="003656F6"/>
    <w:rsid w:val="003759B4"/>
    <w:rsid w:val="003A5A07"/>
    <w:rsid w:val="003B4D86"/>
    <w:rsid w:val="00460796"/>
    <w:rsid w:val="00485217"/>
    <w:rsid w:val="00490769"/>
    <w:rsid w:val="004B1812"/>
    <w:rsid w:val="004B7D8C"/>
    <w:rsid w:val="004C65C1"/>
    <w:rsid w:val="00505F02"/>
    <w:rsid w:val="005142B2"/>
    <w:rsid w:val="00523883"/>
    <w:rsid w:val="005238B0"/>
    <w:rsid w:val="0054084B"/>
    <w:rsid w:val="00547F91"/>
    <w:rsid w:val="00590278"/>
    <w:rsid w:val="00597509"/>
    <w:rsid w:val="005E2AB8"/>
    <w:rsid w:val="005E5EFA"/>
    <w:rsid w:val="005F01B3"/>
    <w:rsid w:val="005F6FAB"/>
    <w:rsid w:val="00607838"/>
    <w:rsid w:val="0061070A"/>
    <w:rsid w:val="00622AB8"/>
    <w:rsid w:val="006520D0"/>
    <w:rsid w:val="00661996"/>
    <w:rsid w:val="00680BF9"/>
    <w:rsid w:val="006B5B5A"/>
    <w:rsid w:val="006D0870"/>
    <w:rsid w:val="006E4E34"/>
    <w:rsid w:val="0073328F"/>
    <w:rsid w:val="00754214"/>
    <w:rsid w:val="00767AC8"/>
    <w:rsid w:val="00794192"/>
    <w:rsid w:val="007974B6"/>
    <w:rsid w:val="007A2034"/>
    <w:rsid w:val="007A43B4"/>
    <w:rsid w:val="007C3B83"/>
    <w:rsid w:val="007E69E7"/>
    <w:rsid w:val="00823DDE"/>
    <w:rsid w:val="00877601"/>
    <w:rsid w:val="0088681F"/>
    <w:rsid w:val="0090638C"/>
    <w:rsid w:val="0094383F"/>
    <w:rsid w:val="0094651D"/>
    <w:rsid w:val="009469B1"/>
    <w:rsid w:val="009626A5"/>
    <w:rsid w:val="00963335"/>
    <w:rsid w:val="00967EDE"/>
    <w:rsid w:val="0099382E"/>
    <w:rsid w:val="009A134A"/>
    <w:rsid w:val="009B6021"/>
    <w:rsid w:val="00A3654F"/>
    <w:rsid w:val="00A44371"/>
    <w:rsid w:val="00A5201B"/>
    <w:rsid w:val="00A63B72"/>
    <w:rsid w:val="00A65460"/>
    <w:rsid w:val="00A726CB"/>
    <w:rsid w:val="00A726EE"/>
    <w:rsid w:val="00A97488"/>
    <w:rsid w:val="00AB08AD"/>
    <w:rsid w:val="00AE0B07"/>
    <w:rsid w:val="00AE3571"/>
    <w:rsid w:val="00AE6010"/>
    <w:rsid w:val="00AF671A"/>
    <w:rsid w:val="00B0576D"/>
    <w:rsid w:val="00B246EB"/>
    <w:rsid w:val="00B3667D"/>
    <w:rsid w:val="00B536D6"/>
    <w:rsid w:val="00B54D4D"/>
    <w:rsid w:val="00B866FB"/>
    <w:rsid w:val="00B92747"/>
    <w:rsid w:val="00B956DF"/>
    <w:rsid w:val="00BC35E1"/>
    <w:rsid w:val="00BF5CEE"/>
    <w:rsid w:val="00C15815"/>
    <w:rsid w:val="00C3621D"/>
    <w:rsid w:val="00C43FD8"/>
    <w:rsid w:val="00C6799D"/>
    <w:rsid w:val="00C7071C"/>
    <w:rsid w:val="00C84D27"/>
    <w:rsid w:val="00C904F2"/>
    <w:rsid w:val="00CA4585"/>
    <w:rsid w:val="00CC46A9"/>
    <w:rsid w:val="00CC6B98"/>
    <w:rsid w:val="00CD0034"/>
    <w:rsid w:val="00CD00B3"/>
    <w:rsid w:val="00D01BF2"/>
    <w:rsid w:val="00D15F47"/>
    <w:rsid w:val="00D6081F"/>
    <w:rsid w:val="00D671D9"/>
    <w:rsid w:val="00E2238B"/>
    <w:rsid w:val="00E34B60"/>
    <w:rsid w:val="00E725BA"/>
    <w:rsid w:val="00E75D7B"/>
    <w:rsid w:val="00EB7034"/>
    <w:rsid w:val="00F02E6F"/>
    <w:rsid w:val="00F05B86"/>
    <w:rsid w:val="00F111E9"/>
    <w:rsid w:val="00F24A51"/>
    <w:rsid w:val="00F665F5"/>
    <w:rsid w:val="00F92E97"/>
    <w:rsid w:val="00F93166"/>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0186"/>
  <w15:chartTrackingRefBased/>
  <w15:docId w15:val="{AE149589-28C9-4E55-A8B6-6DA886D9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5C1"/>
    <w:pPr>
      <w:spacing w:after="3" w:line="247" w:lineRule="auto"/>
      <w:ind w:left="1450" w:right="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5C1"/>
    <w:pPr>
      <w:ind w:left="720"/>
      <w:contextualSpacing/>
    </w:pPr>
  </w:style>
  <w:style w:type="character" w:styleId="Hyperlink">
    <w:name w:val="Hyperlink"/>
    <w:uiPriority w:val="99"/>
    <w:rsid w:val="004C65C1"/>
    <w:rPr>
      <w:color w:val="0000FF"/>
      <w:u w:val="single"/>
    </w:rPr>
  </w:style>
  <w:style w:type="character" w:styleId="CommentReference">
    <w:name w:val="annotation reference"/>
    <w:basedOn w:val="DefaultParagraphFont"/>
    <w:unhideWhenUsed/>
    <w:rsid w:val="00EB7034"/>
    <w:rPr>
      <w:sz w:val="16"/>
      <w:szCs w:val="16"/>
    </w:rPr>
  </w:style>
  <w:style w:type="paragraph" w:styleId="CommentText">
    <w:name w:val="annotation text"/>
    <w:basedOn w:val="Normal"/>
    <w:link w:val="CommentTextChar"/>
    <w:unhideWhenUsed/>
    <w:rsid w:val="00EB7034"/>
    <w:pPr>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rsid w:val="00EB7034"/>
    <w:rPr>
      <w:sz w:val="20"/>
      <w:szCs w:val="20"/>
    </w:rPr>
  </w:style>
  <w:style w:type="table" w:styleId="TableGrid">
    <w:name w:val="Table Grid"/>
    <w:basedOn w:val="TableNormal"/>
    <w:uiPriority w:val="39"/>
    <w:rsid w:val="00EB70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34"/>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90638C"/>
    <w:pPr>
      <w:spacing w:after="3"/>
      <w:ind w:left="1450" w:right="4" w:hanging="10"/>
      <w:jc w:val="both"/>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uiPriority w:val="99"/>
    <w:semiHidden/>
    <w:rsid w:val="0090638C"/>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3114">
      <w:bodyDiv w:val="1"/>
      <w:marLeft w:val="0"/>
      <w:marRight w:val="0"/>
      <w:marTop w:val="0"/>
      <w:marBottom w:val="0"/>
      <w:divBdr>
        <w:top w:val="none" w:sz="0" w:space="0" w:color="auto"/>
        <w:left w:val="none" w:sz="0" w:space="0" w:color="auto"/>
        <w:bottom w:val="none" w:sz="0" w:space="0" w:color="auto"/>
        <w:right w:val="none" w:sz="0" w:space="0" w:color="auto"/>
      </w:divBdr>
    </w:div>
    <w:div w:id="397436341">
      <w:bodyDiv w:val="1"/>
      <w:marLeft w:val="0"/>
      <w:marRight w:val="0"/>
      <w:marTop w:val="0"/>
      <w:marBottom w:val="0"/>
      <w:divBdr>
        <w:top w:val="none" w:sz="0" w:space="0" w:color="auto"/>
        <w:left w:val="none" w:sz="0" w:space="0" w:color="auto"/>
        <w:bottom w:val="none" w:sz="0" w:space="0" w:color="auto"/>
        <w:right w:val="none" w:sz="0" w:space="0" w:color="auto"/>
      </w:divBdr>
    </w:div>
    <w:div w:id="412552797">
      <w:bodyDiv w:val="1"/>
      <w:marLeft w:val="0"/>
      <w:marRight w:val="0"/>
      <w:marTop w:val="0"/>
      <w:marBottom w:val="0"/>
      <w:divBdr>
        <w:top w:val="none" w:sz="0" w:space="0" w:color="auto"/>
        <w:left w:val="none" w:sz="0" w:space="0" w:color="auto"/>
        <w:bottom w:val="none" w:sz="0" w:space="0" w:color="auto"/>
        <w:right w:val="none" w:sz="0" w:space="0" w:color="auto"/>
      </w:divBdr>
    </w:div>
    <w:div w:id="998263854">
      <w:bodyDiv w:val="1"/>
      <w:marLeft w:val="0"/>
      <w:marRight w:val="0"/>
      <w:marTop w:val="0"/>
      <w:marBottom w:val="0"/>
      <w:divBdr>
        <w:top w:val="none" w:sz="0" w:space="0" w:color="auto"/>
        <w:left w:val="none" w:sz="0" w:space="0" w:color="auto"/>
        <w:bottom w:val="none" w:sz="0" w:space="0" w:color="auto"/>
        <w:right w:val="none" w:sz="0" w:space="0" w:color="auto"/>
      </w:divBdr>
    </w:div>
    <w:div w:id="18806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IDVendorReporting@omes.ok.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GID-General_Ledger_Unit@omes.ok.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50FE-A712-4127-85F1-09049B09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Portugal</dc:creator>
  <cp:keywords/>
  <dc:description/>
  <cp:lastModifiedBy>Stephanie Portugal</cp:lastModifiedBy>
  <cp:revision>38</cp:revision>
  <dcterms:created xsi:type="dcterms:W3CDTF">2018-03-14T16:07:00Z</dcterms:created>
  <dcterms:modified xsi:type="dcterms:W3CDTF">2020-05-14T17:00:00Z</dcterms:modified>
</cp:coreProperties>
</file>