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08E8" w14:textId="77777777"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w:t>
      </w:r>
      <w:bookmarkStart w:id="0" w:name="_GoBack"/>
      <w:bookmarkEnd w:id="0"/>
      <w:r w:rsidRPr="005B039E">
        <w:rPr>
          <w:rFonts w:ascii="Times New Roman" w:hAnsi="Times New Roman" w:cs="Times New Roman"/>
        </w:rPr>
        <w:t xml:space="preserve">gnated Record Set, Disclosure, Health Care Operations, Individual, Minimum Necessary, Notice of Privacy Practices, Protected Health Information, Required </w:t>
      </w:r>
      <w:proofErr w:type="gramStart"/>
      <w:r w:rsidRPr="005B039E">
        <w:rPr>
          <w:rFonts w:ascii="Times New Roman" w:hAnsi="Times New Roman" w:cs="Times New Roman"/>
        </w:rPr>
        <w:t>By</w:t>
      </w:r>
      <w:proofErr w:type="gramEnd"/>
      <w:r w:rsidRPr="005B039E">
        <w:rPr>
          <w:rFonts w:ascii="Times New Roman" w:hAnsi="Times New Roman" w:cs="Times New Roman"/>
        </w:rPr>
        <w:t xml:space="preserve">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proofErr w:type="spellStart"/>
      <w:r w:rsidR="00A20A16">
        <w:rPr>
          <w:rFonts w:ascii="Times New Roman" w:hAnsi="Times New Roman" w:cs="Times New Roman"/>
        </w:rPr>
        <w:t>i</w:t>
      </w:r>
      <w:proofErr w:type="spellEnd"/>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w:t>
      </w:r>
      <w:r w:rsidR="00E86B44" w:rsidRPr="00E86B44">
        <w:rPr>
          <w:rFonts w:ascii="Times New Roman" w:hAnsi="Times New Roman" w:cs="Times New Roman"/>
        </w:rPr>
        <w:lastRenderedPageBreak/>
        <w:t>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t>
      </w:r>
      <w:proofErr w:type="gramStart"/>
      <w:r w:rsidR="00786724" w:rsidRPr="00786724">
        <w:rPr>
          <w:rFonts w:ascii="Times New Roman" w:hAnsi="Times New Roman" w:cs="Times New Roman"/>
        </w:rPr>
        <w:t>with regard to</w:t>
      </w:r>
      <w:proofErr w:type="gramEnd"/>
      <w:r w:rsidR="00786724" w:rsidRPr="00786724">
        <w:rPr>
          <w:rFonts w:ascii="Times New Roman" w:hAnsi="Times New Roman" w:cs="Times New Roman"/>
        </w:rPr>
        <w:t xml:space="preserve">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lastRenderedPageBreak/>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the PBM Agreement or in this Business Associate Agreement is intended to confer, nor shall anything herein 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OMES Privacy Officer/HealthChoice Chief Compliance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3850350E"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Pr>
          <w:rFonts w:ascii="Times New Roman" w:hAnsi="Times New Roman" w:cs="Times New Roman"/>
        </w:rPr>
        <w:t>3545 N.W.58</w:t>
      </w:r>
      <w:r w:rsidRPr="00A61B42">
        <w:rPr>
          <w:rFonts w:ascii="Times New Roman" w:hAnsi="Times New Roman" w:cs="Times New Roman"/>
          <w:vertAlign w:val="superscript"/>
        </w:rPr>
        <w:t>th</w:t>
      </w:r>
      <w:r>
        <w:rPr>
          <w:rFonts w:ascii="Times New Roman" w:hAnsi="Times New Roman" w:cs="Times New Roman"/>
        </w:rPr>
        <w:t xml:space="preserve"> Street, Suite </w:t>
      </w:r>
      <w:r w:rsidR="0063338B">
        <w:rPr>
          <w:rFonts w:ascii="Times New Roman" w:hAnsi="Times New Roman" w:cs="Times New Roman"/>
        </w:rPr>
        <w:t>600</w:t>
      </w:r>
    </w:p>
    <w:p w14:paraId="73D1FEB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73112</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77F91F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2B2F1B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Paul.King@omes.ok.gov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Second Point of Contact:</w:t>
      </w:r>
    </w:p>
    <w:p w14:paraId="4C9AE95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HealthChoice Deputy Compliance Officer</w:t>
      </w:r>
    </w:p>
    <w:p w14:paraId="6DF6524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Lori Baer</w:t>
      </w:r>
    </w:p>
    <w:p w14:paraId="1DBF0C97" w14:textId="4BBFE1A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Pr="00136160">
        <w:rPr>
          <w:rFonts w:ascii="Times New Roman" w:hAnsi="Times New Roman" w:cs="Times New Roman"/>
        </w:rPr>
        <w:t xml:space="preserve">3545 N.W.58th Street, Suite </w:t>
      </w:r>
      <w:r w:rsidR="0063338B">
        <w:rPr>
          <w:rFonts w:ascii="Times New Roman" w:hAnsi="Times New Roman" w:cs="Times New Roman"/>
        </w:rPr>
        <w:t>600</w:t>
      </w:r>
    </w:p>
    <w:p w14:paraId="4552C98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73112</w:t>
      </w:r>
    </w:p>
    <w:p w14:paraId="1409531A"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405-717-8809</w:t>
      </w:r>
    </w:p>
    <w:p w14:paraId="44C5BBE0"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70C55963" w14:textId="77777777"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Lori.Baer@omes.ok.gov</w:t>
      </w:r>
    </w:p>
    <w:p w14:paraId="5E032313" w14:textId="77777777" w:rsidR="00817321" w:rsidRPr="00ED4F9A" w:rsidRDefault="00817321" w:rsidP="00817321">
      <w:pPr>
        <w:jc w:val="both"/>
        <w:rPr>
          <w:rFonts w:ascii="Times New Roman" w:hAnsi="Times New Roman" w:cs="Times New Roman"/>
        </w:rPr>
      </w:pPr>
    </w:p>
    <w:p w14:paraId="39657056"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lastRenderedPageBreak/>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54510637" w14:textId="77777777"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77777777"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Frank Wilson</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40587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747A" w14:textId="77777777" w:rsidR="00BD7EF1" w:rsidRDefault="00BD7EF1" w:rsidP="00303CA4">
      <w:r>
        <w:separator/>
      </w:r>
    </w:p>
  </w:endnote>
  <w:endnote w:type="continuationSeparator" w:id="0">
    <w:p w14:paraId="6CE32DE1" w14:textId="77777777" w:rsidR="00BD7EF1" w:rsidRDefault="00BD7EF1"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66005"/>
      <w:docPartObj>
        <w:docPartGallery w:val="Page Numbers (Bottom of Page)"/>
        <w:docPartUnique/>
      </w:docPartObj>
    </w:sdtPr>
    <w:sdtEndPr>
      <w:rPr>
        <w:noProof/>
      </w:rPr>
    </w:sdtEndPr>
    <w:sdtContent>
      <w:p w14:paraId="2E1FCB8C" w14:textId="79FFCDEF" w:rsidR="00303CA4" w:rsidRDefault="00303CA4">
        <w:pPr>
          <w:pStyle w:val="Footer"/>
          <w:jc w:val="center"/>
        </w:pPr>
        <w:r>
          <w:fldChar w:fldCharType="begin"/>
        </w:r>
        <w:r>
          <w:instrText xml:space="preserve"> PAGE   \* MERGEFORMAT </w:instrText>
        </w:r>
        <w:r>
          <w:fldChar w:fldCharType="separate"/>
        </w:r>
        <w:r w:rsidR="00851F4D">
          <w:rPr>
            <w:noProof/>
          </w:rPr>
          <w:t>3</w:t>
        </w:r>
        <w:r>
          <w:rPr>
            <w:noProof/>
          </w:rPr>
          <w:fldChar w:fldCharType="end"/>
        </w:r>
      </w:p>
    </w:sdtContent>
  </w:sdt>
  <w:p w14:paraId="14D0931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0CBC" w14:textId="77777777" w:rsidR="00BD7EF1" w:rsidRDefault="00BD7EF1" w:rsidP="00303CA4">
      <w:r>
        <w:separator/>
      </w:r>
    </w:p>
  </w:footnote>
  <w:footnote w:type="continuationSeparator" w:id="0">
    <w:p w14:paraId="69FD5C4A" w14:textId="77777777" w:rsidR="00BD7EF1" w:rsidRDefault="00BD7EF1" w:rsidP="003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16C8" w14:textId="7949C55A" w:rsidR="0040587A" w:rsidRDefault="0040587A" w:rsidP="00AB71A2">
    <w:pPr>
      <w:pStyle w:val="Header"/>
      <w:rPr>
        <w:rFonts w:ascii="Times New Roman" w:hAnsi="Times New Roman" w:cs="Times New Roman"/>
        <w:sz w:val="24"/>
        <w:szCs w:val="24"/>
      </w:rPr>
    </w:pPr>
    <w:r w:rsidRPr="00851F4D">
      <w:rPr>
        <w:rFonts w:ascii="Times New Roman" w:hAnsi="Times New Roman" w:cs="Times New Roman"/>
        <w:sz w:val="24"/>
        <w:szCs w:val="24"/>
      </w:rPr>
      <w:t xml:space="preserve">Attachment </w:t>
    </w:r>
    <w:r w:rsidR="00AB71A2">
      <w:rPr>
        <w:rFonts w:ascii="Times New Roman" w:hAnsi="Times New Roman" w:cs="Times New Roman"/>
        <w:sz w:val="24"/>
        <w:szCs w:val="24"/>
      </w:rPr>
      <w:t>A</w:t>
    </w:r>
  </w:p>
  <w:p w14:paraId="1E250210" w14:textId="41D6C878" w:rsidR="00AB71A2" w:rsidRPr="00851F4D" w:rsidRDefault="00AB71A2" w:rsidP="00AB71A2">
    <w:pPr>
      <w:pStyle w:val="Header"/>
      <w:rPr>
        <w:rFonts w:ascii="Times New Roman" w:hAnsi="Times New Roman" w:cs="Times New Roman"/>
        <w:sz w:val="24"/>
        <w:szCs w:val="24"/>
      </w:rPr>
    </w:pPr>
    <w:r w:rsidRPr="00AB71A2">
      <w:rPr>
        <w:rFonts w:ascii="Times New Roman" w:hAnsi="Times New Roman" w:cs="Times New Roman"/>
        <w:sz w:val="24"/>
        <w:szCs w:val="24"/>
      </w:rPr>
      <w:t>RFP</w:t>
    </w:r>
    <w:r w:rsidRPr="00456166">
      <w:rPr>
        <w:sz w:val="36"/>
        <w:szCs w:val="36"/>
      </w:rPr>
      <w:t xml:space="preserve"> </w:t>
    </w:r>
    <w:r w:rsidRPr="00AB71A2">
      <w:rPr>
        <w:rFonts w:ascii="Times New Roman" w:hAnsi="Times New Roman" w:cs="Times New Roman"/>
        <w:sz w:val="24"/>
        <w:szCs w:val="24"/>
      </w:rPr>
      <w:t>090000</w:t>
    </w:r>
    <w:r w:rsidR="00385DAC">
      <w:rPr>
        <w:rFonts w:ascii="Times New Roman" w:hAnsi="Times New Roman" w:cs="Times New Roman"/>
        <w:sz w:val="24"/>
        <w:szCs w:val="24"/>
      </w:rPr>
      <w:t>0431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D2"/>
    <w:rsid w:val="0002348E"/>
    <w:rsid w:val="0009037B"/>
    <w:rsid w:val="000A3E39"/>
    <w:rsid w:val="001038E1"/>
    <w:rsid w:val="001057E8"/>
    <w:rsid w:val="00122E49"/>
    <w:rsid w:val="00127268"/>
    <w:rsid w:val="00136160"/>
    <w:rsid w:val="00157C0E"/>
    <w:rsid w:val="00160B9A"/>
    <w:rsid w:val="00213475"/>
    <w:rsid w:val="00225A77"/>
    <w:rsid w:val="00263BA5"/>
    <w:rsid w:val="00303CA4"/>
    <w:rsid w:val="003507FE"/>
    <w:rsid w:val="003667A0"/>
    <w:rsid w:val="00385DAC"/>
    <w:rsid w:val="00396C47"/>
    <w:rsid w:val="0040587A"/>
    <w:rsid w:val="004A64A8"/>
    <w:rsid w:val="005220F6"/>
    <w:rsid w:val="00593A36"/>
    <w:rsid w:val="005B039E"/>
    <w:rsid w:val="005D41BB"/>
    <w:rsid w:val="00604870"/>
    <w:rsid w:val="0063338B"/>
    <w:rsid w:val="0064274F"/>
    <w:rsid w:val="006A1D7D"/>
    <w:rsid w:val="00723930"/>
    <w:rsid w:val="00760DE1"/>
    <w:rsid w:val="00767531"/>
    <w:rsid w:val="00786724"/>
    <w:rsid w:val="007E0AD4"/>
    <w:rsid w:val="007F5739"/>
    <w:rsid w:val="007F5AB7"/>
    <w:rsid w:val="00817321"/>
    <w:rsid w:val="00851F4D"/>
    <w:rsid w:val="00892D8E"/>
    <w:rsid w:val="008A604B"/>
    <w:rsid w:val="008E266B"/>
    <w:rsid w:val="0091047C"/>
    <w:rsid w:val="0099501C"/>
    <w:rsid w:val="009B286A"/>
    <w:rsid w:val="009E496D"/>
    <w:rsid w:val="00A20A16"/>
    <w:rsid w:val="00A440F9"/>
    <w:rsid w:val="00A61B42"/>
    <w:rsid w:val="00A76E91"/>
    <w:rsid w:val="00AB1714"/>
    <w:rsid w:val="00AB2C25"/>
    <w:rsid w:val="00AB71A2"/>
    <w:rsid w:val="00AE2794"/>
    <w:rsid w:val="00AF5A87"/>
    <w:rsid w:val="00B97EE2"/>
    <w:rsid w:val="00BC65C8"/>
    <w:rsid w:val="00BD7EF1"/>
    <w:rsid w:val="00C67447"/>
    <w:rsid w:val="00C71271"/>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69F2-6293-405B-A260-DC776E94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Vanessa Young</cp:lastModifiedBy>
  <cp:revision>4</cp:revision>
  <cp:lastPrinted>2013-03-19T20:55:00Z</cp:lastPrinted>
  <dcterms:created xsi:type="dcterms:W3CDTF">2019-08-20T16:02:00Z</dcterms:created>
  <dcterms:modified xsi:type="dcterms:W3CDTF">2020-02-18T15:23:00Z</dcterms:modified>
</cp:coreProperties>
</file>