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5F887" w14:textId="4CD47C1C" w:rsidR="004E1F5D" w:rsidRDefault="004E1F5D" w:rsidP="004E1F5D">
      <w:pPr>
        <w:jc w:val="center"/>
        <w:rPr>
          <w:rFonts w:ascii="Times New Roman" w:hAnsi="Times New Roman" w:cs="Times New Roman"/>
          <w:sz w:val="28"/>
          <w:szCs w:val="28"/>
        </w:rPr>
      </w:pPr>
      <w:r>
        <w:rPr>
          <w:rFonts w:ascii="Times New Roman" w:hAnsi="Times New Roman" w:cs="Times New Roman"/>
          <w:sz w:val="28"/>
          <w:szCs w:val="28"/>
        </w:rPr>
        <w:t xml:space="preserve">EXHIBIT </w:t>
      </w:r>
      <w:r w:rsidR="00A92CBD">
        <w:rPr>
          <w:rFonts w:ascii="Times New Roman" w:hAnsi="Times New Roman" w:cs="Times New Roman"/>
          <w:sz w:val="28"/>
          <w:szCs w:val="28"/>
        </w:rPr>
        <w:t>1</w:t>
      </w:r>
      <w:r>
        <w:rPr>
          <w:rFonts w:ascii="Times New Roman" w:hAnsi="Times New Roman" w:cs="Times New Roman"/>
          <w:sz w:val="28"/>
          <w:szCs w:val="28"/>
        </w:rPr>
        <w:t>– CONTRACT SPECIFICATIONS</w:t>
      </w:r>
    </w:p>
    <w:p w14:paraId="60FC1068" w14:textId="77777777" w:rsidR="004E1F5D" w:rsidRDefault="004E1F5D" w:rsidP="004E1F5D">
      <w:pPr>
        <w:jc w:val="center"/>
        <w:rPr>
          <w:rFonts w:ascii="Times New Roman" w:hAnsi="Times New Roman" w:cs="Times New Roman"/>
          <w:sz w:val="28"/>
          <w:szCs w:val="28"/>
        </w:rPr>
      </w:pPr>
    </w:p>
    <w:p w14:paraId="410E5CEB" w14:textId="618F12CE" w:rsidR="004E1F5D" w:rsidRDefault="004E1F5D" w:rsidP="004E1F5D">
      <w:pPr>
        <w:jc w:val="center"/>
        <w:rPr>
          <w:rFonts w:ascii="Times New Roman" w:hAnsi="Times New Roman" w:cs="Times New Roman"/>
          <w:sz w:val="28"/>
          <w:szCs w:val="28"/>
        </w:rPr>
      </w:pPr>
      <w:r>
        <w:rPr>
          <w:rFonts w:ascii="Times New Roman" w:hAnsi="Times New Roman" w:cs="Times New Roman"/>
          <w:sz w:val="28"/>
          <w:szCs w:val="28"/>
        </w:rPr>
        <w:t xml:space="preserve">SOLICITATION </w:t>
      </w:r>
      <w:r w:rsidR="004C1021">
        <w:rPr>
          <w:rFonts w:ascii="Times New Roman" w:hAnsi="Times New Roman" w:cs="Times New Roman"/>
          <w:sz w:val="28"/>
          <w:szCs w:val="28"/>
        </w:rPr>
        <w:t>6950000626</w:t>
      </w:r>
    </w:p>
    <w:p w14:paraId="5F0F75DE" w14:textId="77777777" w:rsidR="004E1F5D" w:rsidRPr="004E1F5D" w:rsidRDefault="004E1F5D" w:rsidP="004E1F5D">
      <w:pPr>
        <w:rPr>
          <w:rFonts w:ascii="Times New Roman" w:hAnsi="Times New Roman" w:cs="Times New Roman"/>
          <w:sz w:val="24"/>
          <w:szCs w:val="24"/>
        </w:rPr>
      </w:pPr>
    </w:p>
    <w:p w14:paraId="6F299EF6" w14:textId="77777777" w:rsidR="004E1F5D" w:rsidRPr="001F630C" w:rsidRDefault="004E1F5D" w:rsidP="00C40AA8">
      <w:pPr>
        <w:pStyle w:val="Outline-Level2"/>
        <w:numPr>
          <w:ilvl w:val="0"/>
          <w:numId w:val="6"/>
        </w:numPr>
      </w:pPr>
      <w:r w:rsidRPr="001F630C">
        <w:t>Introduction</w:t>
      </w:r>
    </w:p>
    <w:p w14:paraId="2AC430FD" w14:textId="0EAA2E45"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Oklahoma Tax Commission (OTC) seeks to establish a contract with a professional collection </w:t>
      </w:r>
      <w:r w:rsidR="008253F9">
        <w:rPr>
          <w:rFonts w:ascii="Times New Roman" w:hAnsi="Times New Roman" w:cs="Times New Roman"/>
          <w:sz w:val="24"/>
          <w:szCs w:val="24"/>
        </w:rPr>
        <w:t>Supplier</w:t>
      </w:r>
      <w:r w:rsidRPr="001F630C">
        <w:rPr>
          <w:rFonts w:ascii="Times New Roman" w:hAnsi="Times New Roman" w:cs="Times New Roman"/>
          <w:sz w:val="24"/>
          <w:szCs w:val="24"/>
        </w:rPr>
        <w:t>, whose majority of experience is in the collection of public sector debt to perform second placement debt collection and civil litigation services for delinquent taxes and fees from individuals and businesses located inside and outside the State of Oklahoma. The OTC does not consider the following to be public sector debt commensurate with the debt collected under this contract:</w:t>
      </w:r>
    </w:p>
    <w:p w14:paraId="439829DC"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Child Support</w:t>
      </w:r>
    </w:p>
    <w:p w14:paraId="3F8AAF7E"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Consumer credit card</w:t>
      </w:r>
    </w:p>
    <w:p w14:paraId="467B550E"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Medical-related</w:t>
      </w:r>
    </w:p>
    <w:p w14:paraId="047AE397"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Municipal-related, such as court fines and traffic/parking fines</w:t>
      </w:r>
    </w:p>
    <w:p w14:paraId="7979C1BD"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Student loans</w:t>
      </w:r>
    </w:p>
    <w:p w14:paraId="4F0A5E1B"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Unemployment Insurance Overpayments</w:t>
      </w:r>
    </w:p>
    <w:p w14:paraId="5BC901C1" w14:textId="07298B8D"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Other such similar debt</w:t>
      </w:r>
    </w:p>
    <w:p w14:paraId="4955420C" w14:textId="77777777" w:rsidR="004E1F5D" w:rsidRPr="001F630C" w:rsidRDefault="004E1F5D" w:rsidP="004E1F5D">
      <w:pPr>
        <w:pStyle w:val="Outline-Level2"/>
        <w:numPr>
          <w:ilvl w:val="0"/>
          <w:numId w:val="0"/>
        </w:numPr>
        <w:ind w:left="720"/>
        <w:rPr>
          <w:rFonts w:ascii="Times New Roman" w:hAnsi="Times New Roman" w:cs="Times New Roman"/>
          <w:sz w:val="24"/>
          <w:szCs w:val="24"/>
        </w:rPr>
      </w:pPr>
    </w:p>
    <w:p w14:paraId="66D3A6A4" w14:textId="77777777" w:rsidR="004E1F5D" w:rsidRPr="001F630C" w:rsidRDefault="004E1F5D" w:rsidP="00C40AA8">
      <w:pPr>
        <w:pStyle w:val="Outline-Level3"/>
        <w:numPr>
          <w:ilvl w:val="2"/>
          <w:numId w:val="7"/>
        </w:numPr>
        <w:rPr>
          <w:rFonts w:ascii="Times New Roman" w:hAnsi="Times New Roman" w:cs="Times New Roman"/>
          <w:b/>
          <w:i/>
          <w:sz w:val="24"/>
          <w:szCs w:val="24"/>
        </w:rPr>
      </w:pPr>
      <w:r w:rsidRPr="001F630C">
        <w:rPr>
          <w:rFonts w:ascii="Times New Roman" w:hAnsi="Times New Roman" w:cs="Times New Roman"/>
          <w:sz w:val="24"/>
          <w:szCs w:val="24"/>
        </w:rPr>
        <w:t>The OTC currently collects multiple taxes and fees, including, but not limited to the following</w:t>
      </w:r>
      <w:r w:rsidRPr="001F630C">
        <w:rPr>
          <w:rFonts w:ascii="Times New Roman" w:hAnsi="Times New Roman" w:cs="Times New Roman"/>
          <w:b/>
          <w:i/>
          <w:sz w:val="24"/>
          <w:szCs w:val="24"/>
        </w:rPr>
        <w:t>:</w:t>
      </w:r>
    </w:p>
    <w:p w14:paraId="60ACCB13"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Individual Income Tax</w:t>
      </w:r>
    </w:p>
    <w:p w14:paraId="5FF78E83"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Corporate Income Tax</w:t>
      </w:r>
    </w:p>
    <w:p w14:paraId="37232609" w14:textId="77777777" w:rsidR="004E1F5D" w:rsidRPr="001F630C" w:rsidRDefault="004E1F5D" w:rsidP="00C40AA8">
      <w:pPr>
        <w:pStyle w:val="Outline-Level4"/>
        <w:numPr>
          <w:ilvl w:val="3"/>
          <w:numId w:val="7"/>
        </w:numPr>
        <w:rPr>
          <w:rFonts w:ascii="Times New Roman" w:hAnsi="Times New Roman" w:cs="Times New Roman"/>
          <w:b/>
          <w:sz w:val="24"/>
          <w:szCs w:val="24"/>
        </w:rPr>
      </w:pPr>
      <w:r w:rsidRPr="001F630C">
        <w:rPr>
          <w:rFonts w:ascii="Times New Roman" w:hAnsi="Times New Roman" w:cs="Times New Roman"/>
          <w:sz w:val="24"/>
          <w:szCs w:val="24"/>
        </w:rPr>
        <w:t>Medical Marijuana Tax</w:t>
      </w:r>
    </w:p>
    <w:p w14:paraId="5A76F711"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Sales Tax</w:t>
      </w:r>
    </w:p>
    <w:p w14:paraId="20F1322D" w14:textId="77777777"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Withholding Tax</w:t>
      </w:r>
    </w:p>
    <w:p w14:paraId="601EAA82" w14:textId="77777777" w:rsidR="004E1F5D" w:rsidRPr="00CD302A" w:rsidRDefault="004E1F5D" w:rsidP="00C40AA8">
      <w:pPr>
        <w:pStyle w:val="Outline-Level3"/>
        <w:numPr>
          <w:ilvl w:val="2"/>
          <w:numId w:val="7"/>
        </w:numPr>
        <w:rPr>
          <w:rFonts w:ascii="Times New Roman" w:hAnsi="Times New Roman" w:cs="Times New Roman"/>
          <w:sz w:val="24"/>
          <w:szCs w:val="24"/>
        </w:rPr>
      </w:pPr>
      <w:r w:rsidRPr="00CD302A">
        <w:rPr>
          <w:rFonts w:ascii="Times New Roman" w:hAnsi="Times New Roman" w:cs="Times New Roman"/>
          <w:sz w:val="24"/>
          <w:szCs w:val="24"/>
        </w:rPr>
        <w:t xml:space="preserve">The OTC anticipates initial placement </w:t>
      </w:r>
      <w:r w:rsidRPr="001F630C">
        <w:rPr>
          <w:rFonts w:ascii="Times New Roman" w:hAnsi="Times New Roman" w:cs="Times New Roman"/>
          <w:sz w:val="24"/>
          <w:szCs w:val="24"/>
        </w:rPr>
        <w:t>60,155</w:t>
      </w:r>
      <w:r w:rsidRPr="00CD302A">
        <w:rPr>
          <w:rFonts w:ascii="Times New Roman" w:hAnsi="Times New Roman" w:cs="Times New Roman"/>
          <w:sz w:val="24"/>
          <w:szCs w:val="24"/>
        </w:rPr>
        <w:t>, accounts with an approximate value of $</w:t>
      </w:r>
      <w:r w:rsidRPr="001F630C">
        <w:rPr>
          <w:rFonts w:ascii="Times New Roman" w:hAnsi="Times New Roman" w:cs="Times New Roman"/>
          <w:sz w:val="24"/>
          <w:szCs w:val="24"/>
        </w:rPr>
        <w:t>78,447,866.</w:t>
      </w:r>
      <w:r w:rsidRPr="00CD302A">
        <w:rPr>
          <w:rFonts w:ascii="Times New Roman" w:hAnsi="Times New Roman" w:cs="Times New Roman"/>
          <w:sz w:val="24"/>
          <w:szCs w:val="24"/>
        </w:rPr>
        <w:t xml:space="preserve"> Of the initial placement, $</w:t>
      </w:r>
      <w:r w:rsidRPr="001F630C">
        <w:rPr>
          <w:rFonts w:ascii="Times New Roman" w:hAnsi="Times New Roman" w:cs="Times New Roman"/>
          <w:sz w:val="24"/>
          <w:szCs w:val="24"/>
        </w:rPr>
        <w:t>58,519,327</w:t>
      </w:r>
      <w:r w:rsidRPr="00CD302A">
        <w:rPr>
          <w:rFonts w:ascii="Times New Roman" w:hAnsi="Times New Roman" w:cs="Times New Roman"/>
          <w:sz w:val="24"/>
          <w:szCs w:val="24"/>
        </w:rPr>
        <w:t xml:space="preserve"> dollars</w:t>
      </w:r>
      <w:r w:rsidRPr="001F630C">
        <w:rPr>
          <w:rFonts w:ascii="Times New Roman" w:hAnsi="Times New Roman" w:cs="Times New Roman"/>
          <w:sz w:val="24"/>
          <w:szCs w:val="24"/>
        </w:rPr>
        <w:t xml:space="preserve"> are income tax and 3,223 accounts with a value of $19,928,539</w:t>
      </w:r>
      <w:r w:rsidRPr="00CD302A">
        <w:rPr>
          <w:rFonts w:ascii="Times New Roman" w:hAnsi="Times New Roman" w:cs="Times New Roman"/>
          <w:sz w:val="24"/>
          <w:szCs w:val="24"/>
        </w:rPr>
        <w:t xml:space="preserve"> are business taxes (such as sales, withholding, etc.).</w:t>
      </w:r>
    </w:p>
    <w:p w14:paraId="138025FB" w14:textId="560977C1"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supplement the overall collection activities of the OTC.  Prior to referring delinquent accounts, collection attempts will be made by the OTC.  </w:t>
      </w:r>
    </w:p>
    <w:p w14:paraId="363DBF1D" w14:textId="444417E1"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OTC will continue to offset delinquent tax debts against other credits with the OTC due the taxpayer, and the Department of Treasury Federal Offset program.  These actions will continue while the case is placed with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No fee will be paid for monies collected from these credits.</w:t>
      </w:r>
    </w:p>
    <w:p w14:paraId="79D98676" w14:textId="3A4B59DE" w:rsidR="004E1F5D" w:rsidRPr="001F630C" w:rsidRDefault="008253F9" w:rsidP="00B735FE">
      <w:pPr>
        <w:pStyle w:val="Outline-Level2"/>
        <w:numPr>
          <w:ilvl w:val="2"/>
          <w:numId w:val="7"/>
        </w:numPr>
        <w:rPr>
          <w:rFonts w:ascii="Times New Roman" w:hAnsi="Times New Roman" w:cs="Times New Roman"/>
          <w:b w:val="0"/>
          <w:sz w:val="24"/>
          <w:szCs w:val="24"/>
        </w:rPr>
      </w:pPr>
      <w:r>
        <w:rPr>
          <w:rFonts w:ascii="Times New Roman" w:hAnsi="Times New Roman" w:cs="Times New Roman"/>
          <w:b w:val="0"/>
          <w:sz w:val="24"/>
          <w:szCs w:val="24"/>
        </w:rPr>
        <w:lastRenderedPageBreak/>
        <w:t>O</w:t>
      </w:r>
      <w:r w:rsidR="004E1F5D" w:rsidRPr="001F630C">
        <w:rPr>
          <w:rFonts w:ascii="Times New Roman" w:hAnsi="Times New Roman" w:cs="Times New Roman"/>
          <w:b w:val="0"/>
          <w:sz w:val="24"/>
          <w:szCs w:val="24"/>
        </w:rPr>
        <w:t>nce the contract is awarded there will be a period to allow for set up and testing. The assignments of accounts, collection of debt and payment fees will not occur until that time the set up and testing is completed to the satisfaction of the OTC.</w:t>
      </w:r>
    </w:p>
    <w:p w14:paraId="29084F49" w14:textId="2BB2F020" w:rsidR="004E1F5D" w:rsidRPr="001F630C" w:rsidRDefault="004E1F5D" w:rsidP="00B735FE">
      <w:pPr>
        <w:pStyle w:val="Outline-Level2"/>
        <w:numPr>
          <w:ilvl w:val="0"/>
          <w:numId w:val="7"/>
        </w:numPr>
        <w:rPr>
          <w:rFonts w:ascii="Times New Roman" w:hAnsi="Times New Roman" w:cs="Times New Roman"/>
          <w:sz w:val="24"/>
          <w:szCs w:val="24"/>
        </w:rPr>
      </w:pPr>
      <w:bookmarkStart w:id="0" w:name="_Ref266695430"/>
      <w:r w:rsidRPr="001F630C">
        <w:rPr>
          <w:rFonts w:ascii="Times New Roman" w:hAnsi="Times New Roman" w:cs="Times New Roman"/>
          <w:sz w:val="24"/>
          <w:szCs w:val="24"/>
        </w:rPr>
        <w:t>Scope of Service</w:t>
      </w:r>
      <w:bookmarkEnd w:id="0"/>
      <w:r w:rsidRPr="001F630C">
        <w:rPr>
          <w:rFonts w:ascii="Times New Roman" w:hAnsi="Times New Roman" w:cs="Times New Roman"/>
          <w:sz w:val="24"/>
          <w:szCs w:val="24"/>
        </w:rPr>
        <w:t xml:space="preserve"> </w:t>
      </w:r>
    </w:p>
    <w:p w14:paraId="3ED66515" w14:textId="1F0D2147"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accept accounts placed by OTC under terms of this agreement and will use its best efforts to collect said accounts utilizing means legal, necessary and proper.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not, under any circumstances use threatening language or written text, intimidation, or harassment in the collection process or violate any federal guidelines with regard to debt collection.</w:t>
      </w:r>
    </w:p>
    <w:p w14:paraId="41F0ADFF" w14:textId="3D6B4FB3"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be assigned such cases as deemed appropriate by the OTC.  The assigned cases will be a variety of debts associated with different tax types (e.g. individual income tax, sales tax, withholding tax, corporate tax, etc.). The OTC currently assigns accounts on an automated monthly time schedule. Accounts may be manually migrated outside of the monthly time schedule. Accounts that migrate to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whether automatic or manual, will remain with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for a period of twelve (12) months for successful collection efforts. The account will be retained by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if the liability has been paid-in-full, entered into a payment arrangement, or has an active garnishment.</w:t>
      </w:r>
    </w:p>
    <w:p w14:paraId="494FE188" w14:textId="31269F17" w:rsidR="004E1F5D" w:rsidRPr="001F630C" w:rsidRDefault="004E1F5D" w:rsidP="00C40AA8">
      <w:pPr>
        <w:pStyle w:val="Outline-Level3"/>
        <w:numPr>
          <w:ilvl w:val="2"/>
          <w:numId w:val="7"/>
        </w:numPr>
        <w:rPr>
          <w:rFonts w:ascii="Times New Roman" w:hAnsi="Times New Roman" w:cs="Times New Roman"/>
          <w:sz w:val="24"/>
          <w:szCs w:val="24"/>
        </w:rPr>
      </w:pPr>
      <w:r w:rsidRPr="00CD302A">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CD302A">
        <w:rPr>
          <w:rFonts w:ascii="Times New Roman" w:hAnsi="Times New Roman" w:cs="Times New Roman"/>
          <w:sz w:val="24"/>
          <w:szCs w:val="24"/>
        </w:rPr>
        <w:t xml:space="preserve"> </w:t>
      </w:r>
      <w:r w:rsidR="008253F9">
        <w:rPr>
          <w:rFonts w:ascii="Times New Roman" w:hAnsi="Times New Roman" w:cs="Times New Roman"/>
          <w:sz w:val="24"/>
          <w:szCs w:val="24"/>
        </w:rPr>
        <w:t>shall</w:t>
      </w:r>
      <w:r w:rsidRPr="00CD302A">
        <w:rPr>
          <w:rFonts w:ascii="Times New Roman" w:hAnsi="Times New Roman" w:cs="Times New Roman"/>
          <w:sz w:val="24"/>
          <w:szCs w:val="24"/>
        </w:rPr>
        <w:t xml:space="preserve"> promptly undertake the collection of all cases assigned by the OTC without regard to the individual account debt amount. The </w:t>
      </w:r>
      <w:r w:rsidR="008253F9">
        <w:rPr>
          <w:rFonts w:ascii="Times New Roman" w:hAnsi="Times New Roman" w:cs="Times New Roman"/>
          <w:sz w:val="24"/>
          <w:szCs w:val="24"/>
        </w:rPr>
        <w:t>Supplier</w:t>
      </w:r>
      <w:r w:rsidRPr="00CD302A">
        <w:rPr>
          <w:rFonts w:ascii="Times New Roman" w:hAnsi="Times New Roman" w:cs="Times New Roman"/>
          <w:sz w:val="24"/>
          <w:szCs w:val="24"/>
        </w:rPr>
        <w:t xml:space="preserve"> </w:t>
      </w:r>
      <w:r w:rsidR="008253F9">
        <w:rPr>
          <w:rFonts w:ascii="Times New Roman" w:hAnsi="Times New Roman" w:cs="Times New Roman"/>
          <w:sz w:val="24"/>
          <w:szCs w:val="24"/>
        </w:rPr>
        <w:t>shall</w:t>
      </w:r>
      <w:r w:rsidRPr="00CD302A">
        <w:rPr>
          <w:rFonts w:ascii="Times New Roman" w:hAnsi="Times New Roman" w:cs="Times New Roman"/>
          <w:sz w:val="24"/>
          <w:szCs w:val="24"/>
        </w:rPr>
        <w:t xml:space="preserve"> use its most effective and timely efforts to resolve and collect each case assigned.  The </w:t>
      </w:r>
      <w:r w:rsidR="008253F9">
        <w:rPr>
          <w:rFonts w:ascii="Times New Roman" w:hAnsi="Times New Roman" w:cs="Times New Roman"/>
          <w:sz w:val="24"/>
          <w:szCs w:val="24"/>
        </w:rPr>
        <w:t>Supplier</w:t>
      </w:r>
      <w:r w:rsidRPr="00CD302A">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CD302A">
        <w:rPr>
          <w:rFonts w:ascii="Times New Roman" w:hAnsi="Times New Roman" w:cs="Times New Roman"/>
          <w:sz w:val="24"/>
          <w:szCs w:val="24"/>
        </w:rPr>
        <w:t xml:space="preserve"> not allow cases to stall without collection/civil litigation actions being taken. The </w:t>
      </w:r>
      <w:r w:rsidR="008253F9">
        <w:rPr>
          <w:rFonts w:ascii="Times New Roman" w:hAnsi="Times New Roman" w:cs="Times New Roman"/>
          <w:sz w:val="24"/>
          <w:szCs w:val="24"/>
        </w:rPr>
        <w:t>Supplier</w:t>
      </w:r>
      <w:r w:rsidRPr="00CD302A">
        <w:rPr>
          <w:rFonts w:ascii="Times New Roman" w:hAnsi="Times New Roman" w:cs="Times New Roman"/>
          <w:sz w:val="24"/>
          <w:szCs w:val="24"/>
        </w:rPr>
        <w:t xml:space="preserve"> shall initiate legal proceedings on an account when deemed appropriate by the </w:t>
      </w:r>
      <w:r w:rsidR="008253F9">
        <w:rPr>
          <w:rFonts w:ascii="Times New Roman" w:hAnsi="Times New Roman" w:cs="Times New Roman"/>
          <w:sz w:val="24"/>
          <w:szCs w:val="24"/>
        </w:rPr>
        <w:t>Supplier</w:t>
      </w:r>
      <w:r w:rsidRPr="00CD302A">
        <w:rPr>
          <w:rFonts w:ascii="Times New Roman" w:hAnsi="Times New Roman" w:cs="Times New Roman"/>
          <w:sz w:val="24"/>
          <w:szCs w:val="24"/>
        </w:rPr>
        <w:t xml:space="preserve"> and the OTC.  All attorney fees, and other expenses incurred with civil litigation proceedings shall be at the </w:t>
      </w:r>
      <w:r w:rsidR="008253F9">
        <w:rPr>
          <w:rFonts w:ascii="Times New Roman" w:hAnsi="Times New Roman" w:cs="Times New Roman"/>
          <w:sz w:val="24"/>
          <w:szCs w:val="24"/>
        </w:rPr>
        <w:t>Supplier</w:t>
      </w:r>
      <w:r w:rsidRPr="00CD302A">
        <w:rPr>
          <w:rFonts w:ascii="Times New Roman" w:hAnsi="Times New Roman" w:cs="Times New Roman"/>
          <w:sz w:val="24"/>
          <w:szCs w:val="24"/>
        </w:rPr>
        <w:t>’s expense</w:t>
      </w:r>
      <w:r w:rsidRPr="001F630C">
        <w:rPr>
          <w:rFonts w:ascii="Times New Roman" w:hAnsi="Times New Roman" w:cs="Times New Roman"/>
          <w:sz w:val="24"/>
          <w:szCs w:val="24"/>
        </w:rPr>
        <w:t xml:space="preserve">.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8253F9">
        <w:rPr>
          <w:rFonts w:ascii="Times New Roman" w:hAnsi="Times New Roman" w:cs="Times New Roman"/>
          <w:sz w:val="24"/>
          <w:szCs w:val="24"/>
        </w:rPr>
        <w:t>shall</w:t>
      </w:r>
      <w:r w:rsidRPr="001F630C">
        <w:rPr>
          <w:rFonts w:ascii="Times New Roman" w:hAnsi="Times New Roman" w:cs="Times New Roman"/>
          <w:sz w:val="24"/>
          <w:szCs w:val="24"/>
        </w:rPr>
        <w:t xml:space="preserve"> pay any incurred court costs upon filing of any legal documents. </w:t>
      </w:r>
    </w:p>
    <w:p w14:paraId="188C0CB4" w14:textId="015B0C1F"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Each delinquent case assigned to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be retained by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until such delinquent tax account is collected or a period of time agreed to between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and the OTC has expired and efforts to collect the debt have been unsuccessful.  Upon expiration of the specified period previously determined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return the case. The OTC may undertake additional collection attempts or civil litigation/action as it deems appropriate.</w:t>
      </w:r>
    </w:p>
    <w:p w14:paraId="4FD01741" w14:textId="74906B91"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perform asset investigation, skip tracing and debtor negotiation as needed to successfully resolve each account that has been referred to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must have access to the latest skip tracing methods and must demonstrate a progressive degree of effort on all cases referred regardless of the debt amount.</w:t>
      </w:r>
    </w:p>
    <w:p w14:paraId="7D18E57C" w14:textId="746F83EF"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lastRenderedPageBreak/>
        <w:t xml:space="preserve">When cases are referred to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the OTC will discontinue internal collection activity with the exception of offset programs, including the OTC’s internal offset program and the Federal Treasury Offset Program.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not be entitled to any fees on collections derived under these programs. </w:t>
      </w:r>
    </w:p>
    <w:p w14:paraId="3F28D430" w14:textId="236635D3"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No active bankruptcy periods will be referred.  Handling of cases, that have already been placed with </w:t>
      </w:r>
      <w:r w:rsidR="008253F9">
        <w:rPr>
          <w:rFonts w:ascii="Times New Roman" w:hAnsi="Times New Roman" w:cs="Times New Roman"/>
          <w:sz w:val="24"/>
          <w:szCs w:val="24"/>
        </w:rPr>
        <w:t>a</w:t>
      </w:r>
      <w:r w:rsidR="008253F9" w:rsidRPr="001F630C">
        <w:rPr>
          <w:rFonts w:ascii="Times New Roman" w:hAnsi="Times New Roman" w:cs="Times New Roman"/>
          <w:sz w:val="24"/>
          <w:szCs w:val="24"/>
        </w:rPr>
        <w:t xml:space="preserv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prior to the taxpayer filing bankruptcy, entering into receivership or receiving notification of a probate proceeding,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be determined with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after the contract has been awarded. The General Counsel’s Office of the OTC may request assistance in filing bankruptcy petitions in states other than Oklahoma upon unusual circumstances. </w:t>
      </w:r>
    </w:p>
    <w:p w14:paraId="1C60FEF2" w14:textId="5BCED29B"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OTC reserves the right to recall any case at any time. In any such event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suspend any and all collection action, either temporarily or permanently.</w:t>
      </w:r>
    </w:p>
    <w:p w14:paraId="502144A8" w14:textId="3C962E46"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If during the collection of a case,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is not satisfied that the taxpayer owes the liability or the taxpayer disputes the amount owed, the case should be referred to the OTC for verification.  The OTC will attempt to promptly verify the liability and notify the collection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of its finding.  During this verification period,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suspend any active collection activity.</w:t>
      </w:r>
    </w:p>
    <w:p w14:paraId="2753CA75" w14:textId="298E1A93"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submit accurate remittances through electronic funds transfer any bill amounts collected on the case during the period. These funds shall be electronically transferred twice monthly—on the first business day of each month and the fifteenth (15) day of the month. If either the first or fifteenth day is on a weekend or holiday the scheduled transfer will be made on the next business day.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provide the OTC a balanced reconciliation of accounts monthly, matching OTC’s records, to ensure accuracy of placements, payments and inventory.</w:t>
      </w:r>
    </w:p>
    <w:p w14:paraId="548AB3C8" w14:textId="036E0F23"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OTC will notify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when any monies have been paid directly to the OTC or an offset on the account has been applied.  Payments received by the OTC will be posted to the taxpayer account and fee due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be paid through monthly invoicing. </w:t>
      </w:r>
    </w:p>
    <w:p w14:paraId="681FF238" w14:textId="3CFF261D"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demonstrate that they have and will maintain a secure area for processing OTC remittances.</w:t>
      </w:r>
    </w:p>
    <w:p w14:paraId="2C9C4422" w14:textId="4668EB7E"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004B39CD" w:rsidRPr="001F630C">
        <w:rPr>
          <w:rFonts w:ascii="Times New Roman" w:hAnsi="Times New Roman" w:cs="Times New Roman"/>
          <w:sz w:val="24"/>
          <w:szCs w:val="24"/>
        </w:rPr>
        <w:t xml:space="preserve"> </w:t>
      </w:r>
      <w:r w:rsidRPr="001F630C">
        <w:rPr>
          <w:rFonts w:ascii="Times New Roman" w:hAnsi="Times New Roman" w:cs="Times New Roman"/>
          <w:sz w:val="24"/>
          <w:szCs w:val="24"/>
        </w:rPr>
        <w:t xml:space="preserve">be able to accept and transmit all data transfers electronically.  This will include account placement, close out information, acknowledgements of cases placed, monthly performance reports, payments and inventory reconciliation reports. </w:t>
      </w:r>
    </w:p>
    <w:p w14:paraId="01EE9483" w14:textId="3E2D2C21"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1F630C">
        <w:rPr>
          <w:rFonts w:ascii="Times New Roman" w:hAnsi="Times New Roman" w:cs="Times New Roman"/>
          <w:sz w:val="24"/>
          <w:szCs w:val="24"/>
        </w:rPr>
        <w:t xml:space="preserve"> be prepared to accept cases in a hard copy format in some instances.</w:t>
      </w:r>
    </w:p>
    <w:p w14:paraId="2ED7959A" w14:textId="612E6A73" w:rsidR="00085E41" w:rsidRPr="00085E41" w:rsidRDefault="004E1F5D" w:rsidP="00085E41">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lastRenderedPageBreak/>
        <w:t>Collection/litigation activities shall be in compliance with Federal, State and Local laws or regulations and be conducted in a courteous and professional manner.</w:t>
      </w:r>
    </w:p>
    <w:p w14:paraId="558C9827" w14:textId="6BF6DBE2" w:rsidR="004E1F5D" w:rsidRPr="00CD302A" w:rsidRDefault="004E1F5D" w:rsidP="00085E41">
      <w:pPr>
        <w:pStyle w:val="Outline-Level2"/>
        <w:numPr>
          <w:ilvl w:val="0"/>
          <w:numId w:val="7"/>
        </w:numPr>
        <w:rPr>
          <w:rFonts w:ascii="Times New Roman" w:hAnsi="Times New Roman" w:cs="Times New Roman"/>
          <w:sz w:val="24"/>
          <w:szCs w:val="24"/>
        </w:rPr>
      </w:pPr>
      <w:bookmarkStart w:id="1" w:name="_Ref266695432"/>
      <w:r w:rsidRPr="00CD302A">
        <w:rPr>
          <w:rFonts w:ascii="Times New Roman" w:hAnsi="Times New Roman" w:cs="Times New Roman"/>
          <w:sz w:val="24"/>
          <w:szCs w:val="24"/>
        </w:rPr>
        <w:t>Reporting/Monitoring</w:t>
      </w:r>
      <w:bookmarkEnd w:id="1"/>
    </w:p>
    <w:p w14:paraId="0DB5E9B6" w14:textId="14B2F670" w:rsidR="004E1F5D" w:rsidRPr="001F630C" w:rsidRDefault="004E1F5D" w:rsidP="00C40AA8">
      <w:pPr>
        <w:pStyle w:val="Outline-Level3"/>
        <w:numPr>
          <w:ilvl w:val="2"/>
          <w:numId w:val="7"/>
        </w:numPr>
        <w:rPr>
          <w:rFonts w:ascii="Times New Roman" w:hAnsi="Times New Roman" w:cs="Times New Roman"/>
          <w:sz w:val="24"/>
          <w:szCs w:val="24"/>
        </w:rPr>
      </w:pPr>
      <w:r w:rsidRPr="00CD302A">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CD302A">
        <w:rPr>
          <w:rFonts w:ascii="Times New Roman" w:hAnsi="Times New Roman" w:cs="Times New Roman"/>
          <w:sz w:val="24"/>
          <w:szCs w:val="24"/>
        </w:rPr>
        <w:t xml:space="preserve"> shall</w:t>
      </w:r>
      <w:r w:rsidRPr="001F630C">
        <w:rPr>
          <w:rFonts w:ascii="Times New Roman" w:hAnsi="Times New Roman" w:cs="Times New Roman"/>
          <w:sz w:val="24"/>
          <w:szCs w:val="24"/>
        </w:rPr>
        <w:t xml:space="preserve"> maintain complete and accurate records of collection  services transactions or litigation in accordance with accepted industry practices and shall keep in a secure place all such records and statements pertaining to the </w:t>
      </w:r>
      <w:r w:rsidR="008253F9">
        <w:rPr>
          <w:rFonts w:ascii="Times New Roman" w:hAnsi="Times New Roman" w:cs="Times New Roman"/>
          <w:sz w:val="24"/>
          <w:szCs w:val="24"/>
        </w:rPr>
        <w:t>Supplier</w:t>
      </w:r>
      <w:r w:rsidRPr="001F630C">
        <w:rPr>
          <w:rFonts w:ascii="Times New Roman" w:hAnsi="Times New Roman" w:cs="Times New Roman"/>
          <w:sz w:val="24"/>
          <w:szCs w:val="24"/>
        </w:rPr>
        <w:t>’s service operations for the OTC for a period of five (5) years from the close of each year’s operation.</w:t>
      </w:r>
    </w:p>
    <w:p w14:paraId="16D3A0EB" w14:textId="79A61962" w:rsidR="004E1F5D" w:rsidRPr="00CD302A" w:rsidRDefault="004E1F5D" w:rsidP="00C40AA8">
      <w:pPr>
        <w:pStyle w:val="Outline-Level3"/>
        <w:numPr>
          <w:ilvl w:val="2"/>
          <w:numId w:val="7"/>
        </w:numPr>
        <w:rPr>
          <w:rFonts w:ascii="Times New Roman" w:hAnsi="Times New Roman" w:cs="Times New Roman"/>
          <w:sz w:val="24"/>
          <w:szCs w:val="24"/>
        </w:rPr>
      </w:pPr>
      <w:r w:rsidRPr="00CD302A">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CD302A">
        <w:rPr>
          <w:rFonts w:ascii="Times New Roman" w:hAnsi="Times New Roman" w:cs="Times New Roman"/>
          <w:sz w:val="24"/>
          <w:szCs w:val="24"/>
        </w:rPr>
        <w:t xml:space="preserve"> shall provide monthly reports showing activity from the previous month. These reports will provide, but are not limited to</w:t>
      </w:r>
      <w:r w:rsidRPr="001F630C">
        <w:rPr>
          <w:rFonts w:ascii="Times New Roman" w:hAnsi="Times New Roman" w:cs="Times New Roman"/>
          <w:sz w:val="24"/>
          <w:szCs w:val="24"/>
        </w:rPr>
        <w:t xml:space="preserve"> </w:t>
      </w:r>
      <w:r w:rsidRPr="00CD302A">
        <w:rPr>
          <w:rFonts w:ascii="Times New Roman" w:hAnsi="Times New Roman" w:cs="Times New Roman"/>
          <w:sz w:val="24"/>
          <w:szCs w:val="24"/>
        </w:rPr>
        <w:t xml:space="preserve">the number of accounts assigned,  the number of accounts removed by OTC, the number of accounts that were paid in full, the current number of payment arrangements and those established during the reporting period, the current number of garnishments as well as those filed during the reporting period. In addition, the </w:t>
      </w:r>
      <w:r w:rsidR="008253F9">
        <w:rPr>
          <w:rFonts w:ascii="Times New Roman" w:hAnsi="Times New Roman" w:cs="Times New Roman"/>
          <w:sz w:val="24"/>
          <w:szCs w:val="24"/>
        </w:rPr>
        <w:t>Supplier</w:t>
      </w:r>
      <w:r w:rsidRPr="00CD302A">
        <w:rPr>
          <w:rFonts w:ascii="Times New Roman" w:hAnsi="Times New Roman" w:cs="Times New Roman"/>
          <w:sz w:val="24"/>
          <w:szCs w:val="24"/>
        </w:rPr>
        <w:t xml:space="preserve"> </w:t>
      </w:r>
      <w:r w:rsidR="004B39CD">
        <w:rPr>
          <w:rFonts w:ascii="Times New Roman" w:hAnsi="Times New Roman" w:cs="Times New Roman"/>
          <w:sz w:val="24"/>
          <w:szCs w:val="24"/>
        </w:rPr>
        <w:t>shall</w:t>
      </w:r>
      <w:r w:rsidRPr="00CD302A">
        <w:rPr>
          <w:rFonts w:ascii="Times New Roman" w:hAnsi="Times New Roman" w:cs="Times New Roman"/>
          <w:sz w:val="24"/>
          <w:szCs w:val="24"/>
        </w:rPr>
        <w:t xml:space="preserve"> provide upon the request of the OTC any other reports or detail that it deems necessary. The </w:t>
      </w:r>
      <w:r w:rsidR="008253F9">
        <w:rPr>
          <w:rFonts w:ascii="Times New Roman" w:hAnsi="Times New Roman" w:cs="Times New Roman"/>
          <w:sz w:val="24"/>
          <w:szCs w:val="24"/>
        </w:rPr>
        <w:t>Supplier</w:t>
      </w:r>
      <w:r w:rsidRPr="00CD302A">
        <w:rPr>
          <w:rFonts w:ascii="Times New Roman" w:hAnsi="Times New Roman" w:cs="Times New Roman"/>
          <w:sz w:val="24"/>
          <w:szCs w:val="24"/>
        </w:rPr>
        <w:t xml:space="preserve"> must be prepared to institute further controls should the OTC require.</w:t>
      </w:r>
      <w:r w:rsidRPr="001F630C">
        <w:rPr>
          <w:rFonts w:ascii="Times New Roman" w:hAnsi="Times New Roman" w:cs="Times New Roman"/>
          <w:sz w:val="24"/>
          <w:szCs w:val="24"/>
        </w:rPr>
        <w:t xml:space="preserve"> The following reports and reporting requirements </w:t>
      </w:r>
      <w:r w:rsidR="004B39CD">
        <w:rPr>
          <w:rFonts w:ascii="Times New Roman" w:hAnsi="Times New Roman" w:cs="Times New Roman"/>
          <w:sz w:val="24"/>
          <w:szCs w:val="24"/>
        </w:rPr>
        <w:t>shall</w:t>
      </w:r>
      <w:r w:rsidR="004B39CD" w:rsidRPr="001F630C">
        <w:rPr>
          <w:rFonts w:ascii="Times New Roman" w:hAnsi="Times New Roman" w:cs="Times New Roman"/>
          <w:sz w:val="24"/>
          <w:szCs w:val="24"/>
        </w:rPr>
        <w:t xml:space="preserve"> </w:t>
      </w:r>
      <w:r w:rsidRPr="001F630C">
        <w:rPr>
          <w:rFonts w:ascii="Times New Roman" w:hAnsi="Times New Roman" w:cs="Times New Roman"/>
          <w:sz w:val="24"/>
          <w:szCs w:val="24"/>
        </w:rPr>
        <w:t>be required but are not limited to:</w:t>
      </w:r>
    </w:p>
    <w:p w14:paraId="4FD11AE1" w14:textId="3F05E654" w:rsidR="004E1F5D" w:rsidRPr="00CD302A" w:rsidRDefault="004E1F5D" w:rsidP="00C40AA8">
      <w:pPr>
        <w:pStyle w:val="Outline-Level4"/>
        <w:numPr>
          <w:ilvl w:val="3"/>
          <w:numId w:val="7"/>
        </w:numPr>
        <w:rPr>
          <w:rFonts w:ascii="Times New Roman" w:hAnsi="Times New Roman" w:cs="Times New Roman"/>
          <w:sz w:val="24"/>
          <w:szCs w:val="24"/>
        </w:rPr>
      </w:pPr>
      <w:r w:rsidRPr="00CD302A">
        <w:rPr>
          <w:rFonts w:ascii="Times New Roman" w:hAnsi="Times New Roman" w:cs="Times New Roman"/>
          <w:sz w:val="24"/>
          <w:szCs w:val="24"/>
        </w:rPr>
        <w:t xml:space="preserve">Number of accounts assigned and removed by OTC. </w:t>
      </w:r>
    </w:p>
    <w:p w14:paraId="24011CD5" w14:textId="5E64B583" w:rsidR="004E1F5D" w:rsidRPr="00CD302A" w:rsidRDefault="004E1F5D" w:rsidP="00C40AA8">
      <w:pPr>
        <w:pStyle w:val="Outline-Level4"/>
        <w:numPr>
          <w:ilvl w:val="3"/>
          <w:numId w:val="7"/>
        </w:numPr>
        <w:rPr>
          <w:rFonts w:ascii="Times New Roman" w:hAnsi="Times New Roman" w:cs="Times New Roman"/>
          <w:sz w:val="24"/>
          <w:szCs w:val="24"/>
        </w:rPr>
      </w:pPr>
      <w:r w:rsidRPr="00CD302A">
        <w:rPr>
          <w:rFonts w:ascii="Times New Roman" w:hAnsi="Times New Roman" w:cs="Times New Roman"/>
          <w:sz w:val="24"/>
          <w:szCs w:val="24"/>
        </w:rPr>
        <w:t>Number of accounts that were paid in full.</w:t>
      </w:r>
    </w:p>
    <w:p w14:paraId="59BBCADA" w14:textId="413131C1" w:rsidR="004E1F5D" w:rsidRPr="00CD302A"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P</w:t>
      </w:r>
      <w:r w:rsidRPr="00CD302A">
        <w:rPr>
          <w:rFonts w:ascii="Times New Roman" w:hAnsi="Times New Roman" w:cs="Times New Roman"/>
          <w:sz w:val="24"/>
          <w:szCs w:val="24"/>
        </w:rPr>
        <w:t>ay plan reports showing the number and dollar amount of payment arrangements as well as those arrangements entered during the reporting period.</w:t>
      </w:r>
    </w:p>
    <w:p w14:paraId="1462053C" w14:textId="2241674E" w:rsidR="004E1F5D" w:rsidRPr="001F630C" w:rsidRDefault="004E1F5D" w:rsidP="00C40AA8">
      <w:pPr>
        <w:pStyle w:val="Outline-Level4"/>
        <w:numPr>
          <w:ilvl w:val="3"/>
          <w:numId w:val="7"/>
        </w:numPr>
        <w:rPr>
          <w:rFonts w:ascii="Times New Roman" w:hAnsi="Times New Roman" w:cs="Times New Roman"/>
          <w:b/>
          <w:sz w:val="24"/>
          <w:szCs w:val="24"/>
        </w:rPr>
      </w:pPr>
      <w:r w:rsidRPr="001F630C">
        <w:rPr>
          <w:rFonts w:ascii="Times New Roman" w:hAnsi="Times New Roman" w:cs="Times New Roman"/>
          <w:sz w:val="24"/>
          <w:szCs w:val="24"/>
        </w:rPr>
        <w:t>G</w:t>
      </w:r>
      <w:r w:rsidRPr="00CD302A">
        <w:rPr>
          <w:rFonts w:ascii="Times New Roman" w:hAnsi="Times New Roman" w:cs="Times New Roman"/>
          <w:sz w:val="24"/>
          <w:szCs w:val="24"/>
        </w:rPr>
        <w:t>arnishment reports showing the number and dollar amount of garnishments as well as those filed during the reporting period.</w:t>
      </w:r>
    </w:p>
    <w:p w14:paraId="6B4266E3" w14:textId="4536EE66" w:rsidR="009251A3"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 xml:space="preserve">The OTC </w:t>
      </w:r>
      <w:r w:rsidR="004B39CD">
        <w:rPr>
          <w:rFonts w:ascii="Times New Roman" w:hAnsi="Times New Roman" w:cs="Times New Roman"/>
          <w:sz w:val="24"/>
          <w:szCs w:val="24"/>
        </w:rPr>
        <w:t>shall</w:t>
      </w:r>
      <w:r w:rsidR="004B39CD" w:rsidRPr="001F630C">
        <w:rPr>
          <w:rFonts w:ascii="Times New Roman" w:hAnsi="Times New Roman" w:cs="Times New Roman"/>
          <w:sz w:val="24"/>
          <w:szCs w:val="24"/>
        </w:rPr>
        <w:t xml:space="preserve"> </w:t>
      </w:r>
      <w:r w:rsidRPr="001F630C">
        <w:rPr>
          <w:rFonts w:ascii="Times New Roman" w:hAnsi="Times New Roman" w:cs="Times New Roman"/>
          <w:sz w:val="24"/>
          <w:szCs w:val="24"/>
        </w:rPr>
        <w:t xml:space="preserve">have access granted to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’s portal to review details of all accounts migrated to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to include all account notations that document collection efforts between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and the Taxpayer, or Power of Attorney.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provide upon request by the OTC, a history of all collection efforts, including all communication with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and the taxpayer or Power of Attorney. Upon termination </w:t>
      </w:r>
      <w:r w:rsidRPr="00CD302A">
        <w:rPr>
          <w:rFonts w:ascii="Times New Roman" w:hAnsi="Times New Roman" w:cs="Times New Roman"/>
          <w:sz w:val="24"/>
          <w:szCs w:val="24"/>
          <w:u w:val="single"/>
        </w:rPr>
        <w:t>or 90 days prior to the expiration of the contract</w:t>
      </w:r>
      <w:r w:rsidRPr="001F630C">
        <w:rPr>
          <w:rFonts w:ascii="Times New Roman" w:hAnsi="Times New Roman" w:cs="Times New Roman"/>
          <w:sz w:val="24"/>
          <w:szCs w:val="24"/>
        </w:rPr>
        <w:t>, this information will be part of the transition plan and the OTC will request that all remaining accounts be accounted for to include but not limited to the following:</w:t>
      </w:r>
    </w:p>
    <w:p w14:paraId="43D449E1" w14:textId="63383158" w:rsidR="004E1F5D" w:rsidRPr="001F630C" w:rsidRDefault="008253F9" w:rsidP="00C40AA8">
      <w:pPr>
        <w:pStyle w:val="Outline-Level5"/>
        <w:numPr>
          <w:ilvl w:val="4"/>
          <w:numId w:val="7"/>
        </w:numPr>
        <w:rPr>
          <w:rFonts w:ascii="Times New Roman" w:hAnsi="Times New Roman" w:cs="Times New Roman"/>
          <w:sz w:val="24"/>
          <w:szCs w:val="24"/>
        </w:rPr>
      </w:pPr>
      <w:r>
        <w:rPr>
          <w:rFonts w:ascii="Times New Roman" w:hAnsi="Times New Roman" w:cs="Times New Roman"/>
          <w:sz w:val="24"/>
          <w:szCs w:val="24"/>
        </w:rPr>
        <w:t>Supplier</w:t>
      </w:r>
      <w:r w:rsidR="004E1F5D" w:rsidRPr="001F630C">
        <w:rPr>
          <w:rFonts w:ascii="Times New Roman" w:hAnsi="Times New Roman" w:cs="Times New Roman"/>
          <w:sz w:val="24"/>
          <w:szCs w:val="24"/>
        </w:rPr>
        <w:t xml:space="preserve"> account number.</w:t>
      </w:r>
    </w:p>
    <w:p w14:paraId="24F3E6C8" w14:textId="7DC9D934" w:rsidR="009251A3" w:rsidRPr="001F630C" w:rsidRDefault="009251A3" w:rsidP="00C40AA8">
      <w:pPr>
        <w:pStyle w:val="Outline-Level5"/>
        <w:numPr>
          <w:ilvl w:val="4"/>
          <w:numId w:val="7"/>
        </w:numPr>
        <w:rPr>
          <w:rFonts w:ascii="Times New Roman" w:hAnsi="Times New Roman" w:cs="Times New Roman"/>
          <w:sz w:val="24"/>
          <w:szCs w:val="24"/>
        </w:rPr>
      </w:pPr>
      <w:r w:rsidRPr="001F630C">
        <w:rPr>
          <w:rFonts w:ascii="Times New Roman" w:hAnsi="Times New Roman" w:cs="Times New Roman"/>
          <w:sz w:val="24"/>
          <w:szCs w:val="24"/>
        </w:rPr>
        <w:t>OTC Unique Taxpayer Number</w:t>
      </w:r>
    </w:p>
    <w:p w14:paraId="10A41E17" w14:textId="439E90BC" w:rsidR="009251A3" w:rsidRPr="001F630C" w:rsidRDefault="009251A3" w:rsidP="00C40AA8">
      <w:pPr>
        <w:pStyle w:val="Outline-Level5"/>
        <w:numPr>
          <w:ilvl w:val="4"/>
          <w:numId w:val="7"/>
        </w:numPr>
        <w:rPr>
          <w:rFonts w:ascii="Times New Roman" w:hAnsi="Times New Roman" w:cs="Times New Roman"/>
          <w:sz w:val="24"/>
          <w:szCs w:val="24"/>
        </w:rPr>
      </w:pPr>
      <w:r w:rsidRPr="001F630C">
        <w:rPr>
          <w:rFonts w:ascii="Times New Roman" w:hAnsi="Times New Roman" w:cs="Times New Roman"/>
          <w:sz w:val="24"/>
          <w:szCs w:val="24"/>
        </w:rPr>
        <w:t>Entity name</w:t>
      </w:r>
    </w:p>
    <w:p w14:paraId="2A71665F" w14:textId="3523450E" w:rsidR="004E1F5D" w:rsidRPr="001F630C" w:rsidRDefault="009251A3" w:rsidP="00C40AA8">
      <w:pPr>
        <w:pStyle w:val="Outline-Level5"/>
        <w:numPr>
          <w:ilvl w:val="4"/>
          <w:numId w:val="7"/>
        </w:numPr>
        <w:rPr>
          <w:rFonts w:ascii="Times New Roman" w:hAnsi="Times New Roman" w:cs="Times New Roman"/>
          <w:sz w:val="24"/>
          <w:szCs w:val="24"/>
        </w:rPr>
      </w:pPr>
      <w:r w:rsidRPr="001F630C">
        <w:rPr>
          <w:rFonts w:ascii="Times New Roman" w:hAnsi="Times New Roman" w:cs="Times New Roman"/>
          <w:sz w:val="24"/>
          <w:szCs w:val="24"/>
        </w:rPr>
        <w:lastRenderedPageBreak/>
        <w:t xml:space="preserve">Notations indicating all collection efforts to include any communication documented that took place between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and the taxpayer or the Power of Attorney</w:t>
      </w:r>
    </w:p>
    <w:p w14:paraId="5B712027" w14:textId="25B02513"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Reporting methods </w:t>
      </w:r>
      <w:r w:rsidR="004B39CD">
        <w:rPr>
          <w:rFonts w:ascii="Times New Roman" w:hAnsi="Times New Roman" w:cs="Times New Roman"/>
          <w:sz w:val="24"/>
          <w:szCs w:val="24"/>
        </w:rPr>
        <w:t xml:space="preserve">shall </w:t>
      </w:r>
      <w:r w:rsidRPr="001F630C">
        <w:rPr>
          <w:rFonts w:ascii="Times New Roman" w:hAnsi="Times New Roman" w:cs="Times New Roman"/>
          <w:sz w:val="24"/>
          <w:szCs w:val="24"/>
        </w:rPr>
        <w:t>require the ability to export the information into a spreadsheet or data base for review and sorting purposes (Microsoft Office Access or Excel is preferred). If the data files are large and cannot be transmitted in an encrypted electronic mail, the following are acceptable using the specifications listed:</w:t>
      </w:r>
    </w:p>
    <w:p w14:paraId="1DEB699D" w14:textId="2F146326" w:rsidR="004E1F5D" w:rsidRPr="00CD302A" w:rsidRDefault="004E1F5D" w:rsidP="00C40AA8">
      <w:pPr>
        <w:pStyle w:val="Outline-Level4"/>
        <w:numPr>
          <w:ilvl w:val="3"/>
          <w:numId w:val="7"/>
        </w:numPr>
        <w:rPr>
          <w:rFonts w:ascii="Times New Roman" w:hAnsi="Times New Roman" w:cs="Times New Roman"/>
          <w:sz w:val="24"/>
          <w:szCs w:val="24"/>
        </w:rPr>
      </w:pPr>
      <w:r w:rsidRPr="00CD302A">
        <w:rPr>
          <w:rFonts w:ascii="Times New Roman" w:hAnsi="Times New Roman" w:cs="Times New Roman"/>
          <w:sz w:val="24"/>
          <w:szCs w:val="24"/>
        </w:rPr>
        <w:t>Flash drives would be acceptable as long as properly secured.</w:t>
      </w:r>
    </w:p>
    <w:p w14:paraId="6B3F5FA9" w14:textId="32B3051C" w:rsidR="004E1F5D" w:rsidRPr="00CD302A" w:rsidRDefault="004E1F5D" w:rsidP="00C40AA8">
      <w:pPr>
        <w:pStyle w:val="Outline-Level4"/>
        <w:numPr>
          <w:ilvl w:val="3"/>
          <w:numId w:val="7"/>
        </w:numPr>
        <w:rPr>
          <w:rFonts w:ascii="Times New Roman" w:hAnsi="Times New Roman" w:cs="Times New Roman"/>
          <w:sz w:val="24"/>
          <w:szCs w:val="24"/>
        </w:rPr>
      </w:pPr>
      <w:r w:rsidRPr="00CD302A">
        <w:rPr>
          <w:rFonts w:ascii="Times New Roman" w:hAnsi="Times New Roman" w:cs="Times New Roman"/>
          <w:sz w:val="24"/>
          <w:szCs w:val="24"/>
        </w:rPr>
        <w:t>Encrypted using 256-Bit AES level encryption or better.</w:t>
      </w:r>
    </w:p>
    <w:p w14:paraId="7945B600" w14:textId="7C429709" w:rsidR="004E1F5D" w:rsidRPr="00CD302A" w:rsidRDefault="004E1F5D" w:rsidP="00C40AA8">
      <w:pPr>
        <w:pStyle w:val="Outline-Level4"/>
        <w:numPr>
          <w:ilvl w:val="3"/>
          <w:numId w:val="7"/>
        </w:numPr>
        <w:rPr>
          <w:rFonts w:ascii="Times New Roman" w:hAnsi="Times New Roman" w:cs="Times New Roman"/>
          <w:sz w:val="24"/>
          <w:szCs w:val="24"/>
        </w:rPr>
      </w:pPr>
      <w:r w:rsidRPr="00CD302A">
        <w:rPr>
          <w:rFonts w:ascii="Times New Roman" w:hAnsi="Times New Roman" w:cs="Times New Roman"/>
          <w:sz w:val="24"/>
          <w:szCs w:val="24"/>
        </w:rPr>
        <w:t>Must be FIPS 140-2 validated/compliant.</w:t>
      </w:r>
    </w:p>
    <w:p w14:paraId="02641584" w14:textId="56CEFB9F" w:rsidR="004E1F5D" w:rsidRPr="00CD302A" w:rsidRDefault="004E1F5D" w:rsidP="00C40AA8">
      <w:pPr>
        <w:pStyle w:val="Outline-Level4"/>
        <w:numPr>
          <w:ilvl w:val="3"/>
          <w:numId w:val="7"/>
        </w:numPr>
        <w:rPr>
          <w:rFonts w:ascii="Times New Roman" w:hAnsi="Times New Roman" w:cs="Times New Roman"/>
          <w:sz w:val="24"/>
          <w:szCs w:val="24"/>
        </w:rPr>
      </w:pPr>
      <w:r w:rsidRPr="00CD302A">
        <w:rPr>
          <w:rFonts w:ascii="Times New Roman" w:hAnsi="Times New Roman" w:cs="Times New Roman"/>
          <w:sz w:val="24"/>
          <w:szCs w:val="24"/>
        </w:rPr>
        <w:t>Restricted access (password, code, or other security feature) enabled.</w:t>
      </w:r>
    </w:p>
    <w:p w14:paraId="549A11A3" w14:textId="4457F03C" w:rsidR="004E1F5D" w:rsidRPr="00CD302A" w:rsidRDefault="004E1F5D" w:rsidP="00C40AA8">
      <w:pPr>
        <w:pStyle w:val="Outline-Level4"/>
        <w:numPr>
          <w:ilvl w:val="3"/>
          <w:numId w:val="7"/>
        </w:numPr>
        <w:rPr>
          <w:rFonts w:ascii="Times New Roman" w:hAnsi="Times New Roman" w:cs="Times New Roman"/>
          <w:sz w:val="24"/>
          <w:szCs w:val="24"/>
        </w:rPr>
      </w:pPr>
      <w:r w:rsidRPr="00CD302A">
        <w:rPr>
          <w:rFonts w:ascii="Times New Roman" w:hAnsi="Times New Roman" w:cs="Times New Roman"/>
          <w:sz w:val="24"/>
          <w:szCs w:val="24"/>
        </w:rPr>
        <w:t>Password, code, etc. must be provided separately from the transfer of the USB drive.</w:t>
      </w:r>
    </w:p>
    <w:p w14:paraId="229514D9" w14:textId="00EFBF1C"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be required to perform a regular reconciliation to verify the accuracy of the amounts that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is collecting as well as the cases referred which remain open with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t>
      </w:r>
    </w:p>
    <w:p w14:paraId="4C4D9DCD" w14:textId="08834581"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is responsible for the performance of the contract and shall have internal monitoring procedures and processes to ensure compliance.</w:t>
      </w:r>
    </w:p>
    <w:p w14:paraId="58AB9A90" w14:textId="42D0682A"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To assure compliance with the contract, the OTC and or state auditors shall have the right to enter into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s premises or any facilities where any portion of the contract is being performed, without notice during normal work hours to inspect, monitor or otherwise evaluate its work performance, examine the books, records and other compilations of data of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which pertain to the performance of the provisions and requirements of the contact.  The OTC shall also have the right to independently verify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’s activities through direct contact with taxpayers or any other means without notice to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must be prepared to institute any further controls the OTC may require.</w:t>
      </w:r>
    </w:p>
    <w:p w14:paraId="4A555F07" w14:textId="77777777" w:rsidR="004E1F5D" w:rsidRPr="001F630C" w:rsidRDefault="004E1F5D" w:rsidP="00741B7B">
      <w:pPr>
        <w:pStyle w:val="Outline-Level2"/>
        <w:numPr>
          <w:ilvl w:val="0"/>
          <w:numId w:val="0"/>
        </w:numPr>
        <w:ind w:left="720"/>
        <w:rPr>
          <w:rFonts w:ascii="Times New Roman" w:hAnsi="Times New Roman" w:cs="Times New Roman"/>
          <w:sz w:val="24"/>
          <w:szCs w:val="24"/>
        </w:rPr>
      </w:pPr>
    </w:p>
    <w:p w14:paraId="482B6BC8" w14:textId="77777777" w:rsidR="004E1F5D" w:rsidRPr="001F630C" w:rsidRDefault="004E1F5D" w:rsidP="00085E41">
      <w:pPr>
        <w:pStyle w:val="Outline-Level2"/>
        <w:numPr>
          <w:ilvl w:val="0"/>
          <w:numId w:val="7"/>
        </w:numPr>
        <w:rPr>
          <w:rFonts w:ascii="Times New Roman" w:hAnsi="Times New Roman" w:cs="Times New Roman"/>
          <w:sz w:val="24"/>
          <w:szCs w:val="24"/>
        </w:rPr>
      </w:pPr>
      <w:r w:rsidRPr="001F630C">
        <w:rPr>
          <w:rFonts w:ascii="Times New Roman" w:hAnsi="Times New Roman" w:cs="Times New Roman"/>
          <w:sz w:val="24"/>
          <w:szCs w:val="24"/>
        </w:rPr>
        <w:t>Transition Plan</w:t>
      </w:r>
    </w:p>
    <w:p w14:paraId="5FA2E152" w14:textId="5038F44A"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work with the OTC and any other organizations designated by the OTC to ensure an orderly transition of services and responsibilities under the contract and to ensure the continuity of those services required by the OTC.</w:t>
      </w:r>
    </w:p>
    <w:p w14:paraId="06AAE102" w14:textId="34009D57" w:rsidR="004E1F5D" w:rsidRPr="001F630C" w:rsidRDefault="004E1F5D" w:rsidP="00C40AA8">
      <w:pPr>
        <w:pStyle w:val="Outline-Level3"/>
        <w:numPr>
          <w:ilvl w:val="2"/>
          <w:numId w:val="7"/>
        </w:numPr>
        <w:rPr>
          <w:rFonts w:ascii="Times New Roman" w:hAnsi="Times New Roman" w:cs="Times New Roman"/>
          <w:sz w:val="24"/>
          <w:szCs w:val="24"/>
        </w:rPr>
      </w:pPr>
      <w:r w:rsidRPr="001F630C">
        <w:rPr>
          <w:rFonts w:ascii="Times New Roman" w:hAnsi="Times New Roman" w:cs="Times New Roman"/>
          <w:sz w:val="24"/>
          <w:szCs w:val="24"/>
        </w:rPr>
        <w:t xml:space="preserve">Upon the expiration, termination, or cancelation of the contract, the contractor shall assist the OTC to ensure an orderly and smooth transfer of responsibility and continuity of those services required under the terms of the contract to an organization designated the OTC. If requested by the OTC, 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provide and/or perform any or all of the following responsibilities:</w:t>
      </w:r>
    </w:p>
    <w:p w14:paraId="6486B183" w14:textId="16A0E002"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lastRenderedPageBreak/>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deliver, FOB destination, all records, documentation, reports, data, recommendations, or printing elements, etc., which were required to be produced under the terms of this contract to the OTC and/or to the OTC’s designee within seven (7) days after receipt of the written request in a format and condition that are acceptable the OTC. [see C.3.2 for specifications]</w:t>
      </w:r>
    </w:p>
    <w:p w14:paraId="1E54D9BD" w14:textId="34BE788E" w:rsidR="004E1F5D" w:rsidRPr="001F630C" w:rsidRDefault="004E1F5D" w:rsidP="00C40AA8">
      <w:pPr>
        <w:pStyle w:val="Outline-Level4"/>
        <w:numPr>
          <w:ilvl w:val="3"/>
          <w:numId w:val="7"/>
        </w:numPr>
        <w:rPr>
          <w:rFonts w:ascii="Times New Roman" w:hAnsi="Times New Roman" w:cs="Times New Roman"/>
          <w:sz w:val="24"/>
          <w:szCs w:val="24"/>
        </w:rPr>
      </w:pPr>
      <w:r w:rsidRPr="001F630C">
        <w:rPr>
          <w:rFonts w:ascii="Times New Roman" w:hAnsi="Times New Roman" w:cs="Times New Roman"/>
          <w:sz w:val="24"/>
          <w:szCs w:val="24"/>
        </w:rPr>
        <w:t xml:space="preserve">The </w:t>
      </w:r>
      <w:r w:rsidR="008253F9">
        <w:rPr>
          <w:rFonts w:ascii="Times New Roman" w:hAnsi="Times New Roman" w:cs="Times New Roman"/>
          <w:sz w:val="24"/>
          <w:szCs w:val="24"/>
        </w:rPr>
        <w:t>Supplier</w:t>
      </w:r>
      <w:r w:rsidRPr="001F630C">
        <w:rPr>
          <w:rFonts w:ascii="Times New Roman" w:hAnsi="Times New Roman" w:cs="Times New Roman"/>
          <w:sz w:val="24"/>
          <w:szCs w:val="24"/>
        </w:rPr>
        <w:t xml:space="preserve"> shall discontinue providing service or accepting new assignments under the terms of this contract, on the date specified by OTC, in order to ensure the completion of such service prior to the expiration of the contract.</w:t>
      </w:r>
    </w:p>
    <w:p w14:paraId="3831F7C2" w14:textId="77777777" w:rsidR="004E1F5D" w:rsidRPr="001F630C" w:rsidRDefault="004E1F5D" w:rsidP="00741B7B">
      <w:pPr>
        <w:pStyle w:val="Outline-Level2"/>
        <w:numPr>
          <w:ilvl w:val="0"/>
          <w:numId w:val="0"/>
        </w:numPr>
        <w:ind w:left="720" w:hanging="720"/>
        <w:rPr>
          <w:rFonts w:ascii="Times New Roman" w:hAnsi="Times New Roman" w:cs="Times New Roman"/>
          <w:sz w:val="24"/>
          <w:szCs w:val="24"/>
        </w:rPr>
      </w:pPr>
    </w:p>
    <w:sectPr w:rsidR="004E1F5D" w:rsidRPr="001F630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B65"/>
    <w:multiLevelType w:val="hybridMultilevel"/>
    <w:tmpl w:val="8B5CCC4E"/>
    <w:lvl w:ilvl="0" w:tplc="6134665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E449F"/>
    <w:multiLevelType w:val="multilevel"/>
    <w:tmpl w:val="DE96B6C0"/>
    <w:lvl w:ilvl="0">
      <w:start w:val="1"/>
      <w:numFmt w:val="upperLetter"/>
      <w:pStyle w:val="Outline-Level1"/>
      <w:lvlText w:val="%1."/>
      <w:lvlJc w:val="left"/>
      <w:pPr>
        <w:tabs>
          <w:tab w:val="num" w:pos="360"/>
        </w:tabs>
        <w:ind w:left="720" w:hanging="720"/>
      </w:pPr>
      <w:rPr>
        <w:rFonts w:hint="default"/>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color w:val="auto"/>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59B1A80"/>
    <w:multiLevelType w:val="multilevel"/>
    <w:tmpl w:val="2780C5CE"/>
    <w:lvl w:ilvl="0">
      <w:start w:val="1"/>
      <w:numFmt w:val="decimal"/>
      <w:lvlText w:val="%1"/>
      <w:lvlJc w:val="left"/>
      <w:pPr>
        <w:ind w:left="81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153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A8643DE"/>
    <w:multiLevelType w:val="multilevel"/>
    <w:tmpl w:val="BF0CC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29B30C5"/>
    <w:multiLevelType w:val="hybridMultilevel"/>
    <w:tmpl w:val="0A38461E"/>
    <w:lvl w:ilvl="0" w:tplc="786A1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10152"/>
    <w:multiLevelType w:val="hybridMultilevel"/>
    <w:tmpl w:val="8904D644"/>
    <w:lvl w:ilvl="0" w:tplc="27E4BD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5D"/>
    <w:rsid w:val="00085E41"/>
    <w:rsid w:val="001F630C"/>
    <w:rsid w:val="002C7546"/>
    <w:rsid w:val="004B39CD"/>
    <w:rsid w:val="004C1021"/>
    <w:rsid w:val="004E1F5D"/>
    <w:rsid w:val="006B7FFE"/>
    <w:rsid w:val="006E162F"/>
    <w:rsid w:val="00716738"/>
    <w:rsid w:val="00717FC3"/>
    <w:rsid w:val="007249AC"/>
    <w:rsid w:val="00741B7B"/>
    <w:rsid w:val="008253F9"/>
    <w:rsid w:val="008276E8"/>
    <w:rsid w:val="009251A3"/>
    <w:rsid w:val="00925A5C"/>
    <w:rsid w:val="00A92CBD"/>
    <w:rsid w:val="00B0230B"/>
    <w:rsid w:val="00B735FE"/>
    <w:rsid w:val="00B80797"/>
    <w:rsid w:val="00B935F3"/>
    <w:rsid w:val="00C40AA8"/>
    <w:rsid w:val="00C918C6"/>
    <w:rsid w:val="00CD302A"/>
    <w:rsid w:val="00D73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2C979"/>
  <w15:chartTrackingRefBased/>
  <w15:docId w15:val="{27F74ED4-C137-438F-AE2F-07E835AE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F5D"/>
    <w:pPr>
      <w:overflowPunct w:val="0"/>
      <w:autoSpaceDE w:val="0"/>
      <w:autoSpaceDN w:val="0"/>
      <w:adjustRightInd w:val="0"/>
      <w:textAlignment w:val="baseline"/>
    </w:pPr>
    <w:rPr>
      <w:rFonts w:ascii="Arial" w:hAnsi="Arial" w:cs="Arial"/>
      <w:b/>
      <w:sz w:val="18"/>
      <w:szCs w:val="18"/>
    </w:rPr>
  </w:style>
  <w:style w:type="paragraph" w:styleId="Heading1">
    <w:name w:val="heading 1"/>
    <w:basedOn w:val="Outline-Level1"/>
    <w:next w:val="Normal"/>
    <w:link w:val="Heading1Char"/>
    <w:uiPriority w:val="9"/>
    <w:qFormat/>
    <w:rsid w:val="004E1F5D"/>
  </w:style>
  <w:style w:type="paragraph" w:styleId="Heading2">
    <w:name w:val="heading 2"/>
    <w:basedOn w:val="Outline-Level2"/>
    <w:next w:val="Normal"/>
    <w:link w:val="Heading2Char"/>
    <w:uiPriority w:val="9"/>
    <w:qFormat/>
    <w:rsid w:val="004E1F5D"/>
  </w:style>
  <w:style w:type="paragraph" w:styleId="Heading3">
    <w:name w:val="heading 3"/>
    <w:basedOn w:val="Outline-Level3"/>
    <w:next w:val="Normal"/>
    <w:link w:val="Heading3Char"/>
    <w:uiPriority w:val="9"/>
    <w:qFormat/>
    <w:rsid w:val="004E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1F5D"/>
    <w:rPr>
      <w:rFonts w:ascii="Arial" w:hAnsi="Arial" w:cs="Arial"/>
      <w:b/>
      <w:caps/>
      <w:sz w:val="24"/>
      <w:szCs w:val="24"/>
    </w:rPr>
  </w:style>
  <w:style w:type="character" w:customStyle="1" w:styleId="Heading2Char">
    <w:name w:val="Heading 2 Char"/>
    <w:basedOn w:val="DefaultParagraphFont"/>
    <w:link w:val="Heading2"/>
    <w:uiPriority w:val="9"/>
    <w:rsid w:val="004E1F5D"/>
    <w:rPr>
      <w:rFonts w:ascii="Arial" w:hAnsi="Arial" w:cs="Arial"/>
      <w:b/>
      <w:bCs/>
      <w:szCs w:val="18"/>
    </w:rPr>
  </w:style>
  <w:style w:type="character" w:customStyle="1" w:styleId="Heading3Char">
    <w:name w:val="Heading 3 Char"/>
    <w:basedOn w:val="DefaultParagraphFont"/>
    <w:link w:val="Heading3"/>
    <w:uiPriority w:val="9"/>
    <w:rsid w:val="004E1F5D"/>
    <w:rPr>
      <w:rFonts w:ascii="Arial" w:hAnsi="Arial" w:cs="Arial"/>
      <w:sz w:val="18"/>
      <w:szCs w:val="18"/>
    </w:rPr>
  </w:style>
  <w:style w:type="paragraph" w:customStyle="1" w:styleId="Outline-Level1">
    <w:name w:val="Outline-Level 1"/>
    <w:basedOn w:val="Normal"/>
    <w:qFormat/>
    <w:rsid w:val="004E1F5D"/>
    <w:pPr>
      <w:numPr>
        <w:numId w:val="1"/>
      </w:numPr>
      <w:spacing w:beforeLines="50" w:before="120"/>
      <w:outlineLvl w:val="0"/>
    </w:pPr>
    <w:rPr>
      <w:caps/>
      <w:sz w:val="24"/>
      <w:szCs w:val="24"/>
    </w:rPr>
  </w:style>
  <w:style w:type="paragraph" w:customStyle="1" w:styleId="Outline-Level2">
    <w:name w:val="Outline-Level 2"/>
    <w:basedOn w:val="Normal"/>
    <w:qFormat/>
    <w:rsid w:val="004E1F5D"/>
    <w:pPr>
      <w:numPr>
        <w:ilvl w:val="1"/>
        <w:numId w:val="1"/>
      </w:numPr>
      <w:spacing w:beforeLines="50" w:before="120"/>
      <w:outlineLvl w:val="1"/>
    </w:pPr>
    <w:rPr>
      <w:bCs/>
      <w:sz w:val="20"/>
    </w:rPr>
  </w:style>
  <w:style w:type="paragraph" w:customStyle="1" w:styleId="Outline-Level3">
    <w:name w:val="Outline-Level 3"/>
    <w:basedOn w:val="Normal"/>
    <w:link w:val="Outline-Level3Char"/>
    <w:qFormat/>
    <w:rsid w:val="004E1F5D"/>
    <w:pPr>
      <w:numPr>
        <w:ilvl w:val="2"/>
        <w:numId w:val="1"/>
      </w:numPr>
      <w:spacing w:beforeLines="50" w:before="120"/>
      <w:outlineLvl w:val="2"/>
    </w:pPr>
    <w:rPr>
      <w:b w:val="0"/>
    </w:rPr>
  </w:style>
  <w:style w:type="paragraph" w:customStyle="1" w:styleId="Outline-Level4">
    <w:name w:val="Outline-Level 4"/>
    <w:basedOn w:val="Outline-Level3"/>
    <w:qFormat/>
    <w:rsid w:val="004E1F5D"/>
    <w:pPr>
      <w:numPr>
        <w:ilvl w:val="3"/>
      </w:numPr>
      <w:tabs>
        <w:tab w:val="clear" w:pos="1440"/>
        <w:tab w:val="num" w:pos="360"/>
        <w:tab w:val="left" w:pos="2340"/>
      </w:tabs>
      <w:ind w:left="2340" w:hanging="900"/>
      <w:outlineLvl w:val="3"/>
    </w:pPr>
  </w:style>
  <w:style w:type="paragraph" w:customStyle="1" w:styleId="Outline-Level5">
    <w:name w:val="Outline-Level 5"/>
    <w:basedOn w:val="Outline-Level4"/>
    <w:rsid w:val="004E1F5D"/>
    <w:pPr>
      <w:numPr>
        <w:ilvl w:val="4"/>
      </w:numPr>
      <w:tabs>
        <w:tab w:val="clear" w:pos="2520"/>
        <w:tab w:val="num" w:pos="360"/>
      </w:tabs>
      <w:outlineLvl w:val="4"/>
    </w:pPr>
  </w:style>
  <w:style w:type="character" w:customStyle="1" w:styleId="Outline-Level3Char">
    <w:name w:val="Outline-Level 3 Char"/>
    <w:link w:val="Outline-Level3"/>
    <w:rsid w:val="004E1F5D"/>
    <w:rPr>
      <w:rFonts w:ascii="Arial" w:hAnsi="Arial" w:cs="Arial"/>
      <w:sz w:val="18"/>
      <w:szCs w:val="18"/>
    </w:rPr>
  </w:style>
  <w:style w:type="paragraph" w:styleId="ListParagraph">
    <w:name w:val="List Paragraph"/>
    <w:basedOn w:val="Normal"/>
    <w:uiPriority w:val="34"/>
    <w:qFormat/>
    <w:rsid w:val="004E1F5D"/>
    <w:pPr>
      <w:ind w:left="720"/>
      <w:contextualSpacing/>
    </w:pPr>
    <w:rPr>
      <w:b w:val="0"/>
      <w:sz w:val="20"/>
      <w:szCs w:val="20"/>
    </w:rPr>
  </w:style>
  <w:style w:type="character" w:styleId="CommentReference">
    <w:name w:val="annotation reference"/>
    <w:uiPriority w:val="99"/>
    <w:rsid w:val="004E1F5D"/>
    <w:rPr>
      <w:sz w:val="16"/>
      <w:szCs w:val="16"/>
    </w:rPr>
  </w:style>
  <w:style w:type="paragraph" w:styleId="CommentText">
    <w:name w:val="annotation text"/>
    <w:basedOn w:val="Normal"/>
    <w:link w:val="CommentTextChar"/>
    <w:uiPriority w:val="99"/>
    <w:rsid w:val="004E1F5D"/>
    <w:rPr>
      <w:sz w:val="20"/>
      <w:szCs w:val="20"/>
    </w:rPr>
  </w:style>
  <w:style w:type="character" w:customStyle="1" w:styleId="CommentTextChar">
    <w:name w:val="Comment Text Char"/>
    <w:basedOn w:val="DefaultParagraphFont"/>
    <w:link w:val="CommentText"/>
    <w:uiPriority w:val="99"/>
    <w:rsid w:val="004E1F5D"/>
    <w:rPr>
      <w:rFonts w:ascii="Arial" w:hAnsi="Arial" w:cs="Arial"/>
      <w:b/>
    </w:rPr>
  </w:style>
  <w:style w:type="paragraph" w:styleId="BalloonText">
    <w:name w:val="Balloon Text"/>
    <w:basedOn w:val="Normal"/>
    <w:link w:val="BalloonTextChar"/>
    <w:rsid w:val="004E1F5D"/>
    <w:rPr>
      <w:rFonts w:ascii="Segoe UI" w:hAnsi="Segoe UI" w:cs="Segoe UI"/>
    </w:rPr>
  </w:style>
  <w:style w:type="character" w:customStyle="1" w:styleId="BalloonTextChar">
    <w:name w:val="Balloon Text Char"/>
    <w:basedOn w:val="DefaultParagraphFont"/>
    <w:link w:val="BalloonText"/>
    <w:rsid w:val="004E1F5D"/>
    <w:rPr>
      <w:rFonts w:ascii="Segoe UI" w:hAnsi="Segoe UI" w:cs="Segoe UI"/>
      <w:b/>
      <w:sz w:val="18"/>
      <w:szCs w:val="18"/>
    </w:rPr>
  </w:style>
  <w:style w:type="paragraph" w:styleId="CommentSubject">
    <w:name w:val="annotation subject"/>
    <w:basedOn w:val="CommentText"/>
    <w:next w:val="CommentText"/>
    <w:link w:val="CommentSubjectChar"/>
    <w:semiHidden/>
    <w:unhideWhenUsed/>
    <w:rsid w:val="00CD302A"/>
    <w:rPr>
      <w:bCs/>
    </w:rPr>
  </w:style>
  <w:style w:type="character" w:customStyle="1" w:styleId="CommentSubjectChar">
    <w:name w:val="Comment Subject Char"/>
    <w:basedOn w:val="CommentTextChar"/>
    <w:link w:val="CommentSubject"/>
    <w:semiHidden/>
    <w:rsid w:val="00CD302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6</Pages>
  <Words>2022</Words>
  <Characters>10598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OTC</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Kelly</dc:creator>
  <cp:keywords/>
  <dc:description/>
  <cp:lastModifiedBy>Teresa Terry</cp:lastModifiedBy>
  <cp:revision>7</cp:revision>
  <dcterms:created xsi:type="dcterms:W3CDTF">2021-04-19T15:35:00Z</dcterms:created>
  <dcterms:modified xsi:type="dcterms:W3CDTF">2021-04-19T19:40:00Z</dcterms:modified>
</cp:coreProperties>
</file>