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4FBBFA74"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4F77C0">
        <w:rPr>
          <w:rFonts w:ascii="Times New Roman" w:hAnsi="Times New Roman" w:cs="Times New Roman"/>
          <w:b/>
          <w:sz w:val="28"/>
          <w:szCs w:val="28"/>
        </w:rPr>
        <w:t>6950000626</w:t>
      </w:r>
    </w:p>
    <w:p w14:paraId="292897D4" w14:textId="77777777" w:rsidR="00554F12" w:rsidRPr="00C24841" w:rsidRDefault="00554F12" w:rsidP="00C24841">
      <w:pPr>
        <w:jc w:val="center"/>
        <w:rPr>
          <w:rFonts w:ascii="Times New Roman" w:hAnsi="Times New Roman" w:cs="Times New Roman"/>
          <w:b/>
          <w:sz w:val="28"/>
          <w:szCs w:val="28"/>
        </w:rPr>
      </w:pPr>
    </w:p>
    <w:p w14:paraId="743FC655" w14:textId="77777777" w:rsidR="008F2F6C" w:rsidRDefault="008F2F6C" w:rsidP="00C03902">
      <w:pPr>
        <w:pStyle w:val="Heading1"/>
        <w:rPr>
          <w:rFonts w:ascii="Times New Roman" w:hAnsi="Times New Roman" w:cs="Times New Roman"/>
          <w:color w:val="000000"/>
        </w:rPr>
      </w:pPr>
      <w:r>
        <w:rPr>
          <w:rFonts w:ascii="Times New Roman" w:hAnsi="Times New Roman" w:cs="Times New Roman"/>
          <w:color w:val="000000"/>
        </w:rPr>
        <w:t>AGENCY TERMS</w:t>
      </w:r>
    </w:p>
    <w:p w14:paraId="484D428A" w14:textId="68375EAD" w:rsidR="008F2F6C" w:rsidRDefault="008F2F6C" w:rsidP="008F2F6C">
      <w:pPr>
        <w:pStyle w:val="Outline-Level2"/>
        <w:rPr>
          <w:rFonts w:ascii="Times New Roman" w:hAnsi="Times New Roman" w:cs="Times New Roman"/>
          <w:b w:val="0"/>
          <w:sz w:val="22"/>
          <w:szCs w:val="22"/>
        </w:rPr>
      </w:pPr>
      <w:r w:rsidRPr="008F2F6C">
        <w:rPr>
          <w:rFonts w:ascii="Times New Roman" w:hAnsi="Times New Roman" w:cs="Times New Roman"/>
          <w:sz w:val="22"/>
          <w:szCs w:val="22"/>
        </w:rPr>
        <w:t>Non-Binding Contract:</w:t>
      </w:r>
      <w:r w:rsidRPr="008F2F6C">
        <w:rPr>
          <w:rFonts w:ascii="Times New Roman" w:hAnsi="Times New Roman" w:cs="Times New Roman"/>
          <w:b w:val="0"/>
          <w:sz w:val="22"/>
          <w:szCs w:val="22"/>
        </w:rPr>
        <w:t xml:space="preserve"> This contract is for an indefinite quantity and the State may, or may not, buy the quantity mentioned in this contract.</w:t>
      </w:r>
    </w:p>
    <w:p w14:paraId="68FFC212" w14:textId="7B0DB1AE" w:rsidR="008F2F6C" w:rsidRPr="008F2F6C" w:rsidRDefault="008F2F6C" w:rsidP="008F2F6C">
      <w:pPr>
        <w:pStyle w:val="Outline-Level2"/>
        <w:rPr>
          <w:rFonts w:ascii="Times New Roman" w:hAnsi="Times New Roman" w:cs="Times New Roman"/>
          <w:b w:val="0"/>
          <w:sz w:val="22"/>
          <w:szCs w:val="22"/>
        </w:rPr>
      </w:pPr>
      <w:r>
        <w:rPr>
          <w:rFonts w:ascii="Times New Roman" w:hAnsi="Times New Roman" w:cs="Times New Roman"/>
          <w:sz w:val="22"/>
          <w:szCs w:val="22"/>
        </w:rPr>
        <w:t>Invoices:</w:t>
      </w:r>
      <w:r>
        <w:rPr>
          <w:rFonts w:ascii="Times New Roman" w:hAnsi="Times New Roman" w:cs="Times New Roman"/>
          <w:b w:val="0"/>
          <w:sz w:val="22"/>
          <w:szCs w:val="22"/>
        </w:rPr>
        <w:t xml:space="preserve"> </w:t>
      </w:r>
      <w:r w:rsidR="00686AAE">
        <w:rPr>
          <w:rFonts w:ascii="Times New Roman" w:hAnsi="Times New Roman" w:cs="Times New Roman"/>
          <w:b w:val="0"/>
          <w:sz w:val="22"/>
          <w:szCs w:val="22"/>
        </w:rPr>
        <w:t xml:space="preserve">Billed monthly in arrears. </w:t>
      </w:r>
      <w:r>
        <w:rPr>
          <w:rFonts w:ascii="Times New Roman" w:hAnsi="Times New Roman" w:cs="Times New Roman"/>
          <w:b w:val="0"/>
          <w:sz w:val="22"/>
          <w:szCs w:val="22"/>
        </w:rPr>
        <w:t xml:space="preserve">Invoices should be submitted to </w:t>
      </w:r>
      <w:r w:rsidRPr="008F2F6C">
        <w:rPr>
          <w:rFonts w:ascii="Times New Roman" w:hAnsi="Times New Roman" w:cs="Times New Roman"/>
          <w:b w:val="0"/>
          <w:sz w:val="22"/>
          <w:szCs w:val="22"/>
        </w:rPr>
        <w:t>Oklahoma Tax Commission</w:t>
      </w:r>
      <w:r>
        <w:rPr>
          <w:rFonts w:ascii="Times New Roman" w:hAnsi="Times New Roman" w:cs="Times New Roman"/>
          <w:b w:val="0"/>
          <w:sz w:val="22"/>
          <w:szCs w:val="22"/>
        </w:rPr>
        <w:t xml:space="preserve"> - otcaccountspayable@tax.ok.com.</w:t>
      </w:r>
    </w:p>
    <w:p w14:paraId="01E707E9" w14:textId="0C54CF82" w:rsidR="005112C8" w:rsidRPr="003A431D" w:rsidRDefault="008F2F6C" w:rsidP="005112C8">
      <w:pPr>
        <w:pStyle w:val="Heading2"/>
        <w:rPr>
          <w:rFonts w:ascii="Times New Roman" w:hAnsi="Times New Roman" w:cs="Times New Roman"/>
          <w:b w:val="0"/>
          <w:sz w:val="22"/>
          <w:szCs w:val="22"/>
        </w:rPr>
      </w:pPr>
      <w:bookmarkStart w:id="0" w:name="_Ref266693845"/>
      <w:r w:rsidRPr="008F2F6C">
        <w:rPr>
          <w:rFonts w:ascii="Times New Roman" w:hAnsi="Times New Roman" w:cs="Times New Roman"/>
          <w:sz w:val="22"/>
          <w:szCs w:val="22"/>
        </w:rPr>
        <w:t>Fee Limitation</w:t>
      </w:r>
      <w:r w:rsidR="00686AAE">
        <w:rPr>
          <w:rFonts w:ascii="Times New Roman" w:hAnsi="Times New Roman" w:cs="Times New Roman"/>
          <w:sz w:val="22"/>
          <w:szCs w:val="22"/>
        </w:rPr>
        <w:t xml:space="preserve"> and Bond Requirement</w:t>
      </w:r>
      <w:r w:rsidRPr="008F2F6C">
        <w:rPr>
          <w:rFonts w:ascii="Times New Roman" w:hAnsi="Times New Roman" w:cs="Times New Roman"/>
          <w:sz w:val="22"/>
          <w:szCs w:val="22"/>
        </w:rPr>
        <w:t>:</w:t>
      </w:r>
      <w:r>
        <w:rPr>
          <w:rFonts w:ascii="Times New Roman" w:hAnsi="Times New Roman" w:cs="Times New Roman"/>
          <w:b w:val="0"/>
          <w:sz w:val="22"/>
          <w:szCs w:val="22"/>
        </w:rPr>
        <w:t xml:space="preserve"> </w:t>
      </w:r>
      <w:r w:rsidR="005112C8" w:rsidRPr="003A431D">
        <w:rPr>
          <w:rFonts w:ascii="Times New Roman" w:hAnsi="Times New Roman" w:cs="Times New Roman"/>
          <w:b w:val="0"/>
          <w:sz w:val="22"/>
          <w:szCs w:val="22"/>
        </w:rPr>
        <w:t>Compliance with Oklahoma Statutes Title 68 section 255</w:t>
      </w:r>
      <w:bookmarkEnd w:id="0"/>
      <w:r w:rsidR="005112C8" w:rsidRPr="003A431D">
        <w:rPr>
          <w:rFonts w:ascii="Times New Roman" w:hAnsi="Times New Roman" w:cs="Times New Roman"/>
          <w:b w:val="0"/>
          <w:sz w:val="22"/>
          <w:szCs w:val="22"/>
        </w:rPr>
        <w:t xml:space="preserve"> Oklahoma Statutes Title 68 section 255 states: Each contract entered into between the OTC and a debt collection agency shall specify that fees for services rendered, reimbursements or other remuneration shall be based on the total amount of delinquent taxes, including accrued penalties and interest, which is actually collected. This fee shall not exceed 35% and the debt collection agency shall add the fee amount to the amount of delinquent taxes, including accrued penalties and interest collected from the taxpayer. [fee capped at 35% effective July 1, 2009].</w:t>
      </w:r>
    </w:p>
    <w:p w14:paraId="1465D570" w14:textId="7E078785" w:rsidR="005112C8" w:rsidRPr="003A431D" w:rsidRDefault="005112C8" w:rsidP="00686AAE">
      <w:pPr>
        <w:pStyle w:val="Heading2"/>
        <w:numPr>
          <w:ilvl w:val="0"/>
          <w:numId w:val="0"/>
        </w:numPr>
        <w:spacing w:beforeLines="0" w:before="0"/>
        <w:ind w:left="720"/>
        <w:rPr>
          <w:rFonts w:ascii="Times New Roman" w:hAnsi="Times New Roman" w:cs="Times New Roman"/>
          <w:b w:val="0"/>
          <w:sz w:val="22"/>
          <w:szCs w:val="22"/>
        </w:rPr>
      </w:pPr>
      <w:r w:rsidRPr="003A431D">
        <w:rPr>
          <w:rFonts w:ascii="Times New Roman" w:hAnsi="Times New Roman" w:cs="Times New Roman"/>
          <w:b w:val="0"/>
          <w:sz w:val="22"/>
          <w:szCs w:val="22"/>
        </w:rPr>
        <w:tab/>
      </w:r>
    </w:p>
    <w:p w14:paraId="0C288E0C" w14:textId="77777777" w:rsidR="00686AAE" w:rsidRDefault="005112C8" w:rsidP="005112C8">
      <w:pPr>
        <w:ind w:left="720"/>
        <w:rPr>
          <w:rFonts w:ascii="Times New Roman" w:hAnsi="Times New Roman" w:cs="Times New Roman"/>
        </w:rPr>
      </w:pPr>
      <w:r w:rsidRPr="003A431D">
        <w:rPr>
          <w:rFonts w:ascii="Times New Roman" w:hAnsi="Times New Roman" w:cs="Times New Roman"/>
        </w:rPr>
        <w:t>The total amount of delinquent taxes, accrued penalties and interest, and the debt collection agency contract fee shall be owed and collected from the taxpayer.</w:t>
      </w:r>
    </w:p>
    <w:p w14:paraId="43663934" w14:textId="4F7665B4" w:rsidR="005112C8" w:rsidRPr="003A431D" w:rsidRDefault="005112C8" w:rsidP="005112C8">
      <w:pPr>
        <w:ind w:left="720"/>
        <w:rPr>
          <w:rFonts w:ascii="Times New Roman" w:hAnsi="Times New Roman" w:cs="Times New Roman"/>
        </w:rPr>
      </w:pPr>
      <w:r w:rsidRPr="003A431D">
        <w:rPr>
          <w:rFonts w:ascii="Times New Roman" w:hAnsi="Times New Roman" w:cs="Times New Roman"/>
        </w:rPr>
        <w:t>Further, subsection D states: Prior to entering into such a contract with a debt collection agency, the Tax Commission shall require that the debt collection agency file a bond in the amount of One Hundred Thousand Dollars ($100,000.00).  The bond shall be a bond from a surety company chartered or authorized to do business in this state, cash bond, certificates of deposits, certificates of savings or U.S. Treasury bonds, as the Tax Commission may deem necessary to guarantee compliance with the terms of the contract.</w:t>
      </w:r>
    </w:p>
    <w:p w14:paraId="29ADE834" w14:textId="77777777" w:rsidR="005112C8" w:rsidRPr="009213AB" w:rsidRDefault="005112C8" w:rsidP="005112C8">
      <w:pPr>
        <w:pStyle w:val="Heading2"/>
        <w:rPr>
          <w:rFonts w:ascii="Times New Roman" w:hAnsi="Times New Roman" w:cs="Times New Roman"/>
          <w:sz w:val="22"/>
          <w:szCs w:val="22"/>
        </w:rPr>
      </w:pPr>
      <w:r w:rsidRPr="009213AB">
        <w:rPr>
          <w:rFonts w:ascii="Times New Roman" w:hAnsi="Times New Roman" w:cs="Times New Roman"/>
          <w:color w:val="000000"/>
          <w:sz w:val="22"/>
          <w:szCs w:val="22"/>
        </w:rPr>
        <w:t>Performance and Confidentiality</w:t>
      </w:r>
    </w:p>
    <w:p w14:paraId="0FB1DDBF" w14:textId="77777777" w:rsidR="005112C8" w:rsidRPr="003A431D" w:rsidRDefault="005112C8" w:rsidP="003A431D">
      <w:pPr>
        <w:pStyle w:val="Outline-Level3"/>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The agency/firm must agree that any and all information gathered and used by it in the collection or litigation of cases is the property of the OTC, and that such information shall not be used for any other purpose by the agency/firm.  In addition, the agency/firm must agree to abide by and conform to all applicable confidentiality statutes and regulations issued by the State of Oklahoma or the Internal Revenue Service pertinent to the assigned accounts.  All employees or contractors of the agency/firm working cases for the OTC will be required to sign confidentiality statements.  Such statements will be maintained by the OTC.</w:t>
      </w:r>
    </w:p>
    <w:p w14:paraId="00A44027" w14:textId="77777777" w:rsidR="005112C8" w:rsidRPr="003A431D" w:rsidRDefault="005112C8" w:rsidP="003A431D">
      <w:pPr>
        <w:pStyle w:val="Outline-Level3"/>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The agency/firm shall comply with the Federal Tax Information (FTI) safeguarding requirements provided in Exhibit 7 of the IRS Publication 1075 [September 2016] described below: In performance of this contract, the agency/firm agrees to comply with and assume responsibility for compliance by its employees with the following requirements:</w:t>
      </w:r>
    </w:p>
    <w:p w14:paraId="518C299E" w14:textId="28A3D48C"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color w:val="000000"/>
          <w:sz w:val="22"/>
          <w:szCs w:val="22"/>
        </w:rPr>
        <w:lastRenderedPageBreak/>
        <w:t>All work will be done under the supervision of the agency/firm or its employees.</w:t>
      </w:r>
    </w:p>
    <w:p w14:paraId="4D8E7F3B" w14:textId="11321620"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The agency/firm and its employees with access to or who use FTI must meet the background check requirements defined in IRS Publication 1075 [September 2016].</w:t>
      </w:r>
    </w:p>
    <w:p w14:paraId="560D8E91" w14:textId="6047BA99"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color w:val="000000"/>
          <w:sz w:val="22"/>
          <w:szCs w:val="22"/>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an employee of the agency/firm will be prohibited.</w:t>
      </w:r>
    </w:p>
    <w:p w14:paraId="3ACE6350" w14:textId="296EB57A"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color w:val="000000"/>
          <w:sz w:val="22"/>
          <w:szCs w:val="22"/>
        </w:rPr>
        <w:t xml:space="preserve">All </w:t>
      </w:r>
      <w:r w:rsidRPr="003A431D">
        <w:rPr>
          <w:rFonts w:ascii="Times New Roman" w:hAnsi="Times New Roman" w:cs="Times New Roman"/>
          <w:sz w:val="22"/>
          <w:szCs w:val="22"/>
        </w:rPr>
        <w:t>returns and</w:t>
      </w:r>
      <w:r w:rsidRPr="003A431D">
        <w:rPr>
          <w:rFonts w:ascii="Times New Roman" w:hAnsi="Times New Roman" w:cs="Times New Roman"/>
          <w:color w:val="FF0000"/>
          <w:sz w:val="22"/>
          <w:szCs w:val="22"/>
        </w:rPr>
        <w:t xml:space="preserve"> </w:t>
      </w:r>
      <w:r w:rsidRPr="003A431D">
        <w:rPr>
          <w:rFonts w:ascii="Times New Roman" w:hAnsi="Times New Roman" w:cs="Times New Roman"/>
          <w:color w:val="000000"/>
          <w:sz w:val="22"/>
          <w:szCs w:val="22"/>
        </w:rPr>
        <w:t>return information will be accounted for upon receipt and properly stored before, during, and after processing. In addition, all related output will be given the same level of protection as required for the source material.</w:t>
      </w:r>
    </w:p>
    <w:p w14:paraId="1734D094" w14:textId="4A8E3F35"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color w:val="000000"/>
          <w:sz w:val="22"/>
          <w:szCs w:val="22"/>
        </w:rPr>
        <w:t>The agency/firm certifies that the data processed during the performance of this contract will be completely purged from all data storage components of its computer facility, and no output will be retained by the agency/firm at the time the work is completed. If immediate purging of all data storage components is not possible</w:t>
      </w:r>
      <w:r w:rsidRPr="003A431D">
        <w:rPr>
          <w:rFonts w:ascii="Times New Roman" w:hAnsi="Times New Roman" w:cs="Times New Roman"/>
          <w:color w:val="FF0000"/>
          <w:sz w:val="22"/>
          <w:szCs w:val="22"/>
        </w:rPr>
        <w:t>,</w:t>
      </w:r>
      <w:r w:rsidRPr="003A431D">
        <w:rPr>
          <w:rFonts w:ascii="Times New Roman" w:hAnsi="Times New Roman" w:cs="Times New Roman"/>
          <w:color w:val="000000"/>
          <w:sz w:val="22"/>
          <w:szCs w:val="22"/>
        </w:rPr>
        <w:t xml:space="preserve"> the agency/firm certifies that any IRS or OTC data remaining in any storage component will be safeguarded to prevent unauthorized disclosures..</w:t>
      </w:r>
    </w:p>
    <w:p w14:paraId="5BF18D2A" w14:textId="6B84CF80"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Any spoilage or any intermediate hard copy printout that may result during the processing of IRS or OTC data will be given to the OTC or its designee.  When this is not possible, the agency/firm will be responsible for the destruction of the spoilage or any intermediate hard copy printouts, and will provide the OTC or its designee with a statement containing the date of destruction, description of material destroyed, and the method used.</w:t>
      </w:r>
    </w:p>
    <w:p w14:paraId="611946CD" w14:textId="5F1A5B5F"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All computer systems receiving, processing, storing, or transmitting FTI and OTC tax information must meet the requirements defined in IRS Publication 1075 [September 2016]. To meet functional and assurance requirements, the security features of the environment must provide for the managerial, operational, and technical controls. All security features must be available and activated to protect against unauthorized access to and use of FTI and OTC tax information.</w:t>
      </w:r>
    </w:p>
    <w:p w14:paraId="11303DEE" w14:textId="2600D2F0"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No work involving FTI and OTC tax information furnished under this contract will be subcontracted without prior written approval of the IRS and OTC.</w:t>
      </w:r>
    </w:p>
    <w:p w14:paraId="08A8FD22" w14:textId="6E024D9B" w:rsidR="005112C8" w:rsidRPr="003A431D" w:rsidRDefault="005112C8"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The agency/firm will maintain a list of employees authorized to access FTI and OTC tax information. Such list will be provided to the OTC and, upon request, to the IRS reviewing office.</w:t>
      </w:r>
    </w:p>
    <w:p w14:paraId="24D023FA" w14:textId="5C08158B" w:rsidR="005112C8" w:rsidRPr="003A431D" w:rsidRDefault="003A431D" w:rsidP="003A431D">
      <w:pPr>
        <w:pStyle w:val="Outline-Level4"/>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The OTC will have the right to void this contract if the agency/firm fails to provide the safeguards described above.</w:t>
      </w:r>
      <w:r w:rsidR="005112C8" w:rsidRPr="003A431D">
        <w:rPr>
          <w:rFonts w:ascii="Times New Roman" w:hAnsi="Times New Roman" w:cs="Times New Roman"/>
          <w:sz w:val="22"/>
          <w:szCs w:val="22"/>
        </w:rPr>
        <w:tab/>
      </w:r>
    </w:p>
    <w:p w14:paraId="6000EA06" w14:textId="77777777" w:rsidR="005112C8" w:rsidRPr="003A431D" w:rsidRDefault="005112C8" w:rsidP="003A431D">
      <w:pPr>
        <w:pStyle w:val="Heading2"/>
        <w:spacing w:after="160" w:line="259" w:lineRule="auto"/>
        <w:rPr>
          <w:rFonts w:ascii="Times New Roman" w:hAnsi="Times New Roman" w:cs="Times New Roman"/>
          <w:color w:val="000000"/>
          <w:sz w:val="22"/>
          <w:szCs w:val="22"/>
        </w:rPr>
      </w:pPr>
      <w:r w:rsidRPr="003A431D">
        <w:rPr>
          <w:rFonts w:ascii="Times New Roman" w:hAnsi="Times New Roman" w:cs="Times New Roman"/>
          <w:color w:val="000000"/>
          <w:sz w:val="22"/>
          <w:szCs w:val="22"/>
        </w:rPr>
        <w:lastRenderedPageBreak/>
        <w:t>Criminal/Civil Sanctions</w:t>
      </w:r>
    </w:p>
    <w:p w14:paraId="1E1ED338" w14:textId="3D2F54F5" w:rsidR="005112C8" w:rsidRPr="003A431D" w:rsidRDefault="005112C8" w:rsidP="003A431D">
      <w:pPr>
        <w:pStyle w:val="Heading3"/>
        <w:spacing w:after="160" w:line="259" w:lineRule="auto"/>
        <w:rPr>
          <w:rFonts w:ascii="Times New Roman" w:hAnsi="Times New Roman" w:cs="Times New Roman"/>
          <w:color w:val="000000"/>
          <w:sz w:val="22"/>
          <w:szCs w:val="22"/>
        </w:rPr>
      </w:pPr>
      <w:r w:rsidRPr="003A431D">
        <w:rPr>
          <w:rFonts w:ascii="Times New Roman" w:hAnsi="Times New Roman" w:cs="Times New Roman"/>
          <w:color w:val="000000"/>
          <w:sz w:val="22"/>
          <w:szCs w:val="22"/>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$5,000.00 or imprisonment for as long as 5 years, or both, together with the costs of prosecution.  Such person shall also notify each such officer and employee that any such unauthorized further disclosure of returns or return information may result in an award of civil damages against the officer or employee in an amount not less than $1,000.00 with respect to each instance of unauthorized disclosure.  These penalties are prescribed by IRC sections 7213 and 7431 and set forth at 26 CFR 301.6103(n)-1.</w:t>
      </w:r>
    </w:p>
    <w:p w14:paraId="1F99BDD9" w14:textId="77777777" w:rsidR="005112C8" w:rsidRPr="003A431D" w:rsidRDefault="005112C8" w:rsidP="003A431D">
      <w:pPr>
        <w:rPr>
          <w:rFonts w:ascii="Times New Roman" w:hAnsi="Times New Roman" w:cs="Times New Roman"/>
        </w:rPr>
      </w:pPr>
    </w:p>
    <w:p w14:paraId="6814F1A4" w14:textId="532B40C3" w:rsidR="005112C8" w:rsidRPr="003A431D" w:rsidRDefault="005112C8" w:rsidP="003A431D">
      <w:pPr>
        <w:pStyle w:val="Outline-Level3"/>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Each officer or employee or any person to whom any return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sections 7213A and 7431 and set forth at 26 CFR 301.6103(n)-1.</w:t>
      </w:r>
    </w:p>
    <w:p w14:paraId="3D6060D7" w14:textId="4003AD68" w:rsidR="003A431D" w:rsidRPr="003A431D" w:rsidRDefault="003A431D" w:rsidP="003A431D">
      <w:pPr>
        <w:pStyle w:val="Outline-Level3"/>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Additionally, it is incumbent upon the agency/firm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OTC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$5,000.00.</w:t>
      </w:r>
    </w:p>
    <w:p w14:paraId="6820586E" w14:textId="61D9145D" w:rsidR="003A431D" w:rsidRPr="003A431D" w:rsidRDefault="003A431D" w:rsidP="003A431D">
      <w:pPr>
        <w:pStyle w:val="Outline-Level3"/>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 xml:space="preserve">Granting the agency/firm access to FTI must be preceded by certifying that each individual understands the OTC’s security policy and procedures for safeguarding IRS </w:t>
      </w:r>
      <w:r w:rsidRPr="003A431D">
        <w:rPr>
          <w:rFonts w:ascii="Times New Roman" w:hAnsi="Times New Roman" w:cs="Times New Roman"/>
          <w:sz w:val="22"/>
          <w:szCs w:val="22"/>
        </w:rPr>
        <w:lastRenderedPageBreak/>
        <w:t xml:space="preserve">information. The agency/firm’s employees must maintain their authorization to access FTI through annual recertification. The initial certification and recertification must be documented and placed in the OTC’s files for review. As part of the certification and at least annually afterwards, the agency/firm’s employees must be advised of the provisions of IRCs 7431, 7213, and 7213A (see Exhibit 4, </w:t>
      </w:r>
      <w:r w:rsidRPr="003A431D">
        <w:rPr>
          <w:rFonts w:ascii="Times New Roman" w:hAnsi="Times New Roman" w:cs="Times New Roman"/>
          <w:i/>
          <w:sz w:val="22"/>
          <w:szCs w:val="22"/>
        </w:rPr>
        <w:t>Sanctions for Unauthorized Disclosure</w:t>
      </w:r>
      <w:r w:rsidRPr="003A431D">
        <w:rPr>
          <w:rFonts w:ascii="Times New Roman" w:hAnsi="Times New Roman" w:cs="Times New Roman"/>
          <w:sz w:val="22"/>
          <w:szCs w:val="22"/>
        </w:rPr>
        <w:t xml:space="preserve">, and Exhibit 5, </w:t>
      </w:r>
      <w:r w:rsidRPr="003A431D">
        <w:rPr>
          <w:rFonts w:ascii="Times New Roman" w:hAnsi="Times New Roman" w:cs="Times New Roman"/>
          <w:i/>
          <w:sz w:val="22"/>
          <w:szCs w:val="22"/>
        </w:rPr>
        <w:t xml:space="preserve">Civil Damages for Unauthorized Disclosure </w:t>
      </w:r>
      <w:r w:rsidRPr="003A431D">
        <w:rPr>
          <w:rFonts w:ascii="Times New Roman" w:hAnsi="Times New Roman" w:cs="Times New Roman"/>
          <w:sz w:val="22"/>
          <w:szCs w:val="22"/>
        </w:rPr>
        <w:t>of Publication 1075). The training provided before the initial certification and annually thereafter must also cover the incident response policy and procedure for reporting unauthorized disclosures and data breaches. (See Section 10 of Publication 1075) For both the initial certification and the annual certification, the agency/firm’s employees must sign, either with ink or electronic signature, a confidentiality statement certifying their understanding of the security requirements.</w:t>
      </w:r>
    </w:p>
    <w:p w14:paraId="0687092F" w14:textId="77777777" w:rsidR="005112C8" w:rsidRPr="003A431D" w:rsidRDefault="005112C8" w:rsidP="003A431D">
      <w:pPr>
        <w:ind w:left="1440" w:hanging="720"/>
        <w:rPr>
          <w:rFonts w:ascii="Times New Roman" w:hAnsi="Times New Roman" w:cs="Times New Roman"/>
        </w:rPr>
      </w:pPr>
    </w:p>
    <w:p w14:paraId="1EA3DAA2" w14:textId="4B5A8CF4" w:rsidR="005112C8" w:rsidRPr="003A431D" w:rsidRDefault="005112C8" w:rsidP="003A431D">
      <w:pPr>
        <w:pStyle w:val="Outline-Level2"/>
        <w:spacing w:after="160" w:line="259" w:lineRule="auto"/>
        <w:rPr>
          <w:rFonts w:ascii="Times New Roman" w:hAnsi="Times New Roman" w:cs="Times New Roman"/>
          <w:sz w:val="22"/>
          <w:szCs w:val="22"/>
        </w:rPr>
      </w:pPr>
      <w:r w:rsidRPr="003A431D">
        <w:rPr>
          <w:rFonts w:ascii="Times New Roman" w:hAnsi="Times New Roman" w:cs="Times New Roman"/>
          <w:sz w:val="22"/>
          <w:szCs w:val="22"/>
        </w:rPr>
        <w:t>Inspection</w:t>
      </w:r>
    </w:p>
    <w:p w14:paraId="25D9CF09" w14:textId="77777777" w:rsidR="005112C8" w:rsidRPr="003A431D" w:rsidRDefault="005112C8" w:rsidP="003A431D">
      <w:pPr>
        <w:spacing w:beforeLines="50" w:before="120"/>
        <w:ind w:hanging="720"/>
        <w:rPr>
          <w:rFonts w:ascii="Times New Roman" w:hAnsi="Times New Roman" w:cs="Times New Roman"/>
        </w:rPr>
      </w:pPr>
      <w:r w:rsidRPr="003A431D">
        <w:rPr>
          <w:rFonts w:ascii="Times New Roman" w:hAnsi="Times New Roman" w:cs="Times New Roman"/>
        </w:rPr>
        <w:tab/>
        <w:t>The IRS and the OTC shall have the right to send its officers and employees into the offices of the agency/firm for inspection of the facilities and operations provided for the performance of any work under this contract.</w:t>
      </w:r>
      <w:r w:rsidRPr="003A431D">
        <w:rPr>
          <w:rFonts w:ascii="Times New Roman" w:hAnsi="Times New Roman" w:cs="Times New Roman"/>
          <w:color w:val="FF0000"/>
        </w:rPr>
        <w:t xml:space="preserve"> </w:t>
      </w:r>
      <w:r w:rsidRPr="003A431D">
        <w:rPr>
          <w:rFonts w:ascii="Times New Roman" w:hAnsi="Times New Roman" w:cs="Times New Roman"/>
        </w:rPr>
        <w:t>The IRS’ right of inspection shall include the use of manual and/or automated scanning tools to perform compliance and vulnerability assessments of information technology assets that access, store, process, or transmit FTI.</w:t>
      </w:r>
      <w:r w:rsidRPr="003A431D">
        <w:rPr>
          <w:rFonts w:ascii="Times New Roman" w:hAnsi="Times New Roman" w:cs="Times New Roman"/>
          <w:color w:val="FF0000"/>
        </w:rPr>
        <w:t xml:space="preserve"> </w:t>
      </w:r>
      <w:r w:rsidRPr="003A431D">
        <w:rPr>
          <w:rFonts w:ascii="Times New Roman" w:hAnsi="Times New Roman" w:cs="Times New Roman"/>
        </w:rPr>
        <w:t>On the basis of such inspection, specific measures may be required in cases where the agency/firm is found to be noncompliant with FTI and OTC tax information safeguards.</w:t>
      </w:r>
    </w:p>
    <w:sectPr w:rsidR="005112C8" w:rsidRPr="003A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49F"/>
    <w:multiLevelType w:val="multilevel"/>
    <w:tmpl w:val="14DA5FB4"/>
    <w:lvl w:ilvl="0">
      <w:start w:val="1"/>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color w:val="auto"/>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4"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4"/>
  </w:num>
  <w:num w:numId="2">
    <w:abstractNumId w:val="3"/>
  </w:num>
  <w:num w:numId="3">
    <w:abstractNumId w:val="7"/>
  </w:num>
  <w:num w:numId="4">
    <w:abstractNumId w:val="8"/>
  </w:num>
  <w:num w:numId="5">
    <w:abstractNumId w:val="0"/>
  </w:num>
  <w:num w:numId="6">
    <w:abstractNumId w:val="9"/>
  </w:num>
  <w:num w:numId="7">
    <w:abstractNumId w:val="10"/>
  </w:num>
  <w:num w:numId="8">
    <w:abstractNumId w:val="6"/>
  </w:num>
  <w:num w:numId="9">
    <w:abstractNumId w:val="11"/>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156816"/>
    <w:rsid w:val="001603B2"/>
    <w:rsid w:val="00186662"/>
    <w:rsid w:val="00204D4C"/>
    <w:rsid w:val="00221F91"/>
    <w:rsid w:val="002222FF"/>
    <w:rsid w:val="0026493E"/>
    <w:rsid w:val="002A1795"/>
    <w:rsid w:val="002F5236"/>
    <w:rsid w:val="00317A0E"/>
    <w:rsid w:val="0036540C"/>
    <w:rsid w:val="003A431D"/>
    <w:rsid w:val="003B7FCE"/>
    <w:rsid w:val="003C658C"/>
    <w:rsid w:val="0040569A"/>
    <w:rsid w:val="0049787A"/>
    <w:rsid w:val="004A6C17"/>
    <w:rsid w:val="004F77C0"/>
    <w:rsid w:val="005112C8"/>
    <w:rsid w:val="00554F12"/>
    <w:rsid w:val="00567AD2"/>
    <w:rsid w:val="00686AAE"/>
    <w:rsid w:val="00711914"/>
    <w:rsid w:val="00714278"/>
    <w:rsid w:val="00755CFA"/>
    <w:rsid w:val="00780DAE"/>
    <w:rsid w:val="007A4C56"/>
    <w:rsid w:val="00814291"/>
    <w:rsid w:val="0083660C"/>
    <w:rsid w:val="008436AA"/>
    <w:rsid w:val="00880DB3"/>
    <w:rsid w:val="008F2F6C"/>
    <w:rsid w:val="00912AC7"/>
    <w:rsid w:val="009213AB"/>
    <w:rsid w:val="009E0BE6"/>
    <w:rsid w:val="009F76DA"/>
    <w:rsid w:val="00A06B95"/>
    <w:rsid w:val="00A4663B"/>
    <w:rsid w:val="00A62CB2"/>
    <w:rsid w:val="00AB1D71"/>
    <w:rsid w:val="00AF082C"/>
    <w:rsid w:val="00B65C0F"/>
    <w:rsid w:val="00BD663C"/>
    <w:rsid w:val="00C03902"/>
    <w:rsid w:val="00C24841"/>
    <w:rsid w:val="00C5300A"/>
    <w:rsid w:val="00CB553E"/>
    <w:rsid w:val="00E52753"/>
    <w:rsid w:val="00E55A1C"/>
    <w:rsid w:val="00E86695"/>
    <w:rsid w:val="00EA64C5"/>
    <w:rsid w:val="00EE55ED"/>
    <w:rsid w:val="00EE6F5B"/>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Outline-Level1"/>
    <w:next w:val="Normal"/>
    <w:link w:val="Heading1Char"/>
    <w:uiPriority w:val="9"/>
    <w:qFormat/>
    <w:rsid w:val="005112C8"/>
  </w:style>
  <w:style w:type="paragraph" w:styleId="Heading2">
    <w:name w:val="heading 2"/>
    <w:basedOn w:val="Outline-Level2"/>
    <w:next w:val="Normal"/>
    <w:link w:val="Heading2Char"/>
    <w:uiPriority w:val="9"/>
    <w:qFormat/>
    <w:rsid w:val="005112C8"/>
  </w:style>
  <w:style w:type="paragraph" w:styleId="Heading3">
    <w:name w:val="heading 3"/>
    <w:basedOn w:val="Outline-Level3"/>
    <w:next w:val="Normal"/>
    <w:link w:val="Heading3Char"/>
    <w:uiPriority w:val="9"/>
    <w:qFormat/>
    <w:rsid w:val="005112C8"/>
  </w:style>
  <w:style w:type="paragraph" w:styleId="Heading4">
    <w:name w:val="heading 4"/>
    <w:basedOn w:val="Outline-Level4"/>
    <w:next w:val="Normal"/>
    <w:link w:val="Heading4Char"/>
    <w:uiPriority w:val="9"/>
    <w:qFormat/>
    <w:rsid w:val="00511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customStyle="1" w:styleId="Heading1Char">
    <w:name w:val="Heading 1 Char"/>
    <w:basedOn w:val="DefaultParagraphFont"/>
    <w:link w:val="Heading1"/>
    <w:uiPriority w:val="9"/>
    <w:rsid w:val="005112C8"/>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5112C8"/>
    <w:rPr>
      <w:rFonts w:ascii="Arial" w:eastAsia="Times New Roman" w:hAnsi="Arial" w:cs="Arial"/>
      <w:b/>
      <w:bCs/>
      <w:sz w:val="20"/>
      <w:szCs w:val="18"/>
    </w:rPr>
  </w:style>
  <w:style w:type="character" w:customStyle="1" w:styleId="Heading3Char">
    <w:name w:val="Heading 3 Char"/>
    <w:basedOn w:val="DefaultParagraphFont"/>
    <w:link w:val="Heading3"/>
    <w:uiPriority w:val="9"/>
    <w:rsid w:val="005112C8"/>
    <w:rPr>
      <w:rFonts w:ascii="Arial" w:eastAsia="Times New Roman" w:hAnsi="Arial" w:cs="Arial"/>
      <w:sz w:val="18"/>
      <w:szCs w:val="18"/>
    </w:rPr>
  </w:style>
  <w:style w:type="character" w:customStyle="1" w:styleId="Heading4Char">
    <w:name w:val="Heading 4 Char"/>
    <w:basedOn w:val="DefaultParagraphFont"/>
    <w:link w:val="Heading4"/>
    <w:uiPriority w:val="9"/>
    <w:rsid w:val="005112C8"/>
    <w:rPr>
      <w:rFonts w:ascii="Arial" w:eastAsia="Times New Roman" w:hAnsi="Arial" w:cs="Arial"/>
      <w:sz w:val="18"/>
      <w:szCs w:val="18"/>
    </w:rPr>
  </w:style>
  <w:style w:type="paragraph" w:customStyle="1" w:styleId="Bullet1level">
    <w:name w:val="Bullet 1 (level)"/>
    <w:basedOn w:val="PlainText"/>
    <w:qFormat/>
    <w:rsid w:val="005112C8"/>
    <w:pPr>
      <w:numPr>
        <w:numId w:val="12"/>
      </w:numPr>
    </w:pPr>
  </w:style>
  <w:style w:type="paragraph" w:customStyle="1" w:styleId="Bullet2level">
    <w:name w:val="Bullet 2 (level)"/>
    <w:basedOn w:val="Bullet1level"/>
    <w:qFormat/>
    <w:rsid w:val="005112C8"/>
    <w:pPr>
      <w:numPr>
        <w:ilvl w:val="1"/>
      </w:numPr>
      <w:ind w:left="1080"/>
    </w:pPr>
  </w:style>
  <w:style w:type="paragraph" w:customStyle="1" w:styleId="Outline-Level1">
    <w:name w:val="Outline-Level 1"/>
    <w:basedOn w:val="Normal"/>
    <w:qFormat/>
    <w:rsid w:val="005112C8"/>
    <w:pPr>
      <w:numPr>
        <w:numId w:val="11"/>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customStyle="1" w:styleId="Outline-Level2">
    <w:name w:val="Outline-Level 2"/>
    <w:basedOn w:val="Normal"/>
    <w:qFormat/>
    <w:rsid w:val="005112C8"/>
    <w:pPr>
      <w:numPr>
        <w:ilvl w:val="1"/>
        <w:numId w:val="11"/>
      </w:numPr>
      <w:overflowPunct w:val="0"/>
      <w:autoSpaceDE w:val="0"/>
      <w:autoSpaceDN w:val="0"/>
      <w:adjustRightInd w:val="0"/>
      <w:spacing w:beforeLines="50" w:before="120" w:after="0" w:line="240" w:lineRule="auto"/>
      <w:textAlignment w:val="baseline"/>
      <w:outlineLvl w:val="1"/>
    </w:pPr>
    <w:rPr>
      <w:rFonts w:ascii="Arial" w:eastAsia="Times New Roman" w:hAnsi="Arial" w:cs="Arial"/>
      <w:b/>
      <w:bCs/>
      <w:sz w:val="20"/>
      <w:szCs w:val="18"/>
    </w:rPr>
  </w:style>
  <w:style w:type="paragraph" w:customStyle="1" w:styleId="Outline-Level3">
    <w:name w:val="Outline-Level 3"/>
    <w:basedOn w:val="Normal"/>
    <w:link w:val="Outline-Level3Char"/>
    <w:qFormat/>
    <w:rsid w:val="005112C8"/>
    <w:pPr>
      <w:numPr>
        <w:ilvl w:val="2"/>
        <w:numId w:val="11"/>
      </w:numPr>
      <w:overflowPunct w:val="0"/>
      <w:autoSpaceDE w:val="0"/>
      <w:autoSpaceDN w:val="0"/>
      <w:adjustRightInd w:val="0"/>
      <w:spacing w:beforeLines="50" w:before="120" w:after="0" w:line="240" w:lineRule="auto"/>
      <w:textAlignment w:val="baseline"/>
      <w:outlineLvl w:val="2"/>
    </w:pPr>
    <w:rPr>
      <w:rFonts w:ascii="Arial" w:eastAsia="Times New Roman" w:hAnsi="Arial" w:cs="Arial"/>
      <w:sz w:val="18"/>
      <w:szCs w:val="18"/>
    </w:rPr>
  </w:style>
  <w:style w:type="paragraph" w:customStyle="1" w:styleId="Outline-Level4">
    <w:name w:val="Outline-Level 4"/>
    <w:basedOn w:val="Outline-Level3"/>
    <w:qFormat/>
    <w:rsid w:val="005112C8"/>
    <w:pPr>
      <w:numPr>
        <w:ilvl w:val="3"/>
      </w:numPr>
      <w:tabs>
        <w:tab w:val="clear" w:pos="1440"/>
        <w:tab w:val="num" w:pos="360"/>
        <w:tab w:val="left" w:pos="2340"/>
      </w:tabs>
      <w:ind w:left="2340" w:hanging="900"/>
      <w:outlineLvl w:val="3"/>
    </w:pPr>
  </w:style>
  <w:style w:type="paragraph" w:customStyle="1" w:styleId="Outline-Level5">
    <w:name w:val="Outline-Level 5"/>
    <w:basedOn w:val="Outline-Level4"/>
    <w:rsid w:val="005112C8"/>
    <w:pPr>
      <w:numPr>
        <w:ilvl w:val="4"/>
      </w:numPr>
      <w:tabs>
        <w:tab w:val="clear" w:pos="2520"/>
        <w:tab w:val="num" w:pos="360"/>
      </w:tabs>
      <w:outlineLvl w:val="4"/>
    </w:pPr>
  </w:style>
  <w:style w:type="paragraph" w:styleId="PlainText">
    <w:name w:val="Plain Text"/>
    <w:basedOn w:val="Normal"/>
    <w:link w:val="PlainTextChar"/>
    <w:uiPriority w:val="99"/>
    <w:unhideWhenUsed/>
    <w:qFormat/>
    <w:rsid w:val="005112C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5112C8"/>
    <w:rPr>
      <w:rFonts w:ascii="Arial" w:eastAsia="Times New Roman" w:hAnsi="Arial" w:cs="Arial"/>
      <w:sz w:val="18"/>
      <w:szCs w:val="18"/>
    </w:rPr>
  </w:style>
  <w:style w:type="character" w:customStyle="1" w:styleId="Outline-Level3Char">
    <w:name w:val="Outline-Level 3 Char"/>
    <w:link w:val="Outline-Level3"/>
    <w:rsid w:val="005112C8"/>
    <w:rPr>
      <w:rFonts w:ascii="Arial" w:eastAsia="Times New Roman" w:hAnsi="Arial" w:cs="Arial"/>
      <w:sz w:val="18"/>
      <w:szCs w:val="18"/>
    </w:rPr>
  </w:style>
  <w:style w:type="character" w:styleId="Hyperlink">
    <w:name w:val="Hyperlink"/>
    <w:basedOn w:val="DefaultParagraphFont"/>
    <w:uiPriority w:val="99"/>
    <w:unhideWhenUsed/>
    <w:rsid w:val="008F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Teresa Terry</cp:lastModifiedBy>
  <cp:revision>4</cp:revision>
  <dcterms:created xsi:type="dcterms:W3CDTF">2021-04-19T17:14:00Z</dcterms:created>
  <dcterms:modified xsi:type="dcterms:W3CDTF">2021-04-19T19:34:00Z</dcterms:modified>
</cp:coreProperties>
</file>