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17D5C044" w:rsidR="00714278" w:rsidRPr="00C24841" w:rsidRDefault="004E6E93" w:rsidP="00714278">
      <w:pPr>
        <w:jc w:val="center"/>
        <w:rPr>
          <w:rFonts w:ascii="Times New Roman" w:hAnsi="Times New Roman" w:cs="Times New Roman"/>
          <w:b/>
          <w:sz w:val="28"/>
          <w:szCs w:val="28"/>
        </w:rPr>
      </w:pPr>
      <w:r>
        <w:rPr>
          <w:rFonts w:ascii="Times New Roman" w:hAnsi="Times New Roman" w:cs="Times New Roman"/>
          <w:b/>
          <w:sz w:val="28"/>
          <w:szCs w:val="28"/>
        </w:rPr>
        <w:t>OKLAHOMA DEPARTMENT OF VETERANS AFFAIRS</w:t>
      </w:r>
      <w:r w:rsidR="00714278" w:rsidRPr="00C24841">
        <w:rPr>
          <w:rFonts w:ascii="Times New Roman" w:hAnsi="Times New Roman" w:cs="Times New Roman"/>
          <w:b/>
          <w:sz w:val="28"/>
          <w:szCs w:val="28"/>
        </w:rPr>
        <w:t xml:space="preserve"> TERMS</w:t>
      </w:r>
    </w:p>
    <w:p w14:paraId="0E868DDE" w14:textId="1B2600B0"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BD6C25">
        <w:rPr>
          <w:rFonts w:ascii="Times New Roman" w:hAnsi="Times New Roman" w:cs="Times New Roman"/>
          <w:b/>
          <w:sz w:val="28"/>
          <w:szCs w:val="28"/>
        </w:rPr>
        <w:t>6500000284</w:t>
      </w:r>
      <w:r w:rsidR="00E15883">
        <w:rPr>
          <w:rFonts w:ascii="Times New Roman" w:hAnsi="Times New Roman" w:cs="Times New Roman"/>
          <w:b/>
          <w:sz w:val="28"/>
          <w:szCs w:val="28"/>
        </w:rPr>
        <w:t>-ReBid</w:t>
      </w:r>
    </w:p>
    <w:p w14:paraId="292897D4" w14:textId="77777777" w:rsidR="00554F12" w:rsidRPr="00C24841" w:rsidRDefault="00554F12" w:rsidP="00C24841">
      <w:pPr>
        <w:jc w:val="center"/>
        <w:rPr>
          <w:rFonts w:ascii="Times New Roman" w:hAnsi="Times New Roman" w:cs="Times New Roman"/>
          <w:b/>
          <w:sz w:val="28"/>
          <w:szCs w:val="28"/>
        </w:rPr>
      </w:pPr>
    </w:p>
    <w:p w14:paraId="08B1C783" w14:textId="7EE6124A"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Rights and Responsibilities of the </w:t>
      </w:r>
      <w:r w:rsidR="0018128B">
        <w:rPr>
          <w:rFonts w:ascii="Times New Roman" w:hAnsi="Times New Roman" w:cs="Times New Roman"/>
          <w:b/>
          <w:sz w:val="24"/>
          <w:szCs w:val="24"/>
        </w:rPr>
        <w:t>Supplier</w:t>
      </w:r>
      <w:r>
        <w:rPr>
          <w:rFonts w:ascii="Times New Roman" w:hAnsi="Times New Roman" w:cs="Times New Roman"/>
          <w:b/>
          <w:sz w:val="24"/>
          <w:szCs w:val="24"/>
        </w:rPr>
        <w:t>:</w:t>
      </w:r>
    </w:p>
    <w:p w14:paraId="521159A3" w14:textId="77777777" w:rsidR="004E6E93" w:rsidRDefault="004E6E93" w:rsidP="004E6E93">
      <w:pPr>
        <w:pStyle w:val="ListParagraph"/>
        <w:tabs>
          <w:tab w:val="left" w:pos="0"/>
        </w:tabs>
        <w:spacing w:line="240" w:lineRule="auto"/>
        <w:ind w:left="0"/>
        <w:rPr>
          <w:rFonts w:ascii="Times New Roman" w:hAnsi="Times New Roman" w:cs="Times New Roman"/>
          <w:b/>
          <w:sz w:val="24"/>
          <w:szCs w:val="24"/>
        </w:rPr>
      </w:pPr>
    </w:p>
    <w:p w14:paraId="2344130D" w14:textId="6D26BB6C" w:rsidR="004E6E93" w:rsidRPr="004E6E93" w:rsidRDefault="004E6E93" w:rsidP="004E6E93">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In performing its rights and obligations hereunder, the </w:t>
      </w:r>
      <w:r w:rsidR="0018128B">
        <w:rPr>
          <w:rFonts w:ascii="Times New Roman" w:hAnsi="Times New Roman"/>
          <w:sz w:val="24"/>
          <w:szCs w:val="24"/>
        </w:rPr>
        <w:t>Supplier</w:t>
      </w:r>
      <w:r w:rsidRPr="004E6E93">
        <w:rPr>
          <w:rFonts w:ascii="Times New Roman" w:hAnsi="Times New Roman"/>
          <w:sz w:val="24"/>
          <w:szCs w:val="24"/>
        </w:rPr>
        <w:t xml:space="preserve"> shall not discriminate against anyone on account of race, sex or sexual identity, religion, national origin, ethnicity, sexual preference, age, military status, disability, state of health, or in any other manner otherwise prohibited by applicable law.  All duties shall be performed in compliance with local, state, and federal laws.</w:t>
      </w:r>
    </w:p>
    <w:p w14:paraId="3FAC3F59" w14:textId="77777777" w:rsidR="004E6E93" w:rsidRPr="004E6E93" w:rsidRDefault="004E6E93" w:rsidP="004E6E93">
      <w:pPr>
        <w:pStyle w:val="ListParagraph"/>
        <w:tabs>
          <w:tab w:val="left" w:pos="0"/>
        </w:tabs>
        <w:spacing w:line="240" w:lineRule="auto"/>
        <w:ind w:left="792"/>
        <w:rPr>
          <w:rFonts w:ascii="Times New Roman" w:hAnsi="Times New Roman" w:cs="Times New Roman"/>
          <w:b/>
          <w:sz w:val="24"/>
          <w:szCs w:val="24"/>
        </w:rPr>
      </w:pPr>
    </w:p>
    <w:p w14:paraId="3455E54B" w14:textId="472E4E55" w:rsidR="00ED0EE0" w:rsidRDefault="00ED0EE0" w:rsidP="00ED0EE0">
      <w:pPr>
        <w:pStyle w:val="ListParagraph"/>
        <w:numPr>
          <w:ilvl w:val="0"/>
          <w:numId w:val="10"/>
        </w:numPr>
        <w:tabs>
          <w:tab w:val="left" w:pos="0"/>
        </w:tabs>
        <w:spacing w:line="240" w:lineRule="auto"/>
        <w:rPr>
          <w:rFonts w:ascii="Times New Roman" w:hAnsi="Times New Roman"/>
          <w:b/>
          <w:sz w:val="24"/>
          <w:szCs w:val="24"/>
        </w:rPr>
      </w:pPr>
      <w:r>
        <w:rPr>
          <w:rFonts w:ascii="Times New Roman" w:hAnsi="Times New Roman"/>
          <w:b/>
          <w:sz w:val="24"/>
          <w:szCs w:val="24"/>
        </w:rPr>
        <w:t>General Provisions:</w:t>
      </w:r>
    </w:p>
    <w:p w14:paraId="567FFE2D" w14:textId="77777777" w:rsidR="00ED0EE0" w:rsidRDefault="00ED0EE0" w:rsidP="00ED0EE0">
      <w:pPr>
        <w:pStyle w:val="ListParagraph"/>
        <w:tabs>
          <w:tab w:val="left" w:pos="0"/>
        </w:tabs>
        <w:spacing w:line="240" w:lineRule="auto"/>
        <w:ind w:left="360"/>
        <w:rPr>
          <w:rFonts w:ascii="Times New Roman" w:hAnsi="Times New Roman"/>
          <w:b/>
          <w:sz w:val="24"/>
          <w:szCs w:val="24"/>
        </w:rPr>
      </w:pPr>
    </w:p>
    <w:p w14:paraId="47F5A0FF" w14:textId="240B756C"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Disclaimer of </w:t>
      </w:r>
      <w:r w:rsidR="00C51EE5">
        <w:rPr>
          <w:rFonts w:ascii="Times New Roman" w:hAnsi="Times New Roman"/>
          <w:b/>
          <w:sz w:val="24"/>
          <w:szCs w:val="24"/>
        </w:rPr>
        <w:t>i</w:t>
      </w:r>
      <w:r w:rsidRPr="00ED0EE0">
        <w:rPr>
          <w:rFonts w:ascii="Times New Roman" w:hAnsi="Times New Roman"/>
          <w:b/>
          <w:sz w:val="24"/>
          <w:szCs w:val="24"/>
        </w:rPr>
        <w:t xml:space="preserve">ntent to </w:t>
      </w:r>
      <w:r w:rsidR="00C51EE5">
        <w:rPr>
          <w:rFonts w:ascii="Times New Roman" w:hAnsi="Times New Roman"/>
          <w:b/>
          <w:sz w:val="24"/>
          <w:szCs w:val="24"/>
        </w:rPr>
        <w:t>b</w:t>
      </w:r>
      <w:r w:rsidRPr="00ED0EE0">
        <w:rPr>
          <w:rFonts w:ascii="Times New Roman" w:hAnsi="Times New Roman"/>
          <w:b/>
          <w:sz w:val="24"/>
          <w:szCs w:val="24"/>
        </w:rPr>
        <w:t xml:space="preserve">ecome </w:t>
      </w:r>
      <w:r w:rsidR="00C51EE5">
        <w:rPr>
          <w:rFonts w:ascii="Times New Roman" w:hAnsi="Times New Roman"/>
          <w:b/>
          <w:sz w:val="24"/>
          <w:szCs w:val="24"/>
        </w:rPr>
        <w:t>p</w:t>
      </w:r>
      <w:r w:rsidRPr="00ED0EE0">
        <w:rPr>
          <w:rFonts w:ascii="Times New Roman" w:hAnsi="Times New Roman"/>
          <w:b/>
          <w:sz w:val="24"/>
          <w:szCs w:val="24"/>
        </w:rPr>
        <w:t>artners:</w:t>
      </w:r>
      <w:r w:rsidRPr="00ED0EE0">
        <w:rPr>
          <w:rFonts w:ascii="Times New Roman" w:hAnsi="Times New Roman"/>
          <w:sz w:val="24"/>
          <w:szCs w:val="24"/>
        </w:rPr>
        <w:t xml:space="preserve">  </w:t>
      </w:r>
      <w:r w:rsidR="004D2480">
        <w:rPr>
          <w:rFonts w:ascii="Times New Roman" w:hAnsi="Times New Roman"/>
          <w:sz w:val="24"/>
          <w:szCs w:val="24"/>
        </w:rPr>
        <w:t>ODVA</w:t>
      </w:r>
      <w:r w:rsidR="004D2480" w:rsidRPr="00ED0EE0">
        <w:rPr>
          <w:rFonts w:ascii="Times New Roman" w:hAnsi="Times New Roman"/>
          <w:sz w:val="24"/>
          <w:szCs w:val="24"/>
        </w:rPr>
        <w:t xml:space="preserve"> </w:t>
      </w:r>
      <w:r w:rsidRPr="00ED0EE0">
        <w:rPr>
          <w:rFonts w:ascii="Times New Roman" w:hAnsi="Times New Roman"/>
          <w:sz w:val="24"/>
          <w:szCs w:val="24"/>
        </w:rPr>
        <w:t xml:space="preserve">and the </w:t>
      </w:r>
      <w:r w:rsidR="004D2480">
        <w:rPr>
          <w:rFonts w:ascii="Times New Roman" w:hAnsi="Times New Roman"/>
          <w:sz w:val="24"/>
          <w:szCs w:val="24"/>
        </w:rPr>
        <w:t>s</w:t>
      </w:r>
      <w:r w:rsidRPr="00ED0EE0">
        <w:rPr>
          <w:rFonts w:ascii="Times New Roman" w:hAnsi="Times New Roman"/>
          <w:sz w:val="24"/>
          <w:szCs w:val="24"/>
        </w:rPr>
        <w:t>upplier shall not by virtue of this Contract be deemed to be partners or joint ventures.  Neither party shall incur any financial obligation, be it gain or loss, on behalf of the other.</w:t>
      </w:r>
    </w:p>
    <w:p w14:paraId="27FFA6DA"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54191535" w14:textId="5BAC03BF"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Responsibility for </w:t>
      </w:r>
      <w:r w:rsidR="00C51EE5">
        <w:rPr>
          <w:rFonts w:ascii="Times New Roman" w:hAnsi="Times New Roman"/>
          <w:b/>
          <w:sz w:val="24"/>
          <w:szCs w:val="24"/>
        </w:rPr>
        <w:t>a</w:t>
      </w:r>
      <w:r w:rsidRPr="00ED0EE0">
        <w:rPr>
          <w:rFonts w:ascii="Times New Roman" w:hAnsi="Times New Roman"/>
          <w:b/>
          <w:sz w:val="24"/>
          <w:szCs w:val="24"/>
        </w:rPr>
        <w:t xml:space="preserve">ction of </w:t>
      </w:r>
      <w:r w:rsidR="00C51EE5">
        <w:rPr>
          <w:rFonts w:ascii="Times New Roman" w:hAnsi="Times New Roman"/>
          <w:b/>
          <w:sz w:val="24"/>
          <w:szCs w:val="24"/>
        </w:rPr>
        <w:t>e</w:t>
      </w:r>
      <w:r w:rsidRPr="00ED0EE0">
        <w:rPr>
          <w:rFonts w:ascii="Times New Roman" w:hAnsi="Times New Roman"/>
          <w:b/>
          <w:sz w:val="24"/>
          <w:szCs w:val="24"/>
        </w:rPr>
        <w:t>mployees:</w:t>
      </w:r>
      <w:r w:rsidRPr="00ED0EE0">
        <w:rPr>
          <w:rFonts w:ascii="Times New Roman" w:hAnsi="Times New Roman"/>
          <w:sz w:val="24"/>
          <w:szCs w:val="24"/>
        </w:rPr>
        <w:t xml:space="preserve">  The </w:t>
      </w:r>
      <w:r w:rsidR="004D2480">
        <w:rPr>
          <w:rFonts w:ascii="Times New Roman" w:hAnsi="Times New Roman"/>
          <w:sz w:val="24"/>
          <w:szCs w:val="24"/>
        </w:rPr>
        <w:t>s</w:t>
      </w:r>
      <w:r w:rsidRPr="00ED0EE0">
        <w:rPr>
          <w:rFonts w:ascii="Times New Roman" w:hAnsi="Times New Roman"/>
          <w:sz w:val="24"/>
          <w:szCs w:val="24"/>
        </w:rPr>
        <w:t xml:space="preserve">upplier and </w:t>
      </w:r>
      <w:r w:rsidR="004D2480">
        <w:rPr>
          <w:rFonts w:ascii="Times New Roman" w:hAnsi="Times New Roman"/>
          <w:sz w:val="24"/>
          <w:szCs w:val="24"/>
        </w:rPr>
        <w:t>ODVA</w:t>
      </w:r>
      <w:r w:rsidR="004D2480" w:rsidRPr="00ED0EE0">
        <w:rPr>
          <w:rFonts w:ascii="Times New Roman" w:hAnsi="Times New Roman"/>
          <w:sz w:val="24"/>
          <w:szCs w:val="24"/>
        </w:rPr>
        <w:t xml:space="preserve"> </w:t>
      </w:r>
      <w:r w:rsidRPr="00ED0EE0">
        <w:rPr>
          <w:rFonts w:ascii="Times New Roman" w:hAnsi="Times New Roman"/>
          <w:sz w:val="24"/>
          <w:szCs w:val="24"/>
        </w:rPr>
        <w:t xml:space="preserve">intend that each </w:t>
      </w:r>
      <w:r w:rsidR="004D2480">
        <w:rPr>
          <w:rFonts w:ascii="Times New Roman" w:hAnsi="Times New Roman"/>
          <w:sz w:val="24"/>
          <w:szCs w:val="24"/>
        </w:rPr>
        <w:t xml:space="preserve">party </w:t>
      </w:r>
      <w:r w:rsidRPr="00ED0EE0">
        <w:rPr>
          <w:rFonts w:ascii="Times New Roman" w:hAnsi="Times New Roman"/>
          <w:sz w:val="24"/>
          <w:szCs w:val="24"/>
        </w:rPr>
        <w:t xml:space="preserve">shall be responsible for its own negligent acts or omissions to act.  </w:t>
      </w:r>
      <w:r w:rsidR="004D2480">
        <w:rPr>
          <w:rFonts w:ascii="Times New Roman" w:hAnsi="Times New Roman"/>
          <w:sz w:val="24"/>
          <w:szCs w:val="24"/>
        </w:rPr>
        <w:t xml:space="preserve">ODVA, </w:t>
      </w:r>
      <w:r w:rsidRPr="00ED0EE0">
        <w:rPr>
          <w:rFonts w:ascii="Times New Roman" w:hAnsi="Times New Roman"/>
          <w:sz w:val="24"/>
          <w:szCs w:val="24"/>
        </w:rPr>
        <w:t xml:space="preserve">shall be responsible for the acts of its officers and employees while acting within the scope of their employment according to the </w:t>
      </w:r>
      <w:hyperlink r:id="rId5" w:history="1">
        <w:r w:rsidRPr="004D2480">
          <w:rPr>
            <w:rStyle w:val="Hyperlink"/>
            <w:rFonts w:ascii="Times New Roman" w:hAnsi="Times New Roman"/>
            <w:sz w:val="24"/>
            <w:szCs w:val="24"/>
          </w:rPr>
          <w:t xml:space="preserve">Government Tort Claims Act, 51 O.S. §§ 151 </w:t>
        </w:r>
        <w:r w:rsidRPr="004D2480">
          <w:rPr>
            <w:rStyle w:val="Hyperlink"/>
            <w:rFonts w:ascii="Times New Roman" w:hAnsi="Times New Roman"/>
            <w:i/>
            <w:sz w:val="24"/>
            <w:szCs w:val="24"/>
          </w:rPr>
          <w:t>et seq</w:t>
        </w:r>
        <w:r w:rsidRPr="004D2480">
          <w:rPr>
            <w:rStyle w:val="Hyperlink"/>
            <w:rFonts w:ascii="Times New Roman" w:hAnsi="Times New Roman"/>
            <w:sz w:val="24"/>
            <w:szCs w:val="24"/>
          </w:rPr>
          <w:t>.</w:t>
        </w:r>
      </w:hyperlink>
    </w:p>
    <w:p w14:paraId="45ABE3FF" w14:textId="77777777" w:rsidR="00ED0EE0" w:rsidRPr="00ED0EE0" w:rsidRDefault="00ED0EE0" w:rsidP="00ED0EE0">
      <w:pPr>
        <w:pStyle w:val="ListParagraph"/>
        <w:rPr>
          <w:rFonts w:ascii="Times New Roman" w:hAnsi="Times New Roman"/>
          <w:b/>
          <w:sz w:val="24"/>
          <w:szCs w:val="24"/>
        </w:rPr>
      </w:pPr>
    </w:p>
    <w:p w14:paraId="5A6ED424" w14:textId="59AEECB8" w:rsidR="00ED0EE0" w:rsidRPr="00ED0EE0" w:rsidRDefault="00ED0EE0"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Rights in </w:t>
      </w:r>
      <w:r w:rsidR="00C51EE5">
        <w:rPr>
          <w:rFonts w:ascii="Times New Roman" w:hAnsi="Times New Roman"/>
          <w:b/>
          <w:sz w:val="24"/>
          <w:szCs w:val="24"/>
        </w:rPr>
        <w:t>p</w:t>
      </w:r>
      <w:r w:rsidRPr="00ED0EE0">
        <w:rPr>
          <w:rFonts w:ascii="Times New Roman" w:hAnsi="Times New Roman"/>
          <w:b/>
          <w:sz w:val="24"/>
          <w:szCs w:val="24"/>
        </w:rPr>
        <w:t>roperty:</w:t>
      </w:r>
      <w:r w:rsidRPr="00ED0EE0">
        <w:rPr>
          <w:rFonts w:ascii="Times New Roman" w:hAnsi="Times New Roman"/>
          <w:sz w:val="24"/>
          <w:szCs w:val="24"/>
        </w:rPr>
        <w:t xml:space="preserve">  All supplies, records, samples, memoranda, correspondence, chemicals, drugs, instruments, equipment, supplies, furnishings, accounts, medical records, patient protected health information, and contracts of </w:t>
      </w:r>
      <w:r w:rsidR="004D2480">
        <w:rPr>
          <w:rFonts w:ascii="Times New Roman" w:hAnsi="Times New Roman"/>
          <w:sz w:val="24"/>
          <w:szCs w:val="24"/>
        </w:rPr>
        <w:t>ODVA</w:t>
      </w:r>
      <w:r w:rsidRPr="00ED0EE0">
        <w:rPr>
          <w:rFonts w:ascii="Times New Roman" w:hAnsi="Times New Roman"/>
          <w:sz w:val="24"/>
          <w:szCs w:val="24"/>
        </w:rPr>
        <w:t xml:space="preserve"> shall remain the s</w:t>
      </w:r>
      <w:r>
        <w:rPr>
          <w:rFonts w:ascii="Times New Roman" w:hAnsi="Times New Roman"/>
          <w:sz w:val="24"/>
          <w:szCs w:val="24"/>
        </w:rPr>
        <w:t xml:space="preserve">ole property of </w:t>
      </w:r>
      <w:r w:rsidR="004D2480">
        <w:rPr>
          <w:rFonts w:ascii="Times New Roman" w:hAnsi="Times New Roman"/>
          <w:sz w:val="24"/>
          <w:szCs w:val="24"/>
        </w:rPr>
        <w:t>ODVA</w:t>
      </w:r>
      <w:r>
        <w:rPr>
          <w:rFonts w:ascii="Times New Roman" w:hAnsi="Times New Roman"/>
          <w:sz w:val="24"/>
          <w:szCs w:val="24"/>
        </w:rPr>
        <w:t>.</w:t>
      </w:r>
    </w:p>
    <w:p w14:paraId="35285A97" w14:textId="77777777" w:rsidR="006614F1" w:rsidRPr="006614F1" w:rsidRDefault="006614F1" w:rsidP="006614F1">
      <w:pPr>
        <w:pStyle w:val="ListParagraph"/>
        <w:rPr>
          <w:rFonts w:ascii="Times New Roman" w:hAnsi="Times New Roman"/>
          <w:sz w:val="24"/>
          <w:szCs w:val="24"/>
        </w:rPr>
      </w:pPr>
    </w:p>
    <w:p w14:paraId="76F839A6" w14:textId="38932B61" w:rsidR="00C90AFB" w:rsidRPr="00BD6C25" w:rsidRDefault="006614F1" w:rsidP="00C90AFB">
      <w:pPr>
        <w:pStyle w:val="ListParagraph"/>
        <w:numPr>
          <w:ilvl w:val="1"/>
          <w:numId w:val="10"/>
        </w:numPr>
        <w:tabs>
          <w:tab w:val="left" w:pos="0"/>
        </w:tabs>
        <w:spacing w:line="240" w:lineRule="auto"/>
        <w:rPr>
          <w:rFonts w:ascii="Times New Roman" w:hAnsi="Times New Roman"/>
          <w:b/>
          <w:sz w:val="24"/>
          <w:szCs w:val="24"/>
        </w:rPr>
      </w:pPr>
      <w:r w:rsidRPr="00F261A3">
        <w:rPr>
          <w:rFonts w:ascii="Times New Roman" w:hAnsi="Times New Roman"/>
          <w:b/>
          <w:sz w:val="24"/>
          <w:szCs w:val="24"/>
        </w:rPr>
        <w:t>Anti-Fraud:</w:t>
      </w:r>
      <w:r w:rsidRPr="00F261A3">
        <w:rPr>
          <w:rFonts w:ascii="Times New Roman" w:hAnsi="Times New Roman"/>
          <w:sz w:val="24"/>
          <w:szCs w:val="24"/>
        </w:rPr>
        <w:t xml:space="preserve">  The </w:t>
      </w:r>
      <w:r w:rsidR="00BD6C25">
        <w:rPr>
          <w:rFonts w:ascii="Times New Roman" w:hAnsi="Times New Roman"/>
          <w:sz w:val="24"/>
          <w:szCs w:val="24"/>
        </w:rPr>
        <w:t>s</w:t>
      </w:r>
      <w:r>
        <w:rPr>
          <w:rFonts w:ascii="Times New Roman" w:hAnsi="Times New Roman"/>
          <w:sz w:val="24"/>
          <w:szCs w:val="24"/>
        </w:rPr>
        <w:t>upplier</w:t>
      </w:r>
      <w:r w:rsidRPr="00F261A3">
        <w:rPr>
          <w:rFonts w:ascii="Times New Roman" w:hAnsi="Times New Roman"/>
          <w:sz w:val="24"/>
          <w:szCs w:val="24"/>
        </w:rPr>
        <w:t xml:space="preserve"> represents that neither it nor anyone employed by it has been convicted of or plead guilty to a felony involving bribery, corruption, or sale to any State or to any of a State’s political subdivisions.</w:t>
      </w:r>
    </w:p>
    <w:p w14:paraId="6BED34CB" w14:textId="77777777" w:rsidR="00BD6C25" w:rsidRPr="00BD6C25" w:rsidRDefault="00BD6C25" w:rsidP="00BD6C25">
      <w:pPr>
        <w:pStyle w:val="ListParagraph"/>
        <w:rPr>
          <w:rFonts w:ascii="Times New Roman" w:hAnsi="Times New Roman"/>
          <w:b/>
          <w:sz w:val="24"/>
          <w:szCs w:val="24"/>
        </w:rPr>
      </w:pPr>
    </w:p>
    <w:p w14:paraId="72ACD827" w14:textId="74D6A194" w:rsidR="00BD6C25" w:rsidRPr="007D6514" w:rsidRDefault="00BD6C25" w:rsidP="00C90AFB">
      <w:pPr>
        <w:pStyle w:val="ListParagraph"/>
        <w:numPr>
          <w:ilvl w:val="1"/>
          <w:numId w:val="10"/>
        </w:numPr>
        <w:tabs>
          <w:tab w:val="left" w:pos="0"/>
        </w:tabs>
        <w:spacing w:line="240" w:lineRule="auto"/>
        <w:rPr>
          <w:rFonts w:ascii="Times New Roman" w:hAnsi="Times New Roman"/>
          <w:b/>
          <w:color w:val="000000" w:themeColor="text1"/>
          <w:sz w:val="24"/>
          <w:szCs w:val="24"/>
        </w:rPr>
      </w:pPr>
      <w:r w:rsidRPr="007D6514">
        <w:rPr>
          <w:rFonts w:ascii="Times New Roman" w:hAnsi="Times New Roman"/>
          <w:b/>
          <w:color w:val="000000" w:themeColor="text1"/>
          <w:sz w:val="24"/>
          <w:szCs w:val="24"/>
        </w:rPr>
        <w:t xml:space="preserve">Protection of Personal Identifiable Information (PII):  </w:t>
      </w:r>
      <w:r w:rsidRPr="007D6514">
        <w:rPr>
          <w:rFonts w:ascii="Times New Roman" w:hAnsi="Times New Roman"/>
          <w:bCs/>
          <w:color w:val="000000" w:themeColor="text1"/>
          <w:sz w:val="24"/>
          <w:szCs w:val="24"/>
        </w:rPr>
        <w:t xml:space="preserve">The supplier shall at all times be in adherence to </w:t>
      </w:r>
      <w:hyperlink r:id="rId6" w:history="1">
        <w:r w:rsidRPr="007D6514">
          <w:rPr>
            <w:rStyle w:val="Hyperlink"/>
            <w:rFonts w:ascii="Times New Roman" w:hAnsi="Times New Roman"/>
            <w:bCs/>
            <w:color w:val="2E74B5" w:themeColor="accent1" w:themeShade="BF"/>
            <w:sz w:val="24"/>
            <w:szCs w:val="24"/>
          </w:rPr>
          <w:t>PII guidelines</w:t>
        </w:r>
      </w:hyperlink>
      <w:r w:rsidRPr="00BD6C25">
        <w:rPr>
          <w:rFonts w:ascii="Times New Roman" w:hAnsi="Times New Roman"/>
          <w:bCs/>
          <w:color w:val="FF0000"/>
          <w:sz w:val="24"/>
          <w:szCs w:val="24"/>
        </w:rPr>
        <w:t xml:space="preserve"> </w:t>
      </w:r>
      <w:r w:rsidRPr="007D6514">
        <w:rPr>
          <w:rFonts w:ascii="Times New Roman" w:hAnsi="Times New Roman"/>
          <w:bCs/>
          <w:color w:val="000000" w:themeColor="text1"/>
          <w:sz w:val="24"/>
          <w:szCs w:val="24"/>
        </w:rPr>
        <w:t xml:space="preserve">as outlined in the </w:t>
      </w:r>
      <w:hyperlink r:id="rId7" w:history="1">
        <w:r w:rsidRPr="007D6514">
          <w:rPr>
            <w:rStyle w:val="Hyperlink"/>
            <w:rFonts w:ascii="Times New Roman" w:hAnsi="Times New Roman"/>
            <w:bCs/>
            <w:color w:val="2E74B5" w:themeColor="accent1" w:themeShade="BF"/>
            <w:sz w:val="24"/>
            <w:szCs w:val="24"/>
          </w:rPr>
          <w:t>US Department of Labor</w:t>
        </w:r>
      </w:hyperlink>
      <w:r w:rsidRPr="00BD6C25">
        <w:rPr>
          <w:rFonts w:ascii="Times New Roman" w:hAnsi="Times New Roman"/>
          <w:bCs/>
          <w:color w:val="FF0000"/>
          <w:sz w:val="24"/>
          <w:szCs w:val="24"/>
        </w:rPr>
        <w:t xml:space="preserve"> </w:t>
      </w:r>
      <w:r w:rsidRPr="007D6514">
        <w:rPr>
          <w:rFonts w:ascii="Times New Roman" w:hAnsi="Times New Roman"/>
          <w:bCs/>
          <w:color w:val="000000" w:themeColor="text1"/>
          <w:sz w:val="24"/>
          <w:szCs w:val="24"/>
        </w:rPr>
        <w:t xml:space="preserve">laws and any other applicable government laws. </w:t>
      </w:r>
    </w:p>
    <w:p w14:paraId="00FFF2B9" w14:textId="77777777" w:rsidR="007D6514" w:rsidRPr="007D6514" w:rsidRDefault="007D6514" w:rsidP="007D6514">
      <w:pPr>
        <w:pStyle w:val="ListParagraph"/>
        <w:rPr>
          <w:rFonts w:ascii="Times New Roman" w:hAnsi="Times New Roman"/>
          <w:b/>
          <w:color w:val="000000" w:themeColor="text1"/>
          <w:sz w:val="24"/>
          <w:szCs w:val="24"/>
        </w:rPr>
      </w:pPr>
    </w:p>
    <w:p w14:paraId="33C53F8F" w14:textId="2E04CDBF" w:rsidR="00ED0EE0" w:rsidRPr="007D6514" w:rsidRDefault="007D6514" w:rsidP="00E66896">
      <w:pPr>
        <w:pStyle w:val="ListParagraph"/>
        <w:numPr>
          <w:ilvl w:val="1"/>
          <w:numId w:val="10"/>
        </w:numPr>
        <w:tabs>
          <w:tab w:val="left" w:pos="0"/>
        </w:tabs>
        <w:spacing w:after="0" w:line="240" w:lineRule="auto"/>
        <w:mirrorIndents/>
        <w:jc w:val="both"/>
        <w:rPr>
          <w:rFonts w:ascii="Times New Roman" w:hAnsi="Times New Roman" w:cs="Times New Roman"/>
          <w:sz w:val="24"/>
          <w:szCs w:val="24"/>
        </w:rPr>
      </w:pPr>
      <w:r w:rsidRPr="007D6514">
        <w:rPr>
          <w:rFonts w:ascii="Times New Roman" w:hAnsi="Times New Roman"/>
          <w:b/>
          <w:color w:val="000000" w:themeColor="text1"/>
          <w:sz w:val="24"/>
          <w:szCs w:val="24"/>
        </w:rPr>
        <w:t xml:space="preserve">The Health Insurance Portability and Accountability Act of 1996 (HIPAA):  </w:t>
      </w:r>
      <w:r w:rsidRPr="007D6514">
        <w:rPr>
          <w:rFonts w:ascii="Times New Roman" w:hAnsi="Times New Roman"/>
          <w:bCs/>
          <w:color w:val="000000" w:themeColor="text1"/>
          <w:sz w:val="24"/>
          <w:szCs w:val="24"/>
        </w:rPr>
        <w:t xml:space="preserve">The supplier shall at all times be in adherence to </w:t>
      </w:r>
      <w:hyperlink r:id="rId8" w:history="1">
        <w:r w:rsidRPr="007D6514">
          <w:rPr>
            <w:rStyle w:val="Hyperlink"/>
            <w:rFonts w:ascii="Times New Roman" w:hAnsi="Times New Roman"/>
            <w:bCs/>
            <w:color w:val="034990" w:themeColor="hyperlink" w:themeShade="BF"/>
            <w:sz w:val="24"/>
            <w:szCs w:val="24"/>
          </w:rPr>
          <w:t>HIPAA guidelines</w:t>
        </w:r>
      </w:hyperlink>
      <w:r w:rsidRPr="00BD6C25">
        <w:rPr>
          <w:rFonts w:ascii="Times New Roman" w:hAnsi="Times New Roman"/>
          <w:bCs/>
          <w:color w:val="FF0000"/>
          <w:sz w:val="24"/>
          <w:szCs w:val="24"/>
        </w:rPr>
        <w:t xml:space="preserve"> </w:t>
      </w:r>
      <w:r w:rsidRPr="007D6514">
        <w:rPr>
          <w:rFonts w:ascii="Times New Roman" w:hAnsi="Times New Roman"/>
          <w:bCs/>
          <w:color w:val="000000" w:themeColor="text1"/>
          <w:sz w:val="24"/>
          <w:szCs w:val="24"/>
        </w:rPr>
        <w:t xml:space="preserve">as outlined </w:t>
      </w:r>
      <w:r w:rsidRPr="007D6514">
        <w:rPr>
          <w:rFonts w:ascii="Times New Roman" w:hAnsi="Times New Roman" w:cs="Times New Roman"/>
          <w:bCs/>
          <w:color w:val="000000" w:themeColor="text1"/>
          <w:sz w:val="24"/>
          <w:szCs w:val="24"/>
        </w:rPr>
        <w:t xml:space="preserve">in the </w:t>
      </w:r>
      <w:hyperlink r:id="rId9" w:history="1">
        <w:r w:rsidRPr="007D6514">
          <w:rPr>
            <w:rStyle w:val="Hyperlink"/>
            <w:rFonts w:ascii="Times New Roman" w:hAnsi="Times New Roman" w:cs="Times New Roman"/>
            <w:color w:val="034990" w:themeColor="hyperlink" w:themeShade="BF"/>
            <w:sz w:val="24"/>
            <w:szCs w:val="24"/>
          </w:rPr>
          <w:t>US Department of Health &amp; Human Services</w:t>
        </w:r>
      </w:hyperlink>
      <w:r w:rsidRPr="007D6514">
        <w:rPr>
          <w:rFonts w:ascii="Times New Roman" w:hAnsi="Times New Roman" w:cs="Times New Roman"/>
          <w:color w:val="2E74B5" w:themeColor="accent1" w:themeShade="BF"/>
          <w:sz w:val="24"/>
          <w:szCs w:val="24"/>
        </w:rPr>
        <w:t xml:space="preserve">  </w:t>
      </w:r>
      <w:r w:rsidRPr="007D6514">
        <w:rPr>
          <w:rFonts w:ascii="Times New Roman" w:hAnsi="Times New Roman" w:cs="Times New Roman"/>
          <w:bCs/>
          <w:color w:val="000000" w:themeColor="text1"/>
          <w:sz w:val="24"/>
          <w:szCs w:val="24"/>
        </w:rPr>
        <w:t>laws and any other applicable government laws.</w:t>
      </w:r>
    </w:p>
    <w:sectPr w:rsidR="00ED0EE0" w:rsidRPr="007D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multilevel"/>
    <w:tmpl w:val="1E1A3D24"/>
    <w:lvl w:ilvl="0">
      <w:start w:val="1"/>
      <w:numFmt w:val="decimal"/>
      <w:lvlText w:val="%1."/>
      <w:lvlJc w:val="left"/>
      <w:pPr>
        <w:ind w:left="360" w:hanging="360"/>
      </w:pPr>
      <w:rPr>
        <w:b/>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96500"/>
    <w:rsid w:val="000B3ECA"/>
    <w:rsid w:val="000E0C11"/>
    <w:rsid w:val="00156816"/>
    <w:rsid w:val="001603B2"/>
    <w:rsid w:val="0018128B"/>
    <w:rsid w:val="00182258"/>
    <w:rsid w:val="00186662"/>
    <w:rsid w:val="00204D4C"/>
    <w:rsid w:val="00221F91"/>
    <w:rsid w:val="0026493E"/>
    <w:rsid w:val="002A1795"/>
    <w:rsid w:val="002F5236"/>
    <w:rsid w:val="00317A0E"/>
    <w:rsid w:val="0036540C"/>
    <w:rsid w:val="003751CD"/>
    <w:rsid w:val="003B7FCE"/>
    <w:rsid w:val="003C658C"/>
    <w:rsid w:val="003F1FF0"/>
    <w:rsid w:val="004878D1"/>
    <w:rsid w:val="0049787A"/>
    <w:rsid w:val="004D2480"/>
    <w:rsid w:val="004E4DA7"/>
    <w:rsid w:val="004E6E93"/>
    <w:rsid w:val="0053551F"/>
    <w:rsid w:val="00554F12"/>
    <w:rsid w:val="00567AD2"/>
    <w:rsid w:val="005D708C"/>
    <w:rsid w:val="006614F1"/>
    <w:rsid w:val="00711914"/>
    <w:rsid w:val="00714278"/>
    <w:rsid w:val="00717A99"/>
    <w:rsid w:val="00755CFA"/>
    <w:rsid w:val="00780DAE"/>
    <w:rsid w:val="007D6514"/>
    <w:rsid w:val="00814291"/>
    <w:rsid w:val="0083660C"/>
    <w:rsid w:val="00880DB3"/>
    <w:rsid w:val="008D1926"/>
    <w:rsid w:val="00912AC7"/>
    <w:rsid w:val="00996C08"/>
    <w:rsid w:val="009E0BE6"/>
    <w:rsid w:val="009E4DCB"/>
    <w:rsid w:val="009F76DA"/>
    <w:rsid w:val="00A06B95"/>
    <w:rsid w:val="00A4663B"/>
    <w:rsid w:val="00A62CB2"/>
    <w:rsid w:val="00AB1D71"/>
    <w:rsid w:val="00AD2A79"/>
    <w:rsid w:val="00AF082C"/>
    <w:rsid w:val="00B65C0F"/>
    <w:rsid w:val="00BD663C"/>
    <w:rsid w:val="00BD6C25"/>
    <w:rsid w:val="00C24841"/>
    <w:rsid w:val="00C51EE5"/>
    <w:rsid w:val="00C5300A"/>
    <w:rsid w:val="00C702DB"/>
    <w:rsid w:val="00C90AFB"/>
    <w:rsid w:val="00C91B42"/>
    <w:rsid w:val="00CB553E"/>
    <w:rsid w:val="00CC343E"/>
    <w:rsid w:val="00D30C09"/>
    <w:rsid w:val="00E15883"/>
    <w:rsid w:val="00E52753"/>
    <w:rsid w:val="00E55A1C"/>
    <w:rsid w:val="00E66896"/>
    <w:rsid w:val="00E86695"/>
    <w:rsid w:val="00EA64C5"/>
    <w:rsid w:val="00ED0EE0"/>
    <w:rsid w:val="00EE55ED"/>
    <w:rsid w:val="00EE6F5B"/>
    <w:rsid w:val="00EF0BAA"/>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4E6E93"/>
    <w:rPr>
      <w:color w:val="0563C1" w:themeColor="hyperlink"/>
      <w:u w:val="single"/>
    </w:rPr>
  </w:style>
  <w:style w:type="character" w:styleId="UnresolvedMention">
    <w:name w:val="Unresolved Mention"/>
    <w:basedOn w:val="DefaultParagraphFont"/>
    <w:uiPriority w:val="99"/>
    <w:semiHidden/>
    <w:unhideWhenUsed/>
    <w:rsid w:val="004D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privacy/guidance/index.html" TargetMode="External"/><Relationship Id="rId3" Type="http://schemas.openxmlformats.org/officeDocument/2006/relationships/settings" Target="settings.xml"/><Relationship Id="rId7" Type="http://schemas.openxmlformats.org/officeDocument/2006/relationships/hyperlink" Target="https://www.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general/ppii" TargetMode="External"/><Relationship Id="rId11" Type="http://schemas.openxmlformats.org/officeDocument/2006/relationships/theme" Target="theme/theme1.xml"/><Relationship Id="rId5" Type="http://schemas.openxmlformats.org/officeDocument/2006/relationships/hyperlink" Target="https://www.google.com/url?sa=t&amp;rct=j&amp;q=&amp;esrc=s&amp;source=web&amp;cd=&amp;cad=rja&amp;uact=8&amp;ved=2ahUKEwiIqZ39xYvyAhWMPM0KHRr6A-YQFjAAegQIBRAD&amp;url=https%3A%2F%2Fwww.ok.gov%2FDCS%2Fdocuments%2F2011-Oklahoma-Governmental-Tort-Claims-Act-Webinar.pdf&amp;usg=AOvVaw0yy3Bqvt7TZmajp6P03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hs.gov/hipa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Darlene Saltzman</cp:lastModifiedBy>
  <cp:revision>2</cp:revision>
  <dcterms:created xsi:type="dcterms:W3CDTF">2021-11-22T21:34:00Z</dcterms:created>
  <dcterms:modified xsi:type="dcterms:W3CDTF">2021-11-22T21:34:00Z</dcterms:modified>
</cp:coreProperties>
</file>