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1EEE" w14:textId="77777777" w:rsidR="00E92517" w:rsidRDefault="00E92517">
      <w:bookmarkStart w:id="0" w:name="_GoBack"/>
      <w:bookmarkEnd w:id="0"/>
    </w:p>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1"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1"/>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2"/>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3"/>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4" w:name="_Hlk8304997"/>
      <w:r w:rsidRPr="000B4FFE">
        <w:rPr>
          <w:rFonts w:ascii="Times New Roman" w:hAnsi="Times New Roman" w:cs="Times New Roman"/>
          <w:b w:val="0"/>
          <w:sz w:val="24"/>
          <w:szCs w:val="24"/>
        </w:rPr>
        <w:t xml:space="preserve">Pursuant to OAC 260:115-9-5, </w:t>
      </w:r>
      <w:bookmarkEnd w:id="4"/>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5"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5"/>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6"/>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7"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7"/>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8"/>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9"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9"/>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0"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0"/>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1" w:name="_Hlk532388654"/>
      <w:r w:rsidRPr="00FA2847">
        <w:rPr>
          <w:rFonts w:ascii="Times New Roman" w:hAnsi="Times New Roman" w:cs="Times New Roman"/>
          <w:b w:val="0"/>
          <w:sz w:val="24"/>
          <w:szCs w:val="24"/>
        </w:rPr>
        <w:t>activity or interest that conflicts or may conflict with the best interest of the State</w:t>
      </w:r>
      <w:bookmarkEnd w:id="11"/>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7663920"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A828CD">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A828CD">
            <w:rPr>
              <w:rStyle w:val="PageNumber"/>
              <w:noProof/>
              <w:color w:val="auto"/>
              <w:sz w:val="16"/>
              <w:szCs w:val="16"/>
            </w:rPr>
            <w:t>5</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729"/>
    <w:rsid w:val="00A70DCD"/>
    <w:rsid w:val="00A71D88"/>
    <w:rsid w:val="00A71D91"/>
    <w:rsid w:val="00A72988"/>
    <w:rsid w:val="00A73A73"/>
    <w:rsid w:val="00A73C30"/>
    <w:rsid w:val="00A812A7"/>
    <w:rsid w:val="00A828CD"/>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B8BF-28E1-471E-BA4C-837DDB41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10586</Words>
  <Characters>60343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Sheri Diehm</cp:lastModifiedBy>
  <cp:revision>2</cp:revision>
  <cp:lastPrinted>2019-12-02T19:25:00Z</cp:lastPrinted>
  <dcterms:created xsi:type="dcterms:W3CDTF">2020-04-28T14:37:00Z</dcterms:created>
  <dcterms:modified xsi:type="dcterms:W3CDTF">2020-04-28T14:37:00Z</dcterms:modified>
</cp:coreProperties>
</file>