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 xml:space="preserve">ate including but not limited to any (i) works of authorship (such as manuals, instructions, printed material, graphics, artwork, images, illustrations, photographs, computer programs, computer software, </w:t>
      </w:r>
      <w:r w:rsidRPr="000B4FFE">
        <w:rPr>
          <w:rFonts w:ascii="Times New Roman" w:hAnsi="Times New Roman" w:cs="Times New Roman"/>
          <w:b w:val="0"/>
          <w:sz w:val="24"/>
          <w:szCs w:val="24"/>
        </w:rPr>
        <w:lastRenderedPageBreak/>
        <w:t>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w:t>
      </w:r>
      <w:r w:rsidRPr="000B4FFE">
        <w:rPr>
          <w:rFonts w:ascii="Times New Roman" w:hAnsi="Times New Roman" w:cs="Times New Roman"/>
          <w:b w:val="0"/>
          <w:sz w:val="24"/>
          <w:szCs w:val="24"/>
        </w:rPr>
        <w:lastRenderedPageBreak/>
        <w:t xml:space="preserve">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 xml:space="preserve">as soon as is reasonably practicable.   The Supplier shall retrieve and replace the Acquisition </w:t>
      </w:r>
      <w:r w:rsidRPr="000B4FFE">
        <w:rPr>
          <w:rFonts w:ascii="Times New Roman" w:hAnsi="Times New Roman" w:cs="Times New Roman"/>
          <w:b w:val="0"/>
          <w:sz w:val="24"/>
          <w:szCs w:val="24"/>
        </w:rPr>
        <w:lastRenderedPageBreak/>
        <w:t>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lastRenderedPageBreak/>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lastRenderedPageBreak/>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w:t>
      </w:r>
      <w:r w:rsidR="00426A69" w:rsidRPr="00FA2847">
        <w:rPr>
          <w:rFonts w:ascii="Times New Roman" w:hAnsi="Times New Roman" w:cs="Times New Roman"/>
          <w:b w:val="0"/>
          <w:sz w:val="24"/>
          <w:szCs w:val="24"/>
        </w:rPr>
        <w:lastRenderedPageBreak/>
        <w:t xml:space="preserve">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76944ECC"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CB5B5E" w:rsidRPr="00AF1D51">
          <w:rPr>
            <w:rStyle w:val="Hyperlink"/>
            <w:rFonts w:cs="Arial"/>
          </w:rPr>
          <w:t>https://oklahoma.gov/omes/services/information-services/policy-standards-publications.html</w:t>
        </w:r>
      </w:hyperlink>
      <w:r w:rsidR="00CB5B5E">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w:t>
      </w:r>
      <w:r w:rsidR="001B4031">
        <w:rPr>
          <w:rFonts w:ascii="Times New Roman" w:hAnsi="Times New Roman" w:cs="Times New Roman"/>
          <w:b w:val="0"/>
          <w:sz w:val="24"/>
          <w:szCs w:val="24"/>
        </w:rPr>
        <w:lastRenderedPageBreak/>
        <w:t xml:space="preserve">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w:t>
      </w:r>
      <w:r w:rsidRPr="00FA2847">
        <w:rPr>
          <w:rFonts w:ascii="Times New Roman" w:hAnsi="Times New Roman" w:cs="Times New Roman"/>
          <w:b w:val="0"/>
          <w:sz w:val="24"/>
          <w:szCs w:val="24"/>
        </w:rPr>
        <w:lastRenderedPageBreak/>
        <w:t xml:space="preserve">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lastRenderedPageBreak/>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representatives, independent contractors, and subcontractors improperly use, appropriate, sell, assign, convey, provide, release, </w:t>
      </w:r>
      <w:r w:rsidRPr="00FA2847">
        <w:rPr>
          <w:rFonts w:ascii="Times New Roman" w:hAnsi="Times New Roman" w:cs="Times New Roman"/>
          <w:b w:val="0"/>
          <w:sz w:val="24"/>
          <w:szCs w:val="24"/>
        </w:rPr>
        <w:lastRenderedPageBreak/>
        <w:t>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lastRenderedPageBreak/>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w:t>
      </w:r>
      <w:r w:rsidRPr="00FA2847">
        <w:rPr>
          <w:rFonts w:ascii="Times New Roman" w:hAnsi="Times New Roman" w:cs="Times New Roman"/>
          <w:b w:val="0"/>
          <w:sz w:val="24"/>
          <w:szCs w:val="24"/>
        </w:rPr>
        <w:lastRenderedPageBreak/>
        <w:t>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w:t>
      </w:r>
      <w:r w:rsidRPr="006B336E">
        <w:rPr>
          <w:rFonts w:ascii="Times New Roman" w:hAnsi="Times New Roman" w:cs="Times New Roman"/>
          <w:b w:val="0"/>
          <w:sz w:val="24"/>
          <w:szCs w:val="24"/>
        </w:rPr>
        <w:lastRenderedPageBreak/>
        <w:t xml:space="preserve">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lastRenderedPageBreak/>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w:t>
      </w:r>
      <w:r w:rsidRPr="00AF60A6">
        <w:rPr>
          <w:rFonts w:ascii="Times New Roman" w:hAnsi="Times New Roman" w:cs="Times New Roman"/>
          <w:b w:val="0"/>
          <w:sz w:val="24"/>
          <w:szCs w:val="24"/>
        </w:rPr>
        <w:lastRenderedPageBreak/>
        <w:t xml:space="preserve">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w:t>
      </w:r>
      <w:r w:rsidRPr="00D27622">
        <w:rPr>
          <w:rFonts w:ascii="Times New Roman" w:hAnsi="Times New Roman" w:cs="Times New Roman"/>
          <w:b w:val="0"/>
          <w:sz w:val="24"/>
          <w:szCs w:val="24"/>
        </w:rPr>
        <w:lastRenderedPageBreak/>
        <w:t xml:space="preserve">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w:t>
      </w:r>
      <w:r w:rsidRPr="00D27622">
        <w:rPr>
          <w:rFonts w:ascii="Times New Roman" w:hAnsi="Times New Roman" w:cs="Times New Roman"/>
          <w:b w:val="0"/>
          <w:sz w:val="24"/>
          <w:szCs w:val="24"/>
        </w:rPr>
        <w:lastRenderedPageBreak/>
        <w:t xml:space="preserve">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w:t>
      </w:r>
      <w:r w:rsidRPr="00D27622">
        <w:rPr>
          <w:rFonts w:ascii="Times New Roman" w:hAnsi="Times New Roman" w:cs="Times New Roman"/>
          <w:b w:val="0"/>
          <w:sz w:val="24"/>
        </w:rPr>
        <w:lastRenderedPageBreak/>
        <w:t xml:space="preserve">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9F7C3D"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9F7C3D">
        <w:rPr>
          <w:rFonts w:ascii="Times New Roman" w:hAnsi="Times New Roman" w:cs="Times New Roman"/>
          <w:sz w:val="24"/>
          <w:szCs w:val="24"/>
        </w:rPr>
        <w:t>Force Majeure</w:t>
      </w:r>
    </w:p>
    <w:p w14:paraId="6E7E22BB" w14:textId="77777777" w:rsidR="004E61B3" w:rsidRPr="009F7C3D"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Subject to the conditions set forth above, non-performance </w:t>
      </w:r>
      <w:r w:rsidR="004E61B3" w:rsidRPr="009F7C3D">
        <w:rPr>
          <w:rFonts w:ascii="Times New Roman" w:eastAsia="Calibri" w:hAnsi="Times New Roman" w:cs="Times New Roman"/>
          <w:b w:val="0"/>
          <w:sz w:val="24"/>
          <w:szCs w:val="24"/>
        </w:rPr>
        <w:t xml:space="preserve">as a result of a force majeure event </w:t>
      </w:r>
      <w:r w:rsidRPr="009F7C3D">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9F7C3D">
        <w:rPr>
          <w:rFonts w:ascii="Times New Roman" w:eastAsia="Calibri" w:hAnsi="Times New Roman" w:cs="Times New Roman"/>
          <w:b w:val="0"/>
          <w:sz w:val="24"/>
          <w:szCs w:val="24"/>
        </w:rPr>
        <w:t xml:space="preserve">or other payment mechanism </w:t>
      </w:r>
      <w:bookmarkEnd w:id="17"/>
      <w:r w:rsidR="006603E5" w:rsidRPr="009F7C3D">
        <w:rPr>
          <w:rFonts w:ascii="Times New Roman" w:eastAsia="Calibri" w:hAnsi="Times New Roman" w:cs="Times New Roman"/>
          <w:b w:val="0"/>
          <w:sz w:val="24"/>
          <w:szCs w:val="24"/>
        </w:rPr>
        <w:t xml:space="preserve">may be terminated </w:t>
      </w:r>
      <w:r w:rsidRPr="009F7C3D">
        <w:rPr>
          <w:rFonts w:ascii="Times New Roman" w:eastAsia="Calibri" w:hAnsi="Times New Roman" w:cs="Times New Roman"/>
          <w:b w:val="0"/>
          <w:sz w:val="24"/>
          <w:szCs w:val="24"/>
        </w:rPr>
        <w:t xml:space="preserve">if </w:t>
      </w:r>
      <w:r w:rsidR="00570C69" w:rsidRPr="009F7C3D">
        <w:rPr>
          <w:rFonts w:ascii="Times New Roman" w:eastAsia="Calibri" w:hAnsi="Times New Roman" w:cs="Times New Roman"/>
          <w:b w:val="0"/>
          <w:sz w:val="24"/>
          <w:szCs w:val="24"/>
        </w:rPr>
        <w:t>Supplier</w:t>
      </w:r>
      <w:r w:rsidRPr="009F7C3D">
        <w:rPr>
          <w:rFonts w:ascii="Times New Roman" w:eastAsia="Calibri" w:hAnsi="Times New Roman" w:cs="Times New Roman"/>
          <w:b w:val="0"/>
          <w:sz w:val="24"/>
          <w:szCs w:val="24"/>
        </w:rPr>
        <w:t xml:space="preserve"> cannot cause delivery of </w:t>
      </w:r>
      <w:r w:rsidR="006603E5" w:rsidRPr="009F7C3D">
        <w:rPr>
          <w:rFonts w:ascii="Times New Roman" w:eastAsia="Calibri" w:hAnsi="Times New Roman" w:cs="Times New Roman"/>
          <w:b w:val="0"/>
          <w:sz w:val="24"/>
          <w:szCs w:val="24"/>
        </w:rPr>
        <w:t xml:space="preserve">a </w:t>
      </w:r>
      <w:r w:rsidRPr="009F7C3D">
        <w:rPr>
          <w:rFonts w:ascii="Times New Roman" w:eastAsia="Calibri" w:hAnsi="Times New Roman" w:cs="Times New Roman"/>
          <w:b w:val="0"/>
          <w:sz w:val="24"/>
          <w:szCs w:val="24"/>
        </w:rPr>
        <w:t>product or service in a timely manner to meet</w:t>
      </w:r>
      <w:r w:rsidRPr="00D27622">
        <w:rPr>
          <w:rFonts w:ascii="Times New Roman" w:eastAsia="Calibri" w:hAnsi="Times New Roman" w:cs="Times New Roman"/>
          <w:b w:val="0"/>
          <w:sz w:val="24"/>
          <w:szCs w:val="24"/>
        </w:rPr>
        <w:t xml:space="preserve">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lastRenderedPageBreak/>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lastRenderedPageBreak/>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lastRenderedPageBreak/>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w:t>
      </w:r>
      <w:r w:rsidRPr="006B336E">
        <w:rPr>
          <w:rFonts w:ascii="Times New Roman" w:hAnsi="Times New Roman" w:cs="Times New Roman"/>
          <w:b w:val="0"/>
          <w:sz w:val="24"/>
          <w:szCs w:val="24"/>
        </w:rPr>
        <w:lastRenderedPageBreak/>
        <w:t xml:space="preserve">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9965" w14:textId="77777777" w:rsidR="006F742B" w:rsidRDefault="006F742B">
      <w:r>
        <w:separator/>
      </w:r>
    </w:p>
    <w:p w14:paraId="47C69D5E" w14:textId="77777777" w:rsidR="006F742B" w:rsidRDefault="006F742B"/>
  </w:endnote>
  <w:endnote w:type="continuationSeparator" w:id="0">
    <w:p w14:paraId="161E7341" w14:textId="77777777" w:rsidR="006F742B" w:rsidRDefault="006F742B">
      <w:r>
        <w:continuationSeparator/>
      </w:r>
    </w:p>
    <w:p w14:paraId="29383D30" w14:textId="77777777" w:rsidR="006F742B" w:rsidRDefault="006F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7FC6" w14:textId="77777777" w:rsidR="006F742B" w:rsidRDefault="006F742B">
      <w:r>
        <w:separator/>
      </w:r>
    </w:p>
    <w:p w14:paraId="5C4AAD90" w14:textId="77777777" w:rsidR="006F742B" w:rsidRDefault="006F742B"/>
  </w:footnote>
  <w:footnote w:type="continuationSeparator" w:id="0">
    <w:p w14:paraId="40A1F98D" w14:textId="77777777" w:rsidR="006F742B" w:rsidRDefault="006F742B">
      <w:r>
        <w:continuationSeparator/>
      </w:r>
    </w:p>
    <w:p w14:paraId="20EF7C6D" w14:textId="77777777" w:rsidR="006F742B" w:rsidRDefault="006F7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97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42B"/>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2B75"/>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9F7C3D"/>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B5E"/>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lahoma.gov/omes/services/information-services/policy-standards-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B21D-57FA-4791-B22B-31D1330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10595</Words>
  <Characters>60395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70849</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12</cp:revision>
  <cp:lastPrinted>2019-12-02T19:25:00Z</cp:lastPrinted>
  <dcterms:created xsi:type="dcterms:W3CDTF">2019-12-17T17:01:00Z</dcterms:created>
  <dcterms:modified xsi:type="dcterms:W3CDTF">2022-06-22T14:10:00Z</dcterms:modified>
</cp:coreProperties>
</file>