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3C27918"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BD3BDE">
              <w:rPr>
                <w:rFonts w:ascii="Times New Roman" w:hAnsi="Times New Roman" w:cs="Times New Roman"/>
              </w:rPr>
              <w:t>430000</w:t>
            </w:r>
            <w:r w:rsidR="003D557B">
              <w:rPr>
                <w:rFonts w:ascii="Times New Roman" w:hAnsi="Times New Roman" w:cs="Times New Roman"/>
              </w:rPr>
              <w:t>0027</w:t>
            </w:r>
            <w:r w:rsidR="009F0335">
              <w:rPr>
                <w:rFonts w:ascii="Times New Roman" w:hAnsi="Times New Roman" w:cs="Times New Roman"/>
              </w:rPr>
              <w:t>-</w:t>
            </w:r>
            <w:r w:rsidR="009F0335" w:rsidRPr="001B7A84">
              <w:rPr>
                <w:rFonts w:ascii="Times New Roman" w:hAnsi="Times New Roman" w:cs="Times New Roman"/>
                <w:b/>
                <w:bCs/>
              </w:rPr>
              <w:t>ReBid</w:t>
            </w:r>
            <w:r w:rsidR="00761D11" w:rsidRPr="001B7A84">
              <w:rPr>
                <w:rFonts w:ascii="Times New Roman" w:hAnsi="Times New Roman" w:cs="Times New Roman"/>
                <w:b/>
                <w:bCs/>
              </w:rPr>
              <w:t xml:space="preserve">    </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D557B">
              <w:rPr>
                <w:rFonts w:ascii="Times New Roman" w:hAnsi="Times New Roman" w:cs="Times New Roman"/>
              </w:rPr>
              <w:t>0</w:t>
            </w:r>
            <w:r w:rsidR="001B7A84">
              <w:rPr>
                <w:rFonts w:ascii="Times New Roman" w:hAnsi="Times New Roman" w:cs="Times New Roman"/>
              </w:rPr>
              <w:t>6</w:t>
            </w:r>
            <w:r w:rsidR="003D557B">
              <w:rPr>
                <w:rFonts w:ascii="Times New Roman" w:hAnsi="Times New Roman" w:cs="Times New Roman"/>
              </w:rPr>
              <w:t>/</w:t>
            </w:r>
            <w:r w:rsidR="001B7A84">
              <w:rPr>
                <w:rFonts w:ascii="Times New Roman" w:hAnsi="Times New Roman" w:cs="Times New Roman"/>
              </w:rPr>
              <w:t>21</w:t>
            </w:r>
            <w:r w:rsidR="003D557B">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A4B208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57B">
              <w:rPr>
                <w:rFonts w:ascii="Times New Roman" w:hAnsi="Times New Roman" w:cs="Times New Roman"/>
              </w:rPr>
              <w:t>0</w:t>
            </w:r>
            <w:r w:rsidR="001B7A84">
              <w:rPr>
                <w:rFonts w:ascii="Times New Roman" w:hAnsi="Times New Roman" w:cs="Times New Roman"/>
              </w:rPr>
              <w:t>7</w:t>
            </w:r>
            <w:r w:rsidR="003D557B">
              <w:rPr>
                <w:rFonts w:ascii="Times New Roman" w:hAnsi="Times New Roman" w:cs="Times New Roman"/>
              </w:rPr>
              <w:t>/</w:t>
            </w:r>
            <w:r w:rsidR="001B7A84">
              <w:rPr>
                <w:rFonts w:ascii="Times New Roman" w:hAnsi="Times New Roman" w:cs="Times New Roman"/>
              </w:rPr>
              <w:t>06</w:t>
            </w:r>
            <w:r w:rsidR="003D557B">
              <w:rPr>
                <w:rFonts w:ascii="Times New Roman" w:hAnsi="Times New Roman" w:cs="Times New Roman"/>
              </w:rPr>
              <w:t>/2022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4C0C0DC5"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57B">
              <w:rPr>
                <w:rFonts w:ascii="Times New Roman" w:hAnsi="Times New Roman" w:cs="Times New Roman"/>
              </w:rPr>
              <w:t>0</w:t>
            </w:r>
            <w:r w:rsidR="001B7A84">
              <w:rPr>
                <w:rFonts w:ascii="Times New Roman" w:hAnsi="Times New Roman" w:cs="Times New Roman"/>
              </w:rPr>
              <w:t>6</w:t>
            </w:r>
            <w:r w:rsidR="003D557B">
              <w:rPr>
                <w:rFonts w:ascii="Times New Roman" w:hAnsi="Times New Roman" w:cs="Times New Roman"/>
              </w:rPr>
              <w:t>/</w:t>
            </w:r>
            <w:r w:rsidR="001B7A84">
              <w:rPr>
                <w:rFonts w:ascii="Times New Roman" w:hAnsi="Times New Roman" w:cs="Times New Roman"/>
              </w:rPr>
              <w:t>24</w:t>
            </w:r>
            <w:r w:rsidR="003D557B">
              <w:rPr>
                <w:rFonts w:ascii="Times New Roman" w:hAnsi="Times New Roman" w:cs="Times New Roman"/>
              </w:rPr>
              <w:t>/2022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1149EE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57B">
              <w:rPr>
                <w:rFonts w:ascii="Times New Roman" w:hAnsi="Times New Roman" w:cs="Times New Roman"/>
              </w:rPr>
              <w:t>0</w:t>
            </w:r>
            <w:r w:rsidR="001B7A84">
              <w:rPr>
                <w:rFonts w:ascii="Times New Roman" w:hAnsi="Times New Roman" w:cs="Times New Roman"/>
              </w:rPr>
              <w:t>6</w:t>
            </w:r>
            <w:r w:rsidR="003D557B">
              <w:rPr>
                <w:rFonts w:ascii="Times New Roman" w:hAnsi="Times New Roman" w:cs="Times New Roman"/>
              </w:rPr>
              <w:t>/</w:t>
            </w:r>
            <w:r w:rsidR="001B7A84">
              <w:rPr>
                <w:rFonts w:ascii="Times New Roman" w:hAnsi="Times New Roman" w:cs="Times New Roman"/>
              </w:rPr>
              <w:t>29</w:t>
            </w:r>
            <w:r w:rsidR="003D557B">
              <w:rPr>
                <w:rFonts w:ascii="Times New Roman" w:hAnsi="Times New Roman" w:cs="Times New Roman"/>
              </w:rPr>
              <w:t>/2022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2ACD8A4F" w:rsidR="00052F9E" w:rsidRPr="00BD3BDE" w:rsidRDefault="00BD3BDE" w:rsidP="00052F9E">
                                  <w:pPr>
                                    <w:rPr>
                                      <w:b/>
                                      <w:bCs/>
                                    </w:rPr>
                                  </w:pPr>
                                  <w:r w:rsidRPr="00BD3BDE">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2ACD8A4F" w:rsidR="00052F9E" w:rsidRPr="00BD3BDE" w:rsidRDefault="00BD3BDE" w:rsidP="00052F9E">
                            <w:pPr>
                              <w:rPr>
                                <w:b/>
                                <w:bCs/>
                              </w:rPr>
                            </w:pPr>
                            <w:r w:rsidRPr="00BD3BDE">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ADEF05E"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BD3BDE">
              <w:rPr>
                <w:rFonts w:ascii="Times New Roman" w:hAnsi="Times New Roman" w:cs="Times New Roman"/>
                <w:b/>
              </w:rPr>
              <w:t xml:space="preserve"> </w:t>
            </w:r>
            <w:r w:rsidR="00354772">
              <w:rPr>
                <w:rFonts w:ascii="Times New Roman" w:hAnsi="Times New Roman" w:cs="Times New Roman"/>
                <w:b/>
              </w:rPr>
              <w:t xml:space="preserve">  </w:t>
            </w:r>
            <w:r w:rsidR="00BD3BDE" w:rsidRPr="00BD3BDE">
              <w:rPr>
                <w:rFonts w:ascii="Times New Roman" w:hAnsi="Times New Roman" w:cs="Times New Roman"/>
                <w:bCs/>
              </w:rPr>
              <w:t>Department of Libraries</w:t>
            </w:r>
            <w:r w:rsidR="00BD3BDE">
              <w:rPr>
                <w:rFonts w:ascii="Times New Roman" w:hAnsi="Times New Roman" w:cs="Times New Roman"/>
                <w:bCs/>
              </w:rPr>
              <w:t>/43000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A203952" w:rsidR="00052F9E" w:rsidRPr="000A2D33" w:rsidRDefault="00BD3BDE"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A203952" w:rsidR="00052F9E" w:rsidRPr="000A2D33" w:rsidRDefault="00BD3BDE"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143AD9E" w:rsidR="00052F9E" w:rsidRPr="00BD3BDE" w:rsidRDefault="00BD3BDE" w:rsidP="0093351E">
                                  <w:pPr>
                                    <w:rPr>
                                      <w:b/>
                                      <w:bCs/>
                                    </w:rPr>
                                  </w:pPr>
                                  <w:r w:rsidRPr="00BD3BDE">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143AD9E" w:rsidR="00052F9E" w:rsidRPr="00BD3BDE" w:rsidRDefault="00BD3BDE" w:rsidP="0093351E">
                            <w:pPr>
                              <w:rPr>
                                <w:b/>
                                <w:bCs/>
                              </w:rPr>
                            </w:pPr>
                            <w:r w:rsidRPr="00BD3BDE">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6F1EBB" w:rsidRDefault="0093351E" w:rsidP="0093351E">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45E520B2" w14:textId="77777777" w:rsidR="0093351E" w:rsidRPr="006F1EBB" w:rsidRDefault="0093351E" w:rsidP="0093351E">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0AA72AFF" w14:textId="036DB37C" w:rsidR="00120A27" w:rsidRPr="006F1EBB" w:rsidRDefault="00120A27" w:rsidP="0093351E">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00915C0A" w:rsidRPr="006F1EBB">
                    <w:rPr>
                      <w:rFonts w:ascii="Times New Roman" w:hAnsi="Times New Roman" w:cs="Times New Roman"/>
                      <w:b/>
                      <w:u w:val="single"/>
                    </w:rPr>
                    <w:t xml:space="preserve">    X   </w:t>
                  </w:r>
                  <w:r w:rsidR="00915C0A" w:rsidRPr="006F1EBB">
                    <w:rPr>
                      <w:rFonts w:ascii="Times New Roman" w:hAnsi="Times New Roman" w:cs="Times New Roman"/>
                      <w:b/>
                      <w:color w:val="FFFFFF" w:themeColor="background1"/>
                      <w:u w:val="single"/>
                    </w:rPr>
                    <w:t>.</w:t>
                  </w:r>
                  <w:r w:rsidR="00915C0A"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1A4612" w:rsidRDefault="001E02DD" w:rsidP="009A0E6B">
      <w:pPr>
        <w:pStyle w:val="ListParagraph"/>
        <w:numPr>
          <w:ilvl w:val="2"/>
          <w:numId w:val="10"/>
        </w:numPr>
        <w:rPr>
          <w:rFonts w:ascii="Times New Roman" w:hAnsi="Times New Roman" w:cs="Times New Roman"/>
          <w:sz w:val="22"/>
          <w:szCs w:val="22"/>
        </w:rPr>
      </w:pPr>
      <w:r w:rsidRPr="001A4612">
        <w:rPr>
          <w:rFonts w:ascii="Times New Roman" w:hAnsi="Times New Roman" w:cs="Times New Roman"/>
          <w:b w:val="0"/>
          <w:sz w:val="22"/>
          <w:szCs w:val="22"/>
        </w:rPr>
        <w:t>The Bid will be evaluated using a best value criteria, based on the following:</w:t>
      </w:r>
    </w:p>
    <w:p w14:paraId="655960CB" w14:textId="77777777" w:rsidR="00AD0EA5" w:rsidRPr="001A4612" w:rsidRDefault="00AD0EA5" w:rsidP="009A0E6B">
      <w:pPr>
        <w:pStyle w:val="ListParagraph"/>
        <w:rPr>
          <w:rFonts w:ascii="Times New Roman" w:hAnsi="Times New Roman" w:cs="Times New Roman"/>
          <w:sz w:val="22"/>
          <w:szCs w:val="22"/>
        </w:rPr>
      </w:pPr>
    </w:p>
    <w:p w14:paraId="5F77A960" w14:textId="7097182E" w:rsidR="001E02DD" w:rsidRPr="002C10A3" w:rsidRDefault="001A4612" w:rsidP="009A0E6B">
      <w:pPr>
        <w:pStyle w:val="ListParagraph"/>
        <w:numPr>
          <w:ilvl w:val="3"/>
          <w:numId w:val="10"/>
        </w:numPr>
        <w:ind w:left="3240"/>
        <w:rPr>
          <w:rFonts w:ascii="Times New Roman" w:hAnsi="Times New Roman" w:cs="Times New Roman"/>
          <w:sz w:val="22"/>
          <w:szCs w:val="22"/>
        </w:rPr>
      </w:pPr>
      <w:r w:rsidRPr="001A4612">
        <w:rPr>
          <w:rFonts w:ascii="Times New Roman" w:hAnsi="Times New Roman" w:cs="Times New Roman"/>
          <w:b w:val="0"/>
          <w:sz w:val="22"/>
          <w:szCs w:val="22"/>
        </w:rPr>
        <w:t>Mandatory Specifications</w:t>
      </w:r>
    </w:p>
    <w:p w14:paraId="33687E6B" w14:textId="76C5F741" w:rsidR="002C10A3" w:rsidRPr="009F0335" w:rsidRDefault="002C10A3" w:rsidP="009A0E6B">
      <w:pPr>
        <w:pStyle w:val="ListParagraph"/>
        <w:numPr>
          <w:ilvl w:val="3"/>
          <w:numId w:val="10"/>
        </w:numPr>
        <w:ind w:left="3240"/>
        <w:rPr>
          <w:rFonts w:ascii="Times New Roman" w:hAnsi="Times New Roman" w:cs="Times New Roman"/>
          <w:sz w:val="22"/>
          <w:szCs w:val="22"/>
        </w:rPr>
      </w:pPr>
      <w:r w:rsidRPr="009F0335">
        <w:rPr>
          <w:rFonts w:ascii="Times New Roman" w:hAnsi="Times New Roman" w:cs="Times New Roman"/>
          <w:b w:val="0"/>
          <w:sz w:val="22"/>
          <w:szCs w:val="22"/>
        </w:rPr>
        <w:t>Non-Mandatory Specifications</w:t>
      </w:r>
    </w:p>
    <w:p w14:paraId="3914EF60" w14:textId="77777777" w:rsidR="001A4612" w:rsidRPr="001A4612" w:rsidRDefault="001A4612" w:rsidP="001A4612">
      <w:pPr>
        <w:pStyle w:val="ListParagraph"/>
        <w:numPr>
          <w:ilvl w:val="3"/>
          <w:numId w:val="10"/>
        </w:numPr>
        <w:ind w:left="3240"/>
        <w:rPr>
          <w:rFonts w:ascii="Times New Roman" w:hAnsi="Times New Roman" w:cs="Times New Roman"/>
          <w:sz w:val="22"/>
          <w:szCs w:val="22"/>
        </w:rPr>
      </w:pPr>
      <w:r w:rsidRPr="001A4612">
        <w:rPr>
          <w:rFonts w:ascii="Times New Roman" w:hAnsi="Times New Roman" w:cs="Times New Roman"/>
          <w:b w:val="0"/>
          <w:sz w:val="22"/>
          <w:szCs w:val="22"/>
        </w:rPr>
        <w:t>Product Demonstration</w:t>
      </w:r>
    </w:p>
    <w:p w14:paraId="732FFD0E" w14:textId="77777777" w:rsidR="001A4612" w:rsidRPr="001A4612" w:rsidRDefault="001A4612" w:rsidP="001A4612">
      <w:pPr>
        <w:pStyle w:val="ListParagraph"/>
        <w:numPr>
          <w:ilvl w:val="3"/>
          <w:numId w:val="10"/>
        </w:numPr>
        <w:ind w:left="3240"/>
        <w:rPr>
          <w:rFonts w:ascii="Times New Roman" w:hAnsi="Times New Roman" w:cs="Times New Roman"/>
          <w:b w:val="0"/>
          <w:bCs/>
          <w:sz w:val="22"/>
          <w:szCs w:val="22"/>
        </w:rPr>
      </w:pPr>
      <w:r w:rsidRPr="001A4612">
        <w:rPr>
          <w:rFonts w:ascii="Times New Roman" w:hAnsi="Times New Roman" w:cs="Times New Roman"/>
          <w:b w:val="0"/>
          <w:bCs/>
          <w:sz w:val="22"/>
          <w:szCs w:val="22"/>
        </w:rPr>
        <w:t>Product Acceptability</w:t>
      </w:r>
    </w:p>
    <w:p w14:paraId="130BF15C" w14:textId="77777777" w:rsidR="001A4612" w:rsidRPr="001A4612" w:rsidRDefault="001A4612" w:rsidP="001A4612">
      <w:pPr>
        <w:pStyle w:val="ListParagraph"/>
        <w:numPr>
          <w:ilvl w:val="3"/>
          <w:numId w:val="10"/>
        </w:numPr>
        <w:ind w:left="3240"/>
        <w:rPr>
          <w:rFonts w:ascii="Times New Roman" w:hAnsi="Times New Roman" w:cs="Times New Roman"/>
          <w:b w:val="0"/>
          <w:bCs/>
          <w:sz w:val="22"/>
          <w:szCs w:val="22"/>
        </w:rPr>
      </w:pPr>
      <w:r w:rsidRPr="001A4612">
        <w:rPr>
          <w:rFonts w:ascii="Times New Roman" w:hAnsi="Times New Roman" w:cs="Times New Roman"/>
          <w:b w:val="0"/>
          <w:bCs/>
          <w:sz w:val="22"/>
          <w:szCs w:val="22"/>
        </w:rPr>
        <w:t>Technical Capability</w:t>
      </w:r>
    </w:p>
    <w:p w14:paraId="4C36FFDB" w14:textId="77777777" w:rsidR="001A4612" w:rsidRPr="001A4612" w:rsidRDefault="001A4612" w:rsidP="001A4612">
      <w:pPr>
        <w:pStyle w:val="ListParagraph"/>
        <w:numPr>
          <w:ilvl w:val="3"/>
          <w:numId w:val="10"/>
        </w:numPr>
        <w:ind w:left="3240"/>
        <w:rPr>
          <w:rFonts w:ascii="Times New Roman" w:hAnsi="Times New Roman" w:cs="Times New Roman"/>
          <w:b w:val="0"/>
          <w:bCs/>
          <w:sz w:val="22"/>
          <w:szCs w:val="22"/>
        </w:rPr>
      </w:pPr>
      <w:r w:rsidRPr="001A4612">
        <w:rPr>
          <w:rFonts w:ascii="Times New Roman" w:hAnsi="Times New Roman" w:cs="Times New Roman"/>
          <w:b w:val="0"/>
          <w:bCs/>
          <w:sz w:val="22"/>
          <w:szCs w:val="22"/>
        </w:rPr>
        <w:t>Customer Service and Technical Support</w:t>
      </w:r>
    </w:p>
    <w:p w14:paraId="75025F8E" w14:textId="77777777" w:rsidR="001A4612" w:rsidRPr="001A4612" w:rsidRDefault="001A4612" w:rsidP="001A4612">
      <w:pPr>
        <w:pStyle w:val="ListParagraph"/>
        <w:numPr>
          <w:ilvl w:val="3"/>
          <w:numId w:val="10"/>
        </w:numPr>
        <w:ind w:left="3240"/>
        <w:rPr>
          <w:rFonts w:ascii="Times New Roman" w:hAnsi="Times New Roman" w:cs="Times New Roman"/>
          <w:sz w:val="22"/>
          <w:szCs w:val="22"/>
        </w:rPr>
      </w:pPr>
      <w:r w:rsidRPr="001A4612">
        <w:rPr>
          <w:rFonts w:ascii="Times New Roman" w:hAnsi="Times New Roman" w:cs="Times New Roman"/>
          <w:b w:val="0"/>
          <w:sz w:val="22"/>
          <w:szCs w:val="22"/>
        </w:rPr>
        <w:t>References</w:t>
      </w:r>
    </w:p>
    <w:p w14:paraId="46F3D1E6" w14:textId="09E2A265" w:rsidR="001E02DD" w:rsidRPr="001A4612" w:rsidRDefault="001A4612" w:rsidP="001A4612">
      <w:pPr>
        <w:pStyle w:val="ListParagraph"/>
        <w:numPr>
          <w:ilvl w:val="3"/>
          <w:numId w:val="10"/>
        </w:numPr>
        <w:ind w:left="3240"/>
        <w:rPr>
          <w:rFonts w:ascii="Times New Roman" w:hAnsi="Times New Roman"/>
          <w:sz w:val="22"/>
        </w:rPr>
      </w:pPr>
      <w:r w:rsidRPr="001A4612">
        <w:rPr>
          <w:rFonts w:ascii="Times New Roman" w:hAnsi="Times New Roman" w:cs="Times New Roman"/>
          <w:b w:val="0"/>
          <w:sz w:val="22"/>
          <w:szCs w:val="22"/>
        </w:rPr>
        <w:t xml:space="preserve">Cost </w:t>
      </w:r>
    </w:p>
    <w:p w14:paraId="567CBBEE" w14:textId="77777777" w:rsidR="001A4612" w:rsidRPr="009A0E6B" w:rsidRDefault="001A4612" w:rsidP="001A4612">
      <w:pPr>
        <w:pStyle w:val="ListParagraph"/>
        <w:ind w:left="3240"/>
        <w:rPr>
          <w:rFonts w:ascii="Times New Roman" w:hAnsi="Times New Roman"/>
          <w:color w:val="FF0000"/>
          <w:sz w:val="22"/>
        </w:rPr>
      </w:pPr>
    </w:p>
    <w:p w14:paraId="4BD43CED" w14:textId="58756475" w:rsidR="00B03A05" w:rsidRPr="001A4612" w:rsidRDefault="00874259" w:rsidP="00B03A05">
      <w:pPr>
        <w:pStyle w:val="ListParagraph"/>
        <w:numPr>
          <w:ilvl w:val="2"/>
          <w:numId w:val="10"/>
        </w:numPr>
        <w:spacing w:line="276" w:lineRule="auto"/>
        <w:jc w:val="both"/>
        <w:rPr>
          <w:rFonts w:ascii="Times New Roman" w:hAnsi="Times New Roman"/>
          <w:b w:val="0"/>
          <w:sz w:val="22"/>
        </w:rPr>
      </w:pPr>
      <w:r w:rsidRPr="001A4612">
        <w:rPr>
          <w:rFonts w:ascii="Times New Roman" w:hAnsi="Times New Roman"/>
          <w:b w:val="0"/>
          <w:sz w:val="22"/>
        </w:rPr>
        <w:lastRenderedPageBreak/>
        <w:t xml:space="preserve">As </w:t>
      </w:r>
      <w:r w:rsidR="00B03A05" w:rsidRPr="001A4612">
        <w:rPr>
          <w:rFonts w:ascii="Times New Roman" w:hAnsi="Times New Roman"/>
          <w:b w:val="0"/>
          <w:sz w:val="22"/>
        </w:rPr>
        <w:t xml:space="preserve">referenced in </w:t>
      </w:r>
      <w:r w:rsidR="00C65341" w:rsidRPr="001A4612">
        <w:rPr>
          <w:rFonts w:ascii="Times New Roman" w:hAnsi="Times New Roman"/>
          <w:b w:val="0"/>
          <w:sz w:val="22"/>
        </w:rPr>
        <w:t>sub</w:t>
      </w:r>
      <w:r w:rsidR="00B03A05" w:rsidRPr="001A4612">
        <w:rPr>
          <w:rFonts w:ascii="Times New Roman" w:hAnsi="Times New Roman"/>
          <w:b w:val="0"/>
          <w:sz w:val="22"/>
        </w:rPr>
        <w:t>section 8.2.H, the Bid</w:t>
      </w:r>
      <w:r w:rsidR="001A4612" w:rsidRPr="001A4612">
        <w:rPr>
          <w:rFonts w:ascii="Times New Roman" w:hAnsi="Times New Roman"/>
          <w:b w:val="0"/>
          <w:sz w:val="22"/>
        </w:rPr>
        <w:t xml:space="preserve"> shall show the ability of the Bidder to meet or exceed the mandatory specifications as listed </w:t>
      </w:r>
      <w:r w:rsidR="00B03A05" w:rsidRPr="001A4612">
        <w:rPr>
          <w:rFonts w:ascii="Times New Roman" w:hAnsi="Times New Roman"/>
          <w:b w:val="0"/>
          <w:sz w:val="22"/>
        </w:rPr>
        <w:t xml:space="preserve">on </w:t>
      </w:r>
      <w:r w:rsidR="00AE486E" w:rsidRPr="001A4612">
        <w:rPr>
          <w:rFonts w:ascii="Times New Roman" w:hAnsi="Times New Roman"/>
          <w:b w:val="0"/>
          <w:sz w:val="22"/>
        </w:rPr>
        <w:t xml:space="preserve">Exhibit </w:t>
      </w:r>
      <w:r w:rsidR="001A4612" w:rsidRPr="001A4612">
        <w:rPr>
          <w:rFonts w:ascii="Times New Roman" w:hAnsi="Times New Roman"/>
          <w:b w:val="0"/>
          <w:sz w:val="22"/>
        </w:rPr>
        <w:t>1 Specifications.</w:t>
      </w:r>
      <w:r w:rsidR="00B85D7C">
        <w:rPr>
          <w:rFonts w:ascii="Times New Roman" w:hAnsi="Times New Roman"/>
          <w:b w:val="0"/>
          <w:sz w:val="22"/>
        </w:rPr>
        <w:t xml:space="preserve"> Refer to Exhibit 2 Response Criteria for required response format.</w:t>
      </w:r>
    </w:p>
    <w:p w14:paraId="33C33928" w14:textId="775A5958" w:rsidR="00262AB3" w:rsidRPr="001A4612" w:rsidRDefault="00262AB3" w:rsidP="009F52A4">
      <w:pPr>
        <w:pStyle w:val="ListParagraph"/>
        <w:spacing w:line="276" w:lineRule="auto"/>
        <w:ind w:left="2880"/>
        <w:jc w:val="center"/>
        <w:rPr>
          <w:rFonts w:ascii="Times New Roman" w:hAnsi="Times New Roman"/>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13D00C1B" w:rsidR="00B03A05" w:rsidRPr="001A4612" w:rsidRDefault="001E02DD" w:rsidP="00B03A05">
      <w:pPr>
        <w:pStyle w:val="ListParagraph"/>
        <w:numPr>
          <w:ilvl w:val="2"/>
          <w:numId w:val="10"/>
        </w:numPr>
        <w:spacing w:line="276" w:lineRule="auto"/>
        <w:jc w:val="both"/>
        <w:rPr>
          <w:rFonts w:ascii="Times New Roman" w:hAnsi="Times New Roman"/>
          <w:b w:val="0"/>
          <w:sz w:val="22"/>
        </w:rPr>
      </w:pPr>
      <w:r w:rsidRPr="001A4612">
        <w:rPr>
          <w:rFonts w:ascii="Times New Roman" w:hAnsi="Times New Roman" w:cs="Times New Roman"/>
          <w:b w:val="0"/>
          <w:sz w:val="22"/>
          <w:szCs w:val="22"/>
        </w:rPr>
        <w:t xml:space="preserve">As referenced in </w:t>
      </w:r>
      <w:r w:rsidR="000D59B8" w:rsidRPr="001A4612">
        <w:rPr>
          <w:rFonts w:ascii="Times New Roman" w:hAnsi="Times New Roman" w:cs="Times New Roman"/>
          <w:b w:val="0"/>
          <w:sz w:val="22"/>
          <w:szCs w:val="22"/>
        </w:rPr>
        <w:t>sub</w:t>
      </w:r>
      <w:r w:rsidRPr="001A4612">
        <w:rPr>
          <w:rFonts w:ascii="Times New Roman" w:hAnsi="Times New Roman" w:cs="Times New Roman"/>
          <w:b w:val="0"/>
          <w:sz w:val="22"/>
          <w:szCs w:val="22"/>
        </w:rPr>
        <w:t>section 8.2.H,</w:t>
      </w:r>
      <w:r w:rsidR="001D061B" w:rsidRPr="001A4612">
        <w:rPr>
          <w:rFonts w:ascii="Times New Roman" w:hAnsi="Times New Roman" w:cs="Times New Roman"/>
          <w:b w:val="0"/>
          <w:sz w:val="22"/>
          <w:szCs w:val="22"/>
        </w:rPr>
        <w:t xml:space="preserve"> a VPAT; </w:t>
      </w:r>
      <w:r w:rsidRPr="001A4612">
        <w:rPr>
          <w:rFonts w:ascii="Times New Roman" w:hAnsi="Times New Roman" w:cs="Times New Roman"/>
          <w:b w:val="0"/>
          <w:sz w:val="22"/>
          <w:szCs w:val="22"/>
        </w:rPr>
        <w:t>Security Certification</w:t>
      </w:r>
      <w:r w:rsidR="00B03A05" w:rsidRPr="001A4612">
        <w:rPr>
          <w:rFonts w:ascii="Times New Roman" w:hAnsi="Times New Roman" w:cs="Times New Roman"/>
          <w:b w:val="0"/>
          <w:sz w:val="22"/>
          <w:szCs w:val="22"/>
        </w:rPr>
        <w:t xml:space="preserve"> and Accreditation Assessment; service level agreements</w:t>
      </w:r>
      <w:r w:rsidR="001A4612" w:rsidRPr="001A4612">
        <w:rPr>
          <w:rFonts w:ascii="Times New Roman" w:hAnsi="Times New Roman" w:cs="Times New Roman"/>
          <w:b w:val="0"/>
          <w:sz w:val="22"/>
          <w:szCs w:val="22"/>
        </w:rPr>
        <w:t>,</w:t>
      </w:r>
      <w:r w:rsidR="00B03A05" w:rsidRPr="001A4612">
        <w:rPr>
          <w:rFonts w:ascii="Times New Roman" w:hAnsi="Times New Roman" w:cs="Times New Roman"/>
          <w:b w:val="0"/>
          <w:sz w:val="22"/>
          <w:szCs w:val="22"/>
        </w:rPr>
        <w:t xml:space="preserve"> including data migration from the existing system,</w:t>
      </w:r>
      <w:r w:rsidR="001A4612" w:rsidRPr="001A4612">
        <w:rPr>
          <w:rFonts w:ascii="Times New Roman" w:hAnsi="Times New Roman" w:cs="Times New Roman"/>
          <w:b w:val="0"/>
          <w:sz w:val="22"/>
          <w:szCs w:val="22"/>
        </w:rPr>
        <w:t xml:space="preserve"> if applicable, </w:t>
      </w:r>
      <w:r w:rsidR="00B03A05" w:rsidRPr="001A4612">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018B64C2" w:rsidR="0030769D" w:rsidRPr="004946CE" w:rsidRDefault="0030769D" w:rsidP="009A0E6B">
      <w:pPr>
        <w:pStyle w:val="ListParagraph"/>
        <w:numPr>
          <w:ilvl w:val="2"/>
          <w:numId w:val="10"/>
        </w:numPr>
        <w:spacing w:line="276" w:lineRule="auto"/>
        <w:rPr>
          <w:rFonts w:ascii="Times New Roman" w:hAnsi="Times New Roman" w:cs="Times New Roman"/>
          <w:sz w:val="22"/>
          <w:szCs w:val="22"/>
        </w:rPr>
      </w:pPr>
      <w:r w:rsidRPr="004946CE">
        <w:rPr>
          <w:rFonts w:ascii="Times New Roman" w:hAnsi="Times New Roman" w:cs="Times New Roman"/>
          <w:b w:val="0"/>
          <w:bCs/>
          <w:sz w:val="22"/>
          <w:szCs w:val="22"/>
        </w:rPr>
        <w:t xml:space="preserve">As referenced in subsection 8.2.I, pricing shall be proposed using the Exhibit </w:t>
      </w:r>
      <w:r w:rsidR="004946CE" w:rsidRPr="004946CE">
        <w:rPr>
          <w:rFonts w:ascii="Times New Roman" w:hAnsi="Times New Roman" w:cs="Times New Roman"/>
          <w:b w:val="0"/>
          <w:bCs/>
          <w:sz w:val="22"/>
          <w:szCs w:val="22"/>
        </w:rPr>
        <w:t xml:space="preserve">3 </w:t>
      </w:r>
      <w:r w:rsidRPr="004946CE">
        <w:rPr>
          <w:rFonts w:ascii="Times New Roman" w:hAnsi="Times New Roman" w:cs="Times New Roman"/>
          <w:b w:val="0"/>
          <w:bCs/>
          <w:sz w:val="22"/>
          <w:szCs w:val="22"/>
        </w:rPr>
        <w:t>Price.</w:t>
      </w:r>
    </w:p>
    <w:p w14:paraId="682A4040" w14:textId="431EB730" w:rsidR="00D333D4" w:rsidRPr="00667B12" w:rsidRDefault="009F52A4" w:rsidP="00667B12">
      <w:pPr>
        <w:pStyle w:val="ListParagraph"/>
        <w:jc w:val="center"/>
        <w:rPr>
          <w:rFonts w:ascii="Times New Roman" w:hAnsi="Times New Roman" w:cs="Times New Roman"/>
          <w:b w:val="0"/>
          <w:sz w:val="22"/>
          <w:szCs w:val="22"/>
        </w:rPr>
      </w:pPr>
      <w:r w:rsidRPr="004946CE">
        <w:rPr>
          <w:rFonts w:ascii="Times New Roman" w:hAnsi="Times New Roman"/>
          <w:b w:val="0"/>
          <w:sz w:val="22"/>
        </w:rPr>
        <w:tab/>
      </w:r>
      <w:r w:rsidRPr="004946CE">
        <w:rPr>
          <w:rFonts w:ascii="Times New Roman" w:hAnsi="Times New Roman"/>
          <w:b w:val="0"/>
          <w:sz w:val="22"/>
        </w:rPr>
        <w:tab/>
      </w:r>
      <w:r w:rsidRPr="004946CE">
        <w:rPr>
          <w:rFonts w:ascii="Times New Roman" w:hAnsi="Times New Roman"/>
          <w:b w:val="0"/>
          <w:sz w:val="22"/>
        </w:rPr>
        <w:tab/>
      </w:r>
    </w:p>
    <w:p w14:paraId="5E94D4DF" w14:textId="77777777" w:rsidR="004946CE" w:rsidRDefault="00342DC3" w:rsidP="009A0E6B">
      <w:pPr>
        <w:pStyle w:val="ListParagraph"/>
        <w:numPr>
          <w:ilvl w:val="2"/>
          <w:numId w:val="10"/>
        </w:numPr>
        <w:rPr>
          <w:rFonts w:ascii="Times New Roman" w:hAnsi="Times New Roman" w:cs="Times New Roman"/>
          <w:b w:val="0"/>
          <w:sz w:val="22"/>
          <w:szCs w:val="22"/>
        </w:rPr>
      </w:pPr>
      <w:r w:rsidRPr="004946CE">
        <w:rPr>
          <w:rFonts w:ascii="Times New Roman" w:hAnsi="Times New Roman" w:cs="Times New Roman"/>
          <w:b w:val="0"/>
          <w:sz w:val="22"/>
          <w:szCs w:val="22"/>
        </w:rPr>
        <w:t xml:space="preserve">As referenced in subsection 8.2.J,  value-added </w:t>
      </w:r>
      <w:r w:rsidR="00CF5083" w:rsidRPr="004946CE">
        <w:rPr>
          <w:rFonts w:ascii="Times New Roman" w:hAnsi="Times New Roman" w:cs="Times New Roman"/>
          <w:b w:val="0"/>
          <w:sz w:val="22"/>
          <w:szCs w:val="22"/>
        </w:rPr>
        <w:t xml:space="preserve">products and/or services </w:t>
      </w:r>
      <w:r w:rsidRPr="004946CE">
        <w:rPr>
          <w:rFonts w:ascii="Times New Roman" w:hAnsi="Times New Roman" w:cs="Times New Roman"/>
          <w:b w:val="0"/>
          <w:sz w:val="22"/>
          <w:szCs w:val="22"/>
        </w:rPr>
        <w:t xml:space="preserve">within scope of the Acquisition may be included in </w:t>
      </w:r>
      <w:r w:rsidR="00CF5083" w:rsidRPr="004946CE">
        <w:rPr>
          <w:rFonts w:ascii="Times New Roman" w:hAnsi="Times New Roman" w:cs="Times New Roman"/>
          <w:b w:val="0"/>
          <w:sz w:val="22"/>
          <w:szCs w:val="22"/>
        </w:rPr>
        <w:t>the</w:t>
      </w:r>
      <w:r w:rsidRPr="004946CE">
        <w:rPr>
          <w:rFonts w:ascii="Times New Roman" w:hAnsi="Times New Roman" w:cs="Times New Roman"/>
          <w:b w:val="0"/>
          <w:sz w:val="22"/>
          <w:szCs w:val="22"/>
        </w:rPr>
        <w:t xml:space="preserve"> Bid.</w:t>
      </w:r>
      <w:r w:rsidR="004946CE">
        <w:rPr>
          <w:rFonts w:ascii="Times New Roman" w:hAnsi="Times New Roman" w:cs="Times New Roman"/>
          <w:b w:val="0"/>
          <w:sz w:val="22"/>
          <w:szCs w:val="22"/>
        </w:rPr>
        <w:t xml:space="preserve"> Suppliers shall describe in detail each of the following that is available in proposed product(s). Added value shall be given for: </w:t>
      </w:r>
    </w:p>
    <w:p w14:paraId="653BA0F1" w14:textId="34822BD9"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The currency of titles included in the product(s) offered.</w:t>
      </w:r>
    </w:p>
    <w:p w14:paraId="3B9A3AFB" w14:textId="00D8F85B"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Lesser percentage of full-text embargoed titles.</w:t>
      </w:r>
    </w:p>
    <w:p w14:paraId="26D58B92" w14:textId="381F8F39"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High number of full-text titles with embargo periods less than six months.</w:t>
      </w:r>
    </w:p>
    <w:p w14:paraId="69583874" w14:textId="0E5AEC6B"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offering a higher percentage of full-text articles as compared to citation only.</w:t>
      </w:r>
    </w:p>
    <w:p w14:paraId="787AA0DD" w14:textId="11DADBAA"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that provide an online notation as to whether an article is available in full-text, abstract only, or citation only.</w:t>
      </w:r>
    </w:p>
    <w:p w14:paraId="137A3F9D" w14:textId="7A8410CD"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that note full-image and graphics indicators in the results list view.</w:t>
      </w:r>
    </w:p>
    <w:p w14:paraId="53E7314B" w14:textId="1F5C57D1"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High percentage of full-text titles with back files exceeding three (3) years.</w:t>
      </w:r>
    </w:p>
    <w:p w14:paraId="675ADA1E" w14:textId="2C0874BE"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A persistent URL that links to a webpage showing a list of available years and/or volume numbers for that title, rather than to a reverse chronological list of articles.</w:t>
      </w:r>
    </w:p>
    <w:p w14:paraId="236EA2DE" w14:textId="6C9AFD73"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Depth of subject coverage.</w:t>
      </w:r>
    </w:p>
    <w:p w14:paraId="666ADCB0" w14:textId="0C26FCD6"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Content also available in a language other than English.</w:t>
      </w:r>
    </w:p>
    <w:p w14:paraId="2CA13510" w14:textId="7F968297"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Delivery of full-text articles, abstracts or citations as PDF files, which can be downloaded or viewed with a web browser.</w:t>
      </w:r>
    </w:p>
    <w:p w14:paraId="3F7D7A95" w14:textId="6A419501"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Online, HTML-based or video-streamed product tutorials.</w:t>
      </w:r>
    </w:p>
    <w:p w14:paraId="4BD482D1" w14:textId="25DCEE83"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Training offered via live webcast.</w:t>
      </w:r>
    </w:p>
    <w:p w14:paraId="32AB59DA" w14:textId="146746B5"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Online user manuals and guides.</w:t>
      </w:r>
    </w:p>
    <w:p w14:paraId="72A2D66F" w14:textId="273A5B52"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Context sensitive online help.</w:t>
      </w:r>
    </w:p>
    <w:p w14:paraId="6C096326" w14:textId="762379F1"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that provides simple and advanced searching capabilities.</w:t>
      </w:r>
    </w:p>
    <w:p w14:paraId="3F2D8857" w14:textId="1D28685F"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Natural language searching</w:t>
      </w:r>
    </w:p>
    <w:p w14:paraId="50D43BDC" w14:textId="55CE09FA"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Search that ignores case sensitivity.</w:t>
      </w:r>
    </w:p>
    <w:p w14:paraId="790940FC" w14:textId="73DBB88F"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Spell-check functionality when initiating searches.</w:t>
      </w:r>
    </w:p>
    <w:p w14:paraId="730EEA1F" w14:textId="71B422E2"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Product(s) that provides the capability for e-mailing search results to users.</w:t>
      </w:r>
    </w:p>
    <w:p w14:paraId="1E389ABB" w14:textId="5C335A22"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Alerting service that provides e-mail alerts from Supplier for user-saved searches and results.</w:t>
      </w:r>
    </w:p>
    <w:p w14:paraId="7C94A7F6" w14:textId="3E7B9642"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Average response time to user queries during 7:00 am – 7:00 pm, for the month of January 202</w:t>
      </w:r>
      <w:r w:rsidR="006703EF">
        <w:rPr>
          <w:rFonts w:ascii="Times New Roman" w:hAnsi="Times New Roman" w:cs="Times New Roman"/>
          <w:b w:val="0"/>
          <w:sz w:val="22"/>
          <w:szCs w:val="22"/>
        </w:rPr>
        <w:t>2</w:t>
      </w:r>
      <w:r w:rsidRPr="004946CE">
        <w:rPr>
          <w:rFonts w:ascii="Times New Roman" w:hAnsi="Times New Roman" w:cs="Times New Roman"/>
          <w:b w:val="0"/>
          <w:sz w:val="22"/>
          <w:szCs w:val="22"/>
        </w:rPr>
        <w:t xml:space="preserve"> is less than 5 seconds. Suppliers shall supply this statistic in their response to be considered for added value.</w:t>
      </w:r>
    </w:p>
    <w:p w14:paraId="6DFC72C3" w14:textId="5E0CAF7D"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Interface(s) that provide the ability to conduct and retain searches across multiple databases.</w:t>
      </w:r>
    </w:p>
    <w:p w14:paraId="08CBA059" w14:textId="704C1F81"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Product(s) that provides the ability for individual institutions to indicate their local periodical holdings. Suppliers shall describe the process required for institutions to link their individual holdings to the Suppliers’ products to be considered for added value.</w:t>
      </w:r>
    </w:p>
    <w:p w14:paraId="06D33367" w14:textId="49087C1E"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Ability to provide real time look-up in local Online Public Access Catalog (OPAC).</w:t>
      </w:r>
    </w:p>
    <w:p w14:paraId="6F67AB51" w14:textId="601FED31"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Product(s) that incorporate the ability to support locally customizable user online interlibrary loan and document delivery requests.</w:t>
      </w:r>
    </w:p>
    <w:p w14:paraId="77242567" w14:textId="7267274A"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Proposals that provide discounts for member libraries that procure additional Supplier product(s), expand coverage, or increase functionality of the statewide license.</w:t>
      </w:r>
    </w:p>
    <w:p w14:paraId="40BBDEAC" w14:textId="35CDD6A8"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Online registration process for enrolling new, participating organizations.</w:t>
      </w:r>
    </w:p>
    <w:p w14:paraId="025A48E0" w14:textId="77777777" w:rsidR="004946CE" w:rsidRPr="004946CE" w:rsidRDefault="004946CE" w:rsidP="004946CE">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lastRenderedPageBreak/>
        <w:t>a) Suppliers shall indicate the frequency of notification of new participant registration to the Oklahoma Department of Libraries:</w:t>
      </w:r>
    </w:p>
    <w:p w14:paraId="5CAA6B6D"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 Semi-annually</w:t>
      </w:r>
    </w:p>
    <w:p w14:paraId="10E81B54"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 Quarterly</w:t>
      </w:r>
    </w:p>
    <w:p w14:paraId="336D311F"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iii) Monthly</w:t>
      </w:r>
    </w:p>
    <w:p w14:paraId="7F02304C"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iv) Weekly</w:t>
      </w:r>
    </w:p>
    <w:p w14:paraId="1203E31A"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v) Immediately upon completion/verification of registration</w:t>
      </w:r>
    </w:p>
    <w:p w14:paraId="3A2C09ED" w14:textId="77777777" w:rsidR="004946CE" w:rsidRPr="004946CE" w:rsidRDefault="004946CE" w:rsidP="004946CE">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b) Suppliers shall indicate the frequency at which a Supplier-generated, consolidated list of participants shall be provided to the Oklahoma Department of Libraries:</w:t>
      </w:r>
    </w:p>
    <w:p w14:paraId="4685ACC1"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 Annually</w:t>
      </w:r>
    </w:p>
    <w:p w14:paraId="114131EC"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 Semi-annually</w:t>
      </w:r>
    </w:p>
    <w:p w14:paraId="0D24DAFE"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iii) Quarterly</w:t>
      </w:r>
    </w:p>
    <w:p w14:paraId="59F1F4D9"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iv) Monthly</w:t>
      </w:r>
    </w:p>
    <w:p w14:paraId="324B19FA" w14:textId="77777777" w:rsidR="004946CE" w:rsidRPr="004946CE" w:rsidRDefault="004946CE" w:rsidP="004946CE">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c) Suppliers shall indicate the length of time it takes to eliminate duplicate registrations:</w:t>
      </w:r>
    </w:p>
    <w:p w14:paraId="063049F1"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 Within a month of registration</w:t>
      </w:r>
    </w:p>
    <w:p w14:paraId="059145EC"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 Within a week of registration</w:t>
      </w:r>
    </w:p>
    <w:p w14:paraId="31341805"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iii) Eliminated at time of registration</w:t>
      </w:r>
    </w:p>
    <w:p w14:paraId="368A54E1" w14:textId="33444000" w:rsidR="004946CE" w:rsidRPr="00A43873" w:rsidRDefault="004946CE" w:rsidP="00A43873">
      <w:pPr>
        <w:pStyle w:val="ListParagraph"/>
        <w:numPr>
          <w:ilvl w:val="3"/>
          <w:numId w:val="21"/>
        </w:numPr>
        <w:jc w:val="both"/>
        <w:rPr>
          <w:rFonts w:ascii="Times New Roman" w:hAnsi="Times New Roman"/>
          <w:b w:val="0"/>
          <w:bCs/>
          <w:sz w:val="22"/>
          <w:szCs w:val="22"/>
        </w:rPr>
      </w:pPr>
      <w:r w:rsidRPr="00A43873">
        <w:rPr>
          <w:rFonts w:ascii="Times New Roman" w:hAnsi="Times New Roman"/>
          <w:b w:val="0"/>
          <w:bCs/>
          <w:sz w:val="22"/>
          <w:szCs w:val="22"/>
        </w:rPr>
        <w:t>A process to auto-enroll libraries that are not registered for current products, if possible.</w:t>
      </w:r>
    </w:p>
    <w:p w14:paraId="00E37B15" w14:textId="516CA52B" w:rsidR="004946CE" w:rsidRPr="00A43873" w:rsidRDefault="004946CE" w:rsidP="00A43873">
      <w:pPr>
        <w:pStyle w:val="ListParagraph"/>
        <w:numPr>
          <w:ilvl w:val="3"/>
          <w:numId w:val="21"/>
        </w:numPr>
        <w:jc w:val="both"/>
        <w:rPr>
          <w:rFonts w:ascii="Times New Roman" w:eastAsiaTheme="minorHAnsi" w:hAnsi="Times New Roman" w:cstheme="minorBidi"/>
          <w:b w:val="0"/>
          <w:bCs/>
          <w:sz w:val="22"/>
          <w:szCs w:val="22"/>
        </w:rPr>
      </w:pPr>
      <w:r w:rsidRPr="00A43873">
        <w:rPr>
          <w:rFonts w:ascii="Times New Roman" w:hAnsi="Times New Roman"/>
          <w:b w:val="0"/>
          <w:bCs/>
          <w:sz w:val="22"/>
          <w:szCs w:val="22"/>
        </w:rPr>
        <w:t>Optional usage reports that may be scheduled automatically and distributed via e-mail      to each participating library. Examples of reports include in-house vs. remote users; time of day/day of the week; and category of users.</w:t>
      </w:r>
    </w:p>
    <w:p w14:paraId="31F58C9A" w14:textId="75B3B317" w:rsidR="004946CE" w:rsidRPr="00A43873" w:rsidRDefault="004946CE" w:rsidP="00A43873">
      <w:pPr>
        <w:pStyle w:val="ListParagraph"/>
        <w:numPr>
          <w:ilvl w:val="3"/>
          <w:numId w:val="21"/>
        </w:numPr>
        <w:jc w:val="both"/>
        <w:rPr>
          <w:rFonts w:ascii="Times New Roman" w:hAnsi="Times New Roman"/>
          <w:b w:val="0"/>
          <w:bCs/>
          <w:sz w:val="22"/>
          <w:szCs w:val="22"/>
        </w:rPr>
      </w:pPr>
      <w:r w:rsidRPr="00A43873">
        <w:rPr>
          <w:rFonts w:ascii="Times New Roman" w:hAnsi="Times New Roman"/>
          <w:b w:val="0"/>
          <w:bCs/>
          <w:sz w:val="22"/>
          <w:szCs w:val="22"/>
        </w:rPr>
        <w:t>Ability for multiple recipients of a registered library to receive usage reports via e-mail.</w:t>
      </w:r>
    </w:p>
    <w:p w14:paraId="341FBDB9" w14:textId="257CBF36" w:rsidR="004946CE" w:rsidRPr="00A43873" w:rsidRDefault="004946CE" w:rsidP="00A43873">
      <w:pPr>
        <w:pStyle w:val="ListParagraph"/>
        <w:numPr>
          <w:ilvl w:val="3"/>
          <w:numId w:val="21"/>
        </w:numPr>
        <w:jc w:val="both"/>
        <w:rPr>
          <w:rFonts w:ascii="Times New Roman" w:hAnsi="Times New Roman"/>
          <w:b w:val="0"/>
          <w:bCs/>
          <w:sz w:val="22"/>
          <w:szCs w:val="22"/>
        </w:rPr>
      </w:pPr>
      <w:r w:rsidRPr="00A43873">
        <w:rPr>
          <w:rFonts w:ascii="Times New Roman" w:hAnsi="Times New Roman"/>
          <w:b w:val="0"/>
          <w:bCs/>
          <w:sz w:val="22"/>
          <w:szCs w:val="22"/>
        </w:rPr>
        <w:t>Availability of archived usage data for the life of the contract, retrievable by individual participating libraries.</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3E3C087E" w14:textId="4A6BDE07" w:rsidR="00F9259C" w:rsidRPr="00A43873" w:rsidRDefault="005512F6" w:rsidP="009A0E6B">
      <w:pPr>
        <w:pStyle w:val="ListParagraph"/>
        <w:numPr>
          <w:ilvl w:val="2"/>
          <w:numId w:val="10"/>
        </w:numPr>
        <w:jc w:val="both"/>
        <w:rPr>
          <w:rFonts w:ascii="Times New Roman" w:hAnsi="Times New Roman" w:cs="Times New Roman"/>
          <w:b w:val="0"/>
          <w:sz w:val="22"/>
          <w:szCs w:val="22"/>
        </w:rPr>
      </w:pPr>
      <w:r w:rsidRPr="00A43873">
        <w:rPr>
          <w:rFonts w:ascii="Times New Roman" w:hAnsi="Times New Roman" w:cs="Times New Roman"/>
          <w:b w:val="0"/>
          <w:sz w:val="22"/>
          <w:szCs w:val="22"/>
        </w:rPr>
        <w:t>As referenced in subsection 8.2.K, t</w:t>
      </w:r>
      <w:r w:rsidR="00F9259C" w:rsidRPr="00A43873">
        <w:rPr>
          <w:rFonts w:ascii="Times New Roman" w:hAnsi="Times New Roman" w:cs="Times New Roman"/>
          <w:b w:val="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19FD2672" w:rsidR="001E7883" w:rsidRDefault="005512F6" w:rsidP="009A0E6B">
      <w:pPr>
        <w:pStyle w:val="ListParagraph"/>
        <w:numPr>
          <w:ilvl w:val="2"/>
          <w:numId w:val="10"/>
        </w:numPr>
        <w:rPr>
          <w:rFonts w:ascii="Times New Roman" w:hAnsi="Times New Roman" w:cs="Times New Roman"/>
          <w:b w:val="0"/>
          <w:sz w:val="22"/>
          <w:szCs w:val="22"/>
        </w:rPr>
      </w:pPr>
      <w:r w:rsidRPr="00A43873">
        <w:rPr>
          <w:rFonts w:ascii="Times New Roman" w:hAnsi="Times New Roman" w:cs="Times New Roman"/>
          <w:b w:val="0"/>
          <w:sz w:val="22"/>
          <w:szCs w:val="22"/>
        </w:rPr>
        <w:t xml:space="preserve">As referenced in subsection 8.2.L, </w:t>
      </w:r>
      <w:r w:rsidR="00A43873" w:rsidRPr="00A43873">
        <w:rPr>
          <w:rFonts w:ascii="Times New Roman" w:hAnsi="Times New Roman" w:cs="Times New Roman"/>
          <w:b w:val="0"/>
          <w:sz w:val="22"/>
          <w:szCs w:val="22"/>
        </w:rPr>
        <w:t>all responding suppliers shall provide project references, including at least three projects of similar scope to this RFP for which they are currently contracted. Suppliers shall include a reference for at least one statewide licensed database project. The statewide license shall have been in effect for at least twenty-four months.</w:t>
      </w:r>
    </w:p>
    <w:p w14:paraId="1FB8904C" w14:textId="77777777" w:rsidR="00A43873" w:rsidRDefault="00A43873" w:rsidP="00A43873">
      <w:pPr>
        <w:pStyle w:val="ListParagraph"/>
        <w:ind w:left="2880"/>
        <w:rPr>
          <w:rFonts w:ascii="Times New Roman" w:hAnsi="Times New Roman" w:cs="Times New Roman"/>
          <w:b w:val="0"/>
          <w:sz w:val="22"/>
          <w:szCs w:val="22"/>
        </w:rPr>
      </w:pPr>
    </w:p>
    <w:p w14:paraId="67569B42" w14:textId="14F961B9" w:rsidR="00A43873" w:rsidRPr="00A43873" w:rsidRDefault="00A43873" w:rsidP="00A43873">
      <w:pPr>
        <w:pStyle w:val="ListParagraph"/>
        <w:ind w:left="2880"/>
        <w:rPr>
          <w:rFonts w:ascii="Times New Roman" w:hAnsi="Times New Roman" w:cs="Times New Roman"/>
          <w:b w:val="0"/>
          <w:sz w:val="22"/>
          <w:szCs w:val="22"/>
        </w:rPr>
      </w:pPr>
      <w:r w:rsidRPr="00A43873">
        <w:rPr>
          <w:rFonts w:ascii="Times New Roman" w:hAnsi="Times New Roman" w:cs="Times New Roman"/>
          <w:b w:val="0"/>
          <w:sz w:val="22"/>
          <w:szCs w:val="22"/>
        </w:rPr>
        <w:t>References provided must contain a contact person with full contact information (i.e., current employer, telephone number, mailing address, and e-mail address).</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A43873" w:rsidRDefault="005512F6" w:rsidP="009A0E6B">
      <w:pPr>
        <w:pStyle w:val="ListParagraph"/>
        <w:numPr>
          <w:ilvl w:val="2"/>
          <w:numId w:val="10"/>
        </w:numPr>
        <w:jc w:val="both"/>
        <w:rPr>
          <w:rFonts w:ascii="Times New Roman" w:hAnsi="Times New Roman" w:cs="Times New Roman"/>
          <w:b w:val="0"/>
          <w:sz w:val="22"/>
          <w:szCs w:val="22"/>
        </w:rPr>
      </w:pPr>
      <w:r w:rsidRPr="00A43873">
        <w:rPr>
          <w:rFonts w:ascii="Times New Roman" w:hAnsi="Times New Roman" w:cs="Times New Roman"/>
          <w:b w:val="0"/>
          <w:sz w:val="22"/>
          <w:szCs w:val="22"/>
        </w:rPr>
        <w:t>As referenced in subsection 8.2.M, t</w:t>
      </w:r>
      <w:r w:rsidR="00F9259C" w:rsidRPr="00A43873">
        <w:rPr>
          <w:rFonts w:ascii="Times New Roman" w:hAnsi="Times New Roman" w:cs="Times New Roman"/>
          <w:b w:val="0"/>
          <w:sz w:val="22"/>
          <w:szCs w:val="22"/>
        </w:rPr>
        <w:t>he following additional company information is required to be included in the Bid:</w:t>
      </w:r>
    </w:p>
    <w:p w14:paraId="2E2586E2" w14:textId="77777777" w:rsidR="00F9259C" w:rsidRPr="00A43873"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Length of time the Bidder has been in business;</w:t>
      </w:r>
    </w:p>
    <w:p w14:paraId="5202B3E1"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A brief description of the company;</w:t>
      </w:r>
    </w:p>
    <w:p w14:paraId="4CBBA4DD"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Company size and organization;</w:t>
      </w:r>
    </w:p>
    <w:p w14:paraId="55B0A23A" w14:textId="617D0890"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 xml:space="preserve">The number of years the Bidder has been providing </w:t>
      </w:r>
      <w:r w:rsidR="00CF5083" w:rsidRPr="00A43873">
        <w:rPr>
          <w:rFonts w:ascii="Times New Roman" w:hAnsi="Times New Roman" w:cs="Times New Roman"/>
          <w:b w:val="0"/>
          <w:sz w:val="22"/>
          <w:szCs w:val="22"/>
        </w:rPr>
        <w:t xml:space="preserve">products and/or services </w:t>
      </w:r>
      <w:r w:rsidRPr="00A43873">
        <w:rPr>
          <w:rFonts w:ascii="Times New Roman" w:hAnsi="Times New Roman" w:cs="Times New Roman"/>
          <w:b w:val="0"/>
          <w:sz w:val="22"/>
          <w:szCs w:val="22"/>
        </w:rPr>
        <w:t>of the type requested;</w:t>
      </w:r>
    </w:p>
    <w:p w14:paraId="3B69640B" w14:textId="50E69083" w:rsidR="00F9259C" w:rsidRPr="00A43873" w:rsidRDefault="00F9259C" w:rsidP="00A43873">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The core competency of the company ;</w:t>
      </w:r>
    </w:p>
    <w:p w14:paraId="552FC2AD"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Number of employees allocated strictly for support;</w:t>
      </w:r>
    </w:p>
    <w:p w14:paraId="0BB9D05A" w14:textId="35F9FB38"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43873">
        <w:rPr>
          <w:rFonts w:ascii="Times New Roman" w:hAnsi="Times New Roman" w:cs="Times New Roman"/>
          <w:b w:val="0"/>
          <w:sz w:val="22"/>
          <w:szCs w:val="22"/>
        </w:rPr>
        <w:t>Locations where the Bidder’s solution has been deployed</w:t>
      </w:r>
      <w:r w:rsidRPr="00AD076D">
        <w:rPr>
          <w:rFonts w:ascii="Times New Roman" w:hAnsi="Times New Roman" w:cs="Times New Roman"/>
          <w:b w:val="0"/>
          <w:color w:val="FF0000"/>
          <w:sz w:val="22"/>
          <w:szCs w:val="22"/>
        </w:rPr>
        <w:t>.</w:t>
      </w:r>
    </w:p>
    <w:p w14:paraId="2CAFEA3B" w14:textId="4420BF9B" w:rsidR="00360649" w:rsidRDefault="00360649" w:rsidP="000F682D">
      <w:pPr>
        <w:pStyle w:val="ListParagraph"/>
        <w:spacing w:line="276" w:lineRule="auto"/>
        <w:ind w:left="2880"/>
        <w:jc w:val="both"/>
        <w:rPr>
          <w:rFonts w:ascii="Times New Roman" w:hAnsi="Times New Roman"/>
          <w:b w:val="0"/>
          <w:color w:val="FF0000"/>
          <w:sz w:val="22"/>
        </w:rPr>
      </w:pPr>
    </w:p>
    <w:p w14:paraId="37636504" w14:textId="77777777" w:rsidR="00360649" w:rsidRPr="009A0E6B" w:rsidRDefault="00360649"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w:t>
      </w:r>
      <w:r w:rsidR="00D941AC">
        <w:rPr>
          <w:rFonts w:ascii="Times New Roman" w:hAnsi="Times New Roman" w:cs="Times New Roman"/>
          <w:b w:val="0"/>
          <w:sz w:val="22"/>
          <w:szCs w:val="22"/>
        </w:rPr>
        <w:lastRenderedPageBreak/>
        <w:t xml:space="preserve">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3C28D360"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2ECD7BEA"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40E05666"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0C9D779B"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607BE1D"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1C4F900C"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1BF46046"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776C" w14:textId="77777777" w:rsidR="00A93218" w:rsidRDefault="00A93218" w:rsidP="003A1DD0">
      <w:pPr>
        <w:spacing w:after="0" w:line="240" w:lineRule="auto"/>
      </w:pPr>
      <w:r>
        <w:separator/>
      </w:r>
    </w:p>
  </w:endnote>
  <w:endnote w:type="continuationSeparator" w:id="0">
    <w:p w14:paraId="78444F42" w14:textId="77777777" w:rsidR="00A93218" w:rsidRDefault="00A93218" w:rsidP="003A1DD0">
      <w:pPr>
        <w:spacing w:after="0" w:line="240" w:lineRule="auto"/>
      </w:pPr>
      <w:r>
        <w:continuationSeparator/>
      </w:r>
    </w:p>
  </w:endnote>
  <w:endnote w:type="continuationNotice" w:id="1">
    <w:p w14:paraId="24C73652" w14:textId="77777777" w:rsidR="00A93218" w:rsidRDefault="00A93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D2C" w14:textId="77777777" w:rsidR="00A93218" w:rsidRDefault="00A93218" w:rsidP="003A1DD0">
      <w:pPr>
        <w:spacing w:after="0" w:line="240" w:lineRule="auto"/>
      </w:pPr>
      <w:r>
        <w:separator/>
      </w:r>
    </w:p>
  </w:footnote>
  <w:footnote w:type="continuationSeparator" w:id="0">
    <w:p w14:paraId="1B4BE7F2" w14:textId="77777777" w:rsidR="00A93218" w:rsidRDefault="00A93218" w:rsidP="003A1DD0">
      <w:pPr>
        <w:spacing w:after="0" w:line="240" w:lineRule="auto"/>
      </w:pPr>
      <w:r>
        <w:continuationSeparator/>
      </w:r>
    </w:p>
  </w:footnote>
  <w:footnote w:type="continuationNotice" w:id="1">
    <w:p w14:paraId="153C5F44" w14:textId="77777777" w:rsidR="00A93218" w:rsidRDefault="00A93218">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1B7A84"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1B7A84">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1B7A84">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C51AFAA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bCs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054CD"/>
    <w:multiLevelType w:val="hybridMultilevel"/>
    <w:tmpl w:val="0974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E6B43C8"/>
    <w:multiLevelType w:val="hybridMultilevel"/>
    <w:tmpl w:val="C6AC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9"/>
  </w:num>
  <w:num w:numId="13">
    <w:abstractNumId w:val="4"/>
  </w:num>
  <w:num w:numId="14">
    <w:abstractNumId w:val="14"/>
  </w:num>
  <w:num w:numId="15">
    <w:abstractNumId w:val="20"/>
  </w:num>
  <w:num w:numId="16">
    <w:abstractNumId w:val="9"/>
  </w:num>
  <w:num w:numId="17">
    <w:abstractNumId w:val="2"/>
  </w:num>
  <w:num w:numId="18">
    <w:abstractNumId w:val="17"/>
  </w:num>
  <w:num w:numId="19">
    <w:abstractNumId w:val="8"/>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20A27"/>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A4612"/>
    <w:rsid w:val="001B2841"/>
    <w:rsid w:val="001B2A4A"/>
    <w:rsid w:val="001B4FF1"/>
    <w:rsid w:val="001B55F3"/>
    <w:rsid w:val="001B64AA"/>
    <w:rsid w:val="001B6BB3"/>
    <w:rsid w:val="001B7A84"/>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0A3"/>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4772"/>
    <w:rsid w:val="00356B5D"/>
    <w:rsid w:val="00356F18"/>
    <w:rsid w:val="00360649"/>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D557B"/>
    <w:rsid w:val="003E2A4F"/>
    <w:rsid w:val="003E3A73"/>
    <w:rsid w:val="003E49CD"/>
    <w:rsid w:val="003E79CC"/>
    <w:rsid w:val="003F1D73"/>
    <w:rsid w:val="003F47EA"/>
    <w:rsid w:val="003F523B"/>
    <w:rsid w:val="003F5C5B"/>
    <w:rsid w:val="003F5E37"/>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46CE"/>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02F"/>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37BDB"/>
    <w:rsid w:val="006410A1"/>
    <w:rsid w:val="00641652"/>
    <w:rsid w:val="00641E6F"/>
    <w:rsid w:val="00643983"/>
    <w:rsid w:val="00646002"/>
    <w:rsid w:val="0064664D"/>
    <w:rsid w:val="006468E3"/>
    <w:rsid w:val="006612E5"/>
    <w:rsid w:val="006648A1"/>
    <w:rsid w:val="00664F76"/>
    <w:rsid w:val="00667B12"/>
    <w:rsid w:val="006703EF"/>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1EBB"/>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15C0A"/>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0335"/>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873"/>
    <w:rsid w:val="00A43E35"/>
    <w:rsid w:val="00A50CDA"/>
    <w:rsid w:val="00A61EED"/>
    <w:rsid w:val="00A72D68"/>
    <w:rsid w:val="00A730AB"/>
    <w:rsid w:val="00A751E2"/>
    <w:rsid w:val="00A7752E"/>
    <w:rsid w:val="00A825F7"/>
    <w:rsid w:val="00A84095"/>
    <w:rsid w:val="00A901BA"/>
    <w:rsid w:val="00A91211"/>
    <w:rsid w:val="00A91351"/>
    <w:rsid w:val="00A93218"/>
    <w:rsid w:val="00AA1D46"/>
    <w:rsid w:val="00AB1759"/>
    <w:rsid w:val="00AB47B8"/>
    <w:rsid w:val="00AB66EB"/>
    <w:rsid w:val="00AC010F"/>
    <w:rsid w:val="00AC0ADB"/>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5D7C"/>
    <w:rsid w:val="00B87782"/>
    <w:rsid w:val="00B92EB3"/>
    <w:rsid w:val="00BA0F18"/>
    <w:rsid w:val="00BA14E0"/>
    <w:rsid w:val="00BA50BF"/>
    <w:rsid w:val="00BA6F03"/>
    <w:rsid w:val="00BA73CF"/>
    <w:rsid w:val="00BB4C30"/>
    <w:rsid w:val="00BC0E40"/>
    <w:rsid w:val="00BC76EA"/>
    <w:rsid w:val="00BC7922"/>
    <w:rsid w:val="00BD2DC9"/>
    <w:rsid w:val="00BD3BDE"/>
    <w:rsid w:val="00BD6CC1"/>
    <w:rsid w:val="00BD6E46"/>
    <w:rsid w:val="00BD7371"/>
    <w:rsid w:val="00BF3F9A"/>
    <w:rsid w:val="00BF5BE9"/>
    <w:rsid w:val="00C00734"/>
    <w:rsid w:val="00C030A1"/>
    <w:rsid w:val="00C04AF3"/>
    <w:rsid w:val="00C04C92"/>
    <w:rsid w:val="00C12875"/>
    <w:rsid w:val="00C13046"/>
    <w:rsid w:val="00C14152"/>
    <w:rsid w:val="00C2243E"/>
    <w:rsid w:val="00C23417"/>
    <w:rsid w:val="00C25F90"/>
    <w:rsid w:val="00C30F03"/>
    <w:rsid w:val="00C329E3"/>
    <w:rsid w:val="00C35F79"/>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66EBCB6E42094098AC6ED5A63D6E3D" ma:contentTypeVersion="12" ma:contentTypeDescription="Create a new document." ma:contentTypeScope="" ma:versionID="7584212a1e18572eded73d012d7dfcbc">
  <xsd:schema xmlns:xsd="http://www.w3.org/2001/XMLSchema" xmlns:xs="http://www.w3.org/2001/XMLSchema" xmlns:p="http://schemas.microsoft.com/office/2006/metadata/properties" xmlns:ns1="http://schemas.microsoft.com/sharepoint/v3" xmlns:ns2="82deae4e-ba78-4b81-b41b-82a44a87bd5f" xmlns:ns3="14a2f38a-37be-473a-ad6b-9b4d22ce1782" targetNamespace="http://schemas.microsoft.com/office/2006/metadata/properties" ma:root="true" ma:fieldsID="5463ec3548d36dae6acc986f9bb2efd9" ns1:_="" ns2:_="" ns3:_="">
    <xsd:import namespace="http://schemas.microsoft.com/sharepoint/v3"/>
    <xsd:import namespace="82deae4e-ba78-4b81-b41b-82a44a87bd5f"/>
    <xsd:import namespace="14a2f38a-37be-473a-ad6b-9b4d22ce1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eae4e-ba78-4b81-b41b-82a44a87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f38a-37be-473a-ad6b-9b4d22ce1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13a41b2-61a8-481c-83b0-3f02c82adac3}" ma:internalName="TaxCatchAll" ma:showField="CatchAllData" ma:web="14a2f38a-37be-473a-ad6b-9b4d22ce1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2deae4e-ba78-4b81-b41b-82a44a87bd5f">
      <Terms xmlns="http://schemas.microsoft.com/office/infopath/2007/PartnerControls"/>
    </lcf76f155ced4ddcb4097134ff3c332f>
    <TaxCatchAll xmlns="14a2f38a-37be-473a-ad6b-9b4d22ce1782" xsi:nil="true"/>
  </documentManagement>
</p:properties>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3.xml><?xml version="1.0" encoding="utf-8"?>
<ds:datastoreItem xmlns:ds="http://schemas.openxmlformats.org/officeDocument/2006/customXml" ds:itemID="{7462AEFF-83C9-4564-9607-E75C1C1F8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deae4e-ba78-4b81-b41b-82a44a87bd5f"/>
    <ds:schemaRef ds:uri="14a2f38a-37be-473a-ad6b-9b4d22ce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 ds:uri="82deae4e-ba78-4b81-b41b-82a44a87bd5f"/>
    <ds:schemaRef ds:uri="14a2f38a-37be-473a-ad6b-9b4d22ce178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4</cp:revision>
  <cp:lastPrinted>2022-04-19T19:31:00Z</cp:lastPrinted>
  <dcterms:created xsi:type="dcterms:W3CDTF">2022-06-20T21:10:00Z</dcterms:created>
  <dcterms:modified xsi:type="dcterms:W3CDTF">2022-06-21T13:13:00Z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0x0101008566EBCB6E42094098AC6ED5A63D6E3D</vt:lpwstr>
  </property>
  <property fmtid="{D5CDD505-2E9C-101B-9397-08002B2CF9AE}" pid="4" name="MediaServiceImageTags">
    <vt:lpwstr/>
  </property>
</Properties>
</file>