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8"/>
        <w:gridCol w:w="346"/>
        <w:gridCol w:w="903"/>
        <w:gridCol w:w="1206"/>
        <w:gridCol w:w="1761"/>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77DE2601" w:rsidR="00977E0D" w:rsidRDefault="006A16FF" w:rsidP="00680721">
            <w:pPr>
              <w:spacing w:beforeLines="50" w:before="120"/>
            </w:pPr>
            <w:r>
              <w:t>11/28/22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0E0FE188" w:rsidR="00977E0D" w:rsidRDefault="006A16FF" w:rsidP="00680721">
            <w:pPr>
              <w:spacing w:beforeLines="50" w:before="120"/>
            </w:pPr>
            <w:r>
              <w:t>3400001761</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3582BE7A" w:rsidR="00977E0D" w:rsidRDefault="006A16FF" w:rsidP="00680721">
            <w:pPr>
              <w:spacing w:beforeLines="50" w:before="120"/>
            </w:pPr>
            <w:r>
              <w:t>3400023792</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5FA666B6" w:rsidR="00977E0D" w:rsidRDefault="006A16FF"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17E61E49" w:rsidR="003A36FF" w:rsidRDefault="006A16FF"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E24A7F">
              <w:fldChar w:fldCharType="separate"/>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E24A7F">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this document s</w:t>
            </w:r>
            <w:bookmarkStart w:id="5" w:name="_GoBack"/>
            <w:bookmarkEnd w:id="5"/>
            <w:r>
              <w:t xml:space="preserve">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F83DC53" w:rsidR="00001ACA" w:rsidRDefault="00001ACA" w:rsidP="00001ACA">
            <w:pPr>
              <w:spacing w:beforeLines="50" w:before="120"/>
            </w:pPr>
            <w:r>
              <w:t xml:space="preserve">(405) </w:t>
            </w:r>
            <w:r w:rsidR="002E7E29">
              <w:t>521-</w:t>
            </w:r>
            <w:r w:rsidR="006A16FF">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37657C41"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QA period, which closed </w:t>
            </w:r>
            <w:proofErr w:type="gramStart"/>
            <w:r w:rsidR="003579D8">
              <w:t xml:space="preserve">on  </w:t>
            </w:r>
            <w:r w:rsidR="006A16FF">
              <w:t>11</w:t>
            </w:r>
            <w:proofErr w:type="gramEnd"/>
            <w:r w:rsidR="006A16FF">
              <w:t>/21/2022</w:t>
            </w:r>
            <w:r>
              <w:t>. All questions and procurement/agency responses are detailed below:</w:t>
            </w:r>
          </w:p>
          <w:p w14:paraId="39ABE703" w14:textId="77777777" w:rsidR="001608C3" w:rsidRDefault="001608C3" w:rsidP="00876736">
            <w:pPr>
              <w:spacing w:beforeLines="50" w:before="120"/>
            </w:pPr>
          </w:p>
          <w:p w14:paraId="14517565" w14:textId="77777777" w:rsidR="001C34D5" w:rsidRDefault="001C34D5" w:rsidP="001C34D5">
            <w:r>
              <w:t xml:space="preserve">Q1.)  We participated in an IDIQ response to the State a couple of months back.  Is this part of that review or a standalone need that the State has?  There was a contracting vehicle as a part of that request, so we just wanted to understand how “all the dots” connect.  </w:t>
            </w:r>
          </w:p>
          <w:p w14:paraId="14115200" w14:textId="77777777" w:rsidR="001C34D5" w:rsidRDefault="001C34D5" w:rsidP="001C34D5">
            <w:pPr>
              <w:rPr>
                <w:color w:val="1F497D"/>
              </w:rPr>
            </w:pPr>
            <w:r>
              <w:rPr>
                <w:color w:val="1F497D"/>
              </w:rPr>
              <w:t>          </w:t>
            </w:r>
            <w:r w:rsidRPr="00BE7588">
              <w:rPr>
                <w:color w:val="365F91" w:themeColor="accent1" w:themeShade="BF"/>
              </w:rPr>
              <w:t xml:space="preserve">  A1.) </w:t>
            </w:r>
            <w:r>
              <w:rPr>
                <w:color w:val="1F497D"/>
              </w:rPr>
              <w:t> </w:t>
            </w:r>
            <w:r>
              <w:rPr>
                <w:color w:val="2E75B6"/>
              </w:rPr>
              <w:t xml:space="preserve">This is a standalone need intended to begin at the completion of the current short-term contract. </w:t>
            </w:r>
          </w:p>
          <w:p w14:paraId="77838737" w14:textId="77777777" w:rsidR="001C34D5" w:rsidRDefault="001C34D5" w:rsidP="001C34D5"/>
          <w:p w14:paraId="0BE7322F" w14:textId="77777777" w:rsidR="001C34D5" w:rsidRDefault="001C34D5" w:rsidP="001C34D5">
            <w:pPr>
              <w:rPr>
                <w:color w:val="000000"/>
              </w:rPr>
            </w:pPr>
            <w:r>
              <w:t xml:space="preserve">Q2.)  </w:t>
            </w:r>
            <w:r>
              <w:rPr>
                <w:color w:val="000000"/>
              </w:rPr>
              <w:t>The solicitation for the call center for the Vital Records.  We have a capacity, we just don't know what we would charge for this.  Is there a previous contract to know what won the previous bid?</w:t>
            </w:r>
          </w:p>
          <w:p w14:paraId="3F7CE973" w14:textId="77777777" w:rsidR="001C34D5" w:rsidRDefault="001C34D5" w:rsidP="001C34D5">
            <w:pPr>
              <w:rPr>
                <w:color w:val="000000"/>
              </w:rPr>
            </w:pPr>
            <w:r>
              <w:rPr>
                <w:color w:val="000000"/>
              </w:rPr>
              <w:t xml:space="preserve">                </w:t>
            </w:r>
            <w:r>
              <w:rPr>
                <w:color w:val="2E75B6"/>
              </w:rPr>
              <w:t xml:space="preserve">A2.) The current short-term contract at capacity cost OSDH $59,525.00 per month. </w:t>
            </w:r>
          </w:p>
          <w:p w14:paraId="3614B958" w14:textId="77777777" w:rsidR="001C34D5" w:rsidRDefault="001C34D5" w:rsidP="001C34D5">
            <w:pPr>
              <w:rPr>
                <w:color w:val="000000"/>
              </w:rPr>
            </w:pPr>
          </w:p>
          <w:p w14:paraId="54173345" w14:textId="77777777" w:rsidR="001C34D5" w:rsidRDefault="001C34D5" w:rsidP="001C34D5">
            <w:r>
              <w:rPr>
                <w:color w:val="000000"/>
              </w:rPr>
              <w:t xml:space="preserve">Q3.)  </w:t>
            </w:r>
            <w:r>
              <w:t xml:space="preserve">You have a vendor qualification as to 10 years’ experience in Vital Records.  Is this specific to a Vital records office directly or 10 years handling vital records?  As an example, we have over 20 years of experience with Health and Human Services (HHS), Medicare.gov, TSA, IRS, Department of Defense, Department of State and multiple State governments during COVID where vital records were or are a part of the support we provide.  </w:t>
            </w:r>
          </w:p>
          <w:p w14:paraId="1916B0CA" w14:textId="77777777" w:rsidR="001C34D5" w:rsidRDefault="001C34D5" w:rsidP="001C34D5">
            <w:r>
              <w:t xml:space="preserve">                </w:t>
            </w:r>
            <w:r>
              <w:rPr>
                <w:color w:val="2E75B6"/>
              </w:rPr>
              <w:t>A3.) Vital Records refers to the state office handling the registration and issuance of birth and death certificates.</w:t>
            </w:r>
          </w:p>
          <w:p w14:paraId="1688FD3E" w14:textId="77777777" w:rsidR="001C34D5" w:rsidRDefault="001C34D5" w:rsidP="001C34D5"/>
          <w:p w14:paraId="2067EE6B" w14:textId="77777777" w:rsidR="001C34D5" w:rsidRDefault="001C34D5" w:rsidP="001C34D5">
            <w:r>
              <w:t>Q4.) Section B 9.1.I is stating HIPAA certification is required, correct?</w:t>
            </w:r>
          </w:p>
          <w:p w14:paraId="4E324FDE" w14:textId="77777777" w:rsidR="001C34D5" w:rsidRDefault="001C34D5" w:rsidP="001C34D5">
            <w:r>
              <w:t xml:space="preserve">                </w:t>
            </w:r>
            <w:r>
              <w:rPr>
                <w:color w:val="2E75B6"/>
              </w:rPr>
              <w:t xml:space="preserve">A4.) Health Insurance Portability and Accountability Act (HIPPA) compliance is required. </w:t>
            </w:r>
          </w:p>
          <w:p w14:paraId="7B2EDF0C" w14:textId="77777777" w:rsidR="001C34D5" w:rsidRDefault="001C34D5" w:rsidP="001C34D5"/>
          <w:p w14:paraId="502FC2AC" w14:textId="77777777" w:rsidR="001C34D5" w:rsidRDefault="001C34D5" w:rsidP="001C34D5">
            <w:r>
              <w:lastRenderedPageBreak/>
              <w:t xml:space="preserve">Q5.)  Section 8C in the Contract Bidder Instructions states – “Bidder </w:t>
            </w:r>
            <w:r>
              <w:rPr>
                <w:u w:val="single"/>
              </w:rPr>
              <w:t>shall have</w:t>
            </w:r>
            <w:r>
              <w:t xml:space="preserve"> at least 10 years of experience working with a state vital records office.”  Will not having this prior experience with state vital records eliminate a bidder from consideration?</w:t>
            </w:r>
          </w:p>
          <w:p w14:paraId="534C2F4D" w14:textId="77777777" w:rsidR="001C34D5" w:rsidRDefault="001C34D5" w:rsidP="001C34D5">
            <w:r>
              <w:t xml:space="preserve">                </w:t>
            </w:r>
            <w:r>
              <w:rPr>
                <w:color w:val="2E75B6"/>
              </w:rPr>
              <w:t xml:space="preserve">A5.) A minimum of 10 years of experience working with a state vital records office is a mandatory requirement. </w:t>
            </w:r>
          </w:p>
          <w:p w14:paraId="2CBF8F9D" w14:textId="77777777" w:rsidR="001C34D5" w:rsidRDefault="001C34D5" w:rsidP="001C34D5"/>
          <w:p w14:paraId="4BF5506D" w14:textId="77777777" w:rsidR="001C34D5" w:rsidRDefault="001C34D5" w:rsidP="001C34D5">
            <w:r>
              <w:t>Q6.) Will a remote agent operating model be considered for this work?</w:t>
            </w:r>
          </w:p>
          <w:p w14:paraId="1D1B5000" w14:textId="77777777" w:rsidR="001C34D5" w:rsidRDefault="001C34D5" w:rsidP="001C34D5">
            <w:r>
              <w:t xml:space="preserve">                </w:t>
            </w:r>
            <w:r>
              <w:rPr>
                <w:color w:val="2E75B6"/>
              </w:rPr>
              <w:t>A6.) Unclear what “remote agent operating model” means, but we would not consider an international contract. Contractor must be located within the United States.</w:t>
            </w:r>
          </w:p>
          <w:p w14:paraId="3BD8C0C7" w14:textId="77777777" w:rsidR="001C34D5" w:rsidRDefault="001C34D5" w:rsidP="001C34D5"/>
          <w:p w14:paraId="056875A7" w14:textId="77777777" w:rsidR="001C34D5" w:rsidRDefault="001C34D5" w:rsidP="001C34D5"/>
          <w:p w14:paraId="1376359A" w14:textId="77777777" w:rsidR="001C34D5" w:rsidRDefault="001C34D5" w:rsidP="001C34D5"/>
          <w:p w14:paraId="38F315AF" w14:textId="77777777" w:rsidR="001C34D5" w:rsidRDefault="001C34D5" w:rsidP="001C34D5">
            <w:r>
              <w:t>Q7.)  We understand that vendor questions are due on Monday, November 21</w:t>
            </w:r>
            <w:r>
              <w:rPr>
                <w:vertAlign w:val="superscript"/>
              </w:rPr>
              <w:t>st</w:t>
            </w:r>
            <w:r>
              <w:t xml:space="preserve"> at 3:00 PM. In light of the upcoming Thanksgiving Holiday, will OSDH consider extending the response due date to December 20, 2022, to allow for answers to questions to be fully considered and incorporated into vendor responses?</w:t>
            </w:r>
          </w:p>
          <w:p w14:paraId="6093B204" w14:textId="77777777" w:rsidR="001C34D5" w:rsidRDefault="001C34D5" w:rsidP="001C34D5">
            <w:r>
              <w:t xml:space="preserve">                </w:t>
            </w:r>
            <w:r>
              <w:rPr>
                <w:color w:val="2E75B6"/>
              </w:rPr>
              <w:t xml:space="preserve">A7.)  We are unable to extend the vendor question due date past 3:00pm on Monday, November 21, 2022.  The bid response deadline is 3:00pm CST on December 5, 2022. </w:t>
            </w:r>
          </w:p>
          <w:p w14:paraId="1D211C52" w14:textId="77777777" w:rsidR="001C34D5" w:rsidRDefault="001C34D5" w:rsidP="001C34D5"/>
          <w:p w14:paraId="1A48399A" w14:textId="77777777" w:rsidR="001C34D5" w:rsidRDefault="001C34D5" w:rsidP="001C34D5">
            <w:pPr>
              <w:rPr>
                <w:color w:val="3B3838"/>
              </w:rPr>
            </w:pPr>
            <w:r>
              <w:t xml:space="preserve">Q8.) </w:t>
            </w:r>
            <w:r>
              <w:rPr>
                <w:color w:val="3B3838"/>
              </w:rPr>
              <w:t xml:space="preserve">We would like to know if you would entertain our bid without that one specific requirement being </w:t>
            </w:r>
            <w:proofErr w:type="gramStart"/>
            <w:r>
              <w:rPr>
                <w:color w:val="3B3838"/>
              </w:rPr>
              <w:t>met?</w:t>
            </w:r>
            <w:proofErr w:type="gramEnd"/>
          </w:p>
          <w:p w14:paraId="5FD68B2E" w14:textId="77777777" w:rsidR="001C34D5" w:rsidRDefault="001C34D5" w:rsidP="001C34D5">
            <w:r>
              <w:rPr>
                <w:color w:val="3B3838"/>
              </w:rPr>
              <w:t xml:space="preserve">                </w:t>
            </w:r>
            <w:r>
              <w:rPr>
                <w:color w:val="2E75B6"/>
              </w:rPr>
              <w:t xml:space="preserve">A8.) Requirements defined as “shall” in Exhibit 1 are mandatory.  Requirements defined as “should” in Exhibit 1 are desired. </w:t>
            </w:r>
          </w:p>
          <w:p w14:paraId="704B2E48" w14:textId="77777777" w:rsidR="001608C3" w:rsidRPr="00E71818" w:rsidRDefault="001608C3" w:rsidP="006A16FF">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C34D5"/>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0E2F"/>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16FF"/>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4A7F"/>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E359-2D34-46E2-B227-055E8EAD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712</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Amendment of Solicitation 3400001761</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 3400001761</dc:title>
  <dc:subject>Questions and answers relating to Solicitation 3400001761.</dc:subject>
  <dc:creator>OMES Central Purchasing</dc:creator>
  <cp:keywords>question, answer, amendment, form, solicitation</cp:keywords>
  <cp:lastModifiedBy>Jake Lowrey</cp:lastModifiedBy>
  <cp:revision>3</cp:revision>
  <cp:lastPrinted>2008-12-08T14:07:00Z</cp:lastPrinted>
  <dcterms:created xsi:type="dcterms:W3CDTF">2022-11-28T21:29:00Z</dcterms:created>
  <dcterms:modified xsi:type="dcterms:W3CDTF">2022-11-28T21:41:00Z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