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31FE7" w14:textId="0245C9CD" w:rsidR="00D57F25" w:rsidRPr="00D57F25" w:rsidRDefault="00D57F25" w:rsidP="00D57F25">
      <w:pPr>
        <w:keepNext/>
        <w:numPr>
          <w:ilvl w:val="1"/>
          <w:numId w:val="0"/>
        </w:numPr>
        <w:tabs>
          <w:tab w:val="num" w:pos="720"/>
        </w:tabs>
        <w:overflowPunct w:val="0"/>
        <w:autoSpaceDE w:val="0"/>
        <w:autoSpaceDN w:val="0"/>
        <w:adjustRightInd w:val="0"/>
        <w:spacing w:before="240" w:after="0" w:line="240" w:lineRule="auto"/>
        <w:ind w:left="720" w:hanging="720"/>
        <w:textAlignment w:val="baseline"/>
        <w:outlineLvl w:val="1"/>
        <w:rPr>
          <w:rFonts w:ascii="Arial Bold" w:eastAsia="Times New Roman" w:hAnsi="Arial Bold" w:cs="Arial"/>
          <w:sz w:val="18"/>
          <w:szCs w:val="18"/>
        </w:rPr>
      </w:pPr>
      <w:r>
        <w:rPr>
          <w:rFonts w:ascii="Arial Bold" w:eastAsia="Times New Roman" w:hAnsi="Arial Bold" w:cs="Arial"/>
          <w:sz w:val="18"/>
          <w:szCs w:val="18"/>
        </w:rPr>
        <w:t>Background</w:t>
      </w:r>
    </w:p>
    <w:p w14:paraId="4B333A84" w14:textId="77777777" w:rsidR="00CA4E7C" w:rsidRDefault="00CA4E7C" w:rsidP="00CA4E7C">
      <w:pPr>
        <w:pStyle w:val="PlainText"/>
      </w:pPr>
    </w:p>
    <w:p w14:paraId="0758AACE" w14:textId="77777777" w:rsidR="00CA4E7C" w:rsidRPr="00506B95" w:rsidRDefault="00CA4E7C" w:rsidP="00CA4E7C">
      <w:pPr>
        <w:pStyle w:val="PlainText"/>
      </w:pPr>
      <w:r w:rsidRPr="00506B95">
        <w:t>The Oklahoma District Attorneys Council (DAC) is a state agency that provides administrative support to Oklahoma’s twenty-seven (27) elected District Attorneys and their staff. The DAC’s primary function is to strengthen the criminal justice system by providing professional training (continuing legal education), by providing technical support, by administering federal grant programs, by paying claims to victims of violent crimes, and by overseeing financial and personnel duties for the District Attorney Offices across the state. By offering these vital services, the DAC is fulfilling its mission to provide the necessary tools for Oklahoma’s prosecutors and their one thousand (1,000) plus member staff to be successful in serving the citizens of Oklahoma.</w:t>
      </w:r>
    </w:p>
    <w:p w14:paraId="6F9D53EF" w14:textId="77777777" w:rsidR="00CA4E7C" w:rsidRPr="00506B95" w:rsidRDefault="00CA4E7C" w:rsidP="00CA4E7C">
      <w:pPr>
        <w:pStyle w:val="PlainText"/>
      </w:pPr>
    </w:p>
    <w:p w14:paraId="01A9F363" w14:textId="77777777" w:rsidR="00CA4E7C" w:rsidRPr="00506B95" w:rsidRDefault="00CA4E7C" w:rsidP="00CA4E7C">
      <w:pPr>
        <w:pStyle w:val="PlainText"/>
      </w:pPr>
      <w:r w:rsidRPr="00506B95">
        <w:t>The operations of the DAC are divided into seven (7) primary divisions:</w:t>
      </w:r>
    </w:p>
    <w:p w14:paraId="6FEABE4E" w14:textId="77777777" w:rsidR="00CA4E7C" w:rsidRPr="00506B95" w:rsidRDefault="00CA4E7C" w:rsidP="00CA4E7C">
      <w:pPr>
        <w:pStyle w:val="PlainText"/>
        <w:numPr>
          <w:ilvl w:val="0"/>
          <w:numId w:val="1"/>
        </w:numPr>
      </w:pPr>
      <w:r w:rsidRPr="00506B95">
        <w:t>Executive Division;</w:t>
      </w:r>
    </w:p>
    <w:p w14:paraId="1B93B006" w14:textId="77777777" w:rsidR="00CA4E7C" w:rsidRPr="00506B95" w:rsidRDefault="00CA4E7C" w:rsidP="00CA4E7C">
      <w:pPr>
        <w:pStyle w:val="PlainText"/>
        <w:numPr>
          <w:ilvl w:val="0"/>
          <w:numId w:val="1"/>
        </w:numPr>
      </w:pPr>
      <w:r w:rsidRPr="00506B95">
        <w:t>Finance Division;</w:t>
      </w:r>
    </w:p>
    <w:p w14:paraId="0BD49499" w14:textId="77777777" w:rsidR="00CA4E7C" w:rsidRPr="00506B95" w:rsidRDefault="00CA4E7C" w:rsidP="00CA4E7C">
      <w:pPr>
        <w:pStyle w:val="PlainText"/>
        <w:numPr>
          <w:ilvl w:val="0"/>
          <w:numId w:val="1"/>
        </w:numPr>
      </w:pPr>
      <w:r w:rsidRPr="00506B95">
        <w:t>Victim Services Division;</w:t>
      </w:r>
    </w:p>
    <w:p w14:paraId="755570D2" w14:textId="77777777" w:rsidR="00CA4E7C" w:rsidRPr="00506B95" w:rsidRDefault="00CA4E7C" w:rsidP="00CA4E7C">
      <w:pPr>
        <w:pStyle w:val="PlainText"/>
        <w:numPr>
          <w:ilvl w:val="0"/>
          <w:numId w:val="1"/>
        </w:numPr>
      </w:pPr>
      <w:r w:rsidRPr="00506B95">
        <w:t>Federal Grants Division;</w:t>
      </w:r>
    </w:p>
    <w:p w14:paraId="69D60DD1" w14:textId="77777777" w:rsidR="00CA4E7C" w:rsidRPr="00506B95" w:rsidRDefault="00CA4E7C" w:rsidP="00CA4E7C">
      <w:pPr>
        <w:pStyle w:val="PlainText"/>
        <w:numPr>
          <w:ilvl w:val="0"/>
          <w:numId w:val="1"/>
        </w:numPr>
      </w:pPr>
      <w:r w:rsidRPr="00506B95">
        <w:t xml:space="preserve">IT Division (IT); </w:t>
      </w:r>
    </w:p>
    <w:p w14:paraId="53DCE98F" w14:textId="77777777" w:rsidR="00CA4E7C" w:rsidRPr="00506B95" w:rsidRDefault="00CA4E7C" w:rsidP="00CA4E7C">
      <w:pPr>
        <w:pStyle w:val="PlainText"/>
        <w:numPr>
          <w:ilvl w:val="0"/>
          <w:numId w:val="1"/>
        </w:numPr>
      </w:pPr>
      <w:r w:rsidRPr="00506B95">
        <w:t>Training &amp; Outreach Division; and</w:t>
      </w:r>
    </w:p>
    <w:p w14:paraId="5CF8FC99" w14:textId="77777777" w:rsidR="00CA4E7C" w:rsidRPr="00506B95" w:rsidRDefault="00CA4E7C" w:rsidP="00CA4E7C">
      <w:pPr>
        <w:pStyle w:val="PlainText"/>
        <w:numPr>
          <w:ilvl w:val="0"/>
          <w:numId w:val="1"/>
        </w:numPr>
      </w:pPr>
      <w:r w:rsidRPr="00506B95">
        <w:t>Uninsured Vehicle Enforcement Diversion Division (UVED)</w:t>
      </w:r>
    </w:p>
    <w:p w14:paraId="56FF57C4" w14:textId="77777777" w:rsidR="00CA4E7C" w:rsidRPr="00506B95" w:rsidRDefault="00CA4E7C" w:rsidP="00CA4E7C">
      <w:pPr>
        <w:pStyle w:val="PlainText"/>
      </w:pPr>
    </w:p>
    <w:p w14:paraId="1CD6E068" w14:textId="77777777" w:rsidR="00CA4E7C" w:rsidRPr="00506B95" w:rsidRDefault="00CA4E7C" w:rsidP="00CA4E7C">
      <w:pPr>
        <w:pStyle w:val="PlainText"/>
      </w:pPr>
      <w:r w:rsidRPr="00506B95">
        <w:t xml:space="preserve">The DAC is the State Administering Agency (SAA) for all Department of Justice Pass-Through grants that come to Oklahoma.  This includes, but is not limited to VOCA, JAG, CESF, NARIP, NCHIP, RSAT, VAWA and SASP.  As such, the DAC advocates and upholds good stewardship of the awarded federal funds. </w:t>
      </w:r>
    </w:p>
    <w:p w14:paraId="7A6BC653" w14:textId="77777777" w:rsidR="00CA4E7C" w:rsidRPr="00506B95" w:rsidRDefault="00CA4E7C" w:rsidP="00CA4E7C">
      <w:pPr>
        <w:pStyle w:val="PlainText"/>
      </w:pPr>
    </w:p>
    <w:p w14:paraId="13A46879" w14:textId="77777777" w:rsidR="00CA4E7C" w:rsidRPr="00506B95" w:rsidRDefault="00CA4E7C" w:rsidP="00CA4E7C">
      <w:pPr>
        <w:pStyle w:val="PlainText"/>
      </w:pPr>
      <w:r w:rsidRPr="00506B95">
        <w:t>The DAC IT Division supports twenty-five (25) of Oklahoma’s 27 elected District Attorneys and their offices.  Their offices are located in seventy-five (75) of Oklahoma’s seventy-seven (77) counties.  The 25 District Attorneys (DAs) supported by the DAC’s IT Division prosecuted an average of sixty-six thousand three hundred sixty-nine (66,369) felony and misdemeanor cases each year from 2016 through 2019.  (Due to the significant impact of the pandemic on the court system in Oklahoma, the figures from 2020 were not used to compute the average.)   The DAC is responsible for overseeing the operation, functionality, and support of the technical infrastructure used by 25 of the 27 District Attorney Districts and the DAC home office in Oklahoma City. This includes providing the following core services to the one thousand (1,000) users in eighty (80) offices across the state:</w:t>
      </w:r>
    </w:p>
    <w:p w14:paraId="2548A96C" w14:textId="77777777" w:rsidR="00CA4E7C" w:rsidRPr="00506B95" w:rsidRDefault="00CA4E7C" w:rsidP="00CA4E7C">
      <w:pPr>
        <w:pStyle w:val="PlainText"/>
        <w:numPr>
          <w:ilvl w:val="0"/>
          <w:numId w:val="2"/>
        </w:numPr>
      </w:pPr>
      <w:r w:rsidRPr="00506B95">
        <w:t>IT infrastructure design and implementation;</w:t>
      </w:r>
    </w:p>
    <w:p w14:paraId="6F98684D" w14:textId="77777777" w:rsidR="00CA4E7C" w:rsidRPr="00506B95" w:rsidRDefault="00CA4E7C" w:rsidP="00CA4E7C">
      <w:pPr>
        <w:pStyle w:val="PlainText"/>
        <w:numPr>
          <w:ilvl w:val="0"/>
          <w:numId w:val="2"/>
        </w:numPr>
      </w:pPr>
      <w:r w:rsidRPr="00506B95">
        <w:t>Network, server, and database maintenance and security;</w:t>
      </w:r>
    </w:p>
    <w:p w14:paraId="44E64A88" w14:textId="77777777" w:rsidR="00CA4E7C" w:rsidRPr="00506B95" w:rsidRDefault="00CA4E7C" w:rsidP="00CA4E7C">
      <w:pPr>
        <w:pStyle w:val="PlainText"/>
        <w:numPr>
          <w:ilvl w:val="0"/>
          <w:numId w:val="2"/>
        </w:numPr>
      </w:pPr>
      <w:r w:rsidRPr="00506B95">
        <w:t>End-user technical support and training;</w:t>
      </w:r>
    </w:p>
    <w:p w14:paraId="51C62749" w14:textId="77777777" w:rsidR="00CA4E7C" w:rsidRPr="00506B95" w:rsidRDefault="00CA4E7C" w:rsidP="00CA4E7C">
      <w:pPr>
        <w:pStyle w:val="PlainText"/>
        <w:numPr>
          <w:ilvl w:val="0"/>
          <w:numId w:val="2"/>
        </w:numPr>
      </w:pPr>
      <w:r w:rsidRPr="00506B95">
        <w:t>Equipment procurement, configuration, and installation;</w:t>
      </w:r>
    </w:p>
    <w:p w14:paraId="39DDFA3B" w14:textId="77777777" w:rsidR="00CA4E7C" w:rsidRPr="00506B95" w:rsidRDefault="00CA4E7C" w:rsidP="00CA4E7C">
      <w:pPr>
        <w:pStyle w:val="PlainText"/>
        <w:numPr>
          <w:ilvl w:val="0"/>
          <w:numId w:val="2"/>
        </w:numPr>
      </w:pPr>
      <w:r w:rsidRPr="00506B95">
        <w:t>Software research and development; and</w:t>
      </w:r>
    </w:p>
    <w:p w14:paraId="13D573B1" w14:textId="77777777" w:rsidR="00CA4E7C" w:rsidRPr="00506B95" w:rsidRDefault="00CA4E7C" w:rsidP="00CA4E7C">
      <w:pPr>
        <w:pStyle w:val="PlainText"/>
        <w:numPr>
          <w:ilvl w:val="0"/>
          <w:numId w:val="2"/>
        </w:numPr>
      </w:pPr>
      <w:r w:rsidRPr="00506B95">
        <w:t>Strategically align Information Technology to meet business needs.</w:t>
      </w:r>
    </w:p>
    <w:p w14:paraId="7EC400FF" w14:textId="77777777" w:rsidR="00CA4E7C" w:rsidRPr="00506B95" w:rsidRDefault="00CA4E7C" w:rsidP="00CA4E7C">
      <w:pPr>
        <w:pStyle w:val="PlainText"/>
      </w:pPr>
    </w:p>
    <w:p w14:paraId="40674394" w14:textId="53840B9B" w:rsidR="00CA4E7C" w:rsidRDefault="00CA4E7C" w:rsidP="00CA4E7C">
      <w:pPr>
        <w:pStyle w:val="PlainText"/>
      </w:pPr>
      <w:r w:rsidRPr="00506B95">
        <w:t>In addition to mentioned core services, the DAC IT administers and supports prosecutor case management systems for twenty-five (25) districts and the Oklahoma Attorney General's Office.</w:t>
      </w:r>
    </w:p>
    <w:p w14:paraId="0BBE25F5" w14:textId="18C2EA05" w:rsidR="003C4FD3" w:rsidRDefault="003C4FD3" w:rsidP="00CA4E7C">
      <w:pPr>
        <w:pStyle w:val="PlainText"/>
      </w:pPr>
    </w:p>
    <w:p w14:paraId="0C566CBA" w14:textId="77777777" w:rsidR="003C4FD3" w:rsidRDefault="003C4FD3" w:rsidP="003C4FD3">
      <w:pPr>
        <w:pStyle w:val="PlainText"/>
      </w:pPr>
      <w:r>
        <w:t xml:space="preserve">The current/legacy Prosecutor Case Management Systems (PCMS) tracks all aspects of a court case and is used by all districts supported by the DAC IT Division. The system tracks information about defendants, victims and witnesses, criminal charges, events, disposition on criminal cases and allows DAs to share data with other law enforcement agencies.  It also generates necessary court documents.  A financial component of the system tracks court-orders and other monetary obligations, including restitution and payments against those obligations, past due payments, and defendant financial history, as well as maintaining deposit and voucher payout processes.  Unfortunately, the legacy </w:t>
      </w:r>
      <w:r>
        <w:lastRenderedPageBreak/>
        <w:t xml:space="preserve">system requires a significant amount of manual data entry and multiple exchanges between stakeholders.  Additionally, the system architecture requires significant technical support and lacks features, functionalities, and interfaces that would greatly minimize manual data entry.  Addressing these shortcomings would help avoid clerical errors and increase data sharing that would lead to improvement in quality, completeness, and accessibility of court disposition information.  </w:t>
      </w:r>
    </w:p>
    <w:p w14:paraId="6A95DABC" w14:textId="77777777" w:rsidR="003C4FD3" w:rsidRDefault="003C4FD3" w:rsidP="003C4FD3">
      <w:pPr>
        <w:pStyle w:val="PlainText"/>
      </w:pPr>
    </w:p>
    <w:p w14:paraId="549851DE" w14:textId="11F53CDC" w:rsidR="00CA4E7C" w:rsidRDefault="003C4FD3" w:rsidP="003C4FD3">
      <w:pPr>
        <w:pStyle w:val="PlainText"/>
      </w:pPr>
      <w:r>
        <w:t xml:space="preserve">The intent is to replace the legacy PCMS and with a modern system in an effort to transform itself into a 21st Century operating environment.  The modernization project will move DAC to a more practical platform which will reduce ongoing costs and provide a lower-risk core architecture to support future DAC needs. A modernized system will utilize modern technologies that support a service-oriented architecture with a built-in redundancy.  DAC is interested replacing the legacy client/server based PCMS infrastructure with a centralized web-based system in order to maximize efficiency. The proposed solution will be an IT system that makes maximum use of the web and provides a customer friendly and easy to use environment for District Attorneys (DAs) to utilize in prosecuting and manage criminal cases.  DAC envisions a system that will interface and work closely with multiple law enforcement partners which are currently working on service-based access solutions to share information.  </w:t>
      </w:r>
    </w:p>
    <w:p w14:paraId="41C08A0D" w14:textId="735D72F2" w:rsidR="00D72205" w:rsidRDefault="00D72205"/>
    <w:p w14:paraId="630F996F" w14:textId="3B2EE3FE" w:rsidR="00CA4E7C" w:rsidRDefault="00CA4E7C"/>
    <w:p w14:paraId="1A0D0B9E" w14:textId="77777777" w:rsidR="00D57F25" w:rsidRPr="00D57F25" w:rsidRDefault="00D57F25" w:rsidP="00D57F25">
      <w:pPr>
        <w:keepNext/>
        <w:numPr>
          <w:ilvl w:val="1"/>
          <w:numId w:val="0"/>
        </w:numPr>
        <w:tabs>
          <w:tab w:val="num" w:pos="720"/>
        </w:tabs>
        <w:overflowPunct w:val="0"/>
        <w:autoSpaceDE w:val="0"/>
        <w:autoSpaceDN w:val="0"/>
        <w:adjustRightInd w:val="0"/>
        <w:spacing w:before="240" w:after="0" w:line="240" w:lineRule="auto"/>
        <w:ind w:left="720" w:hanging="720"/>
        <w:textAlignment w:val="baseline"/>
        <w:outlineLvl w:val="1"/>
        <w:rPr>
          <w:rFonts w:ascii="Arial Bold" w:eastAsia="Times New Roman" w:hAnsi="Arial Bold" w:cs="Arial"/>
          <w:sz w:val="18"/>
          <w:szCs w:val="18"/>
        </w:rPr>
      </w:pPr>
      <w:r w:rsidRPr="00D57F25">
        <w:rPr>
          <w:rFonts w:ascii="Arial Bold" w:eastAsia="Times New Roman" w:hAnsi="Arial Bold" w:cs="Arial"/>
          <w:sz w:val="18"/>
          <w:szCs w:val="18"/>
        </w:rPr>
        <w:t>Project Description</w:t>
      </w:r>
    </w:p>
    <w:p w14:paraId="01837575" w14:textId="77777777" w:rsidR="00D57F25" w:rsidRPr="00D57F25" w:rsidRDefault="00D57F25" w:rsidP="00D57F25">
      <w:pPr>
        <w:widowControl w:val="0"/>
        <w:autoSpaceDE w:val="0"/>
        <w:autoSpaceDN w:val="0"/>
        <w:adjustRightInd w:val="0"/>
        <w:spacing w:before="110" w:after="0" w:line="240" w:lineRule="auto"/>
        <w:jc w:val="both"/>
        <w:rPr>
          <w:rFonts w:ascii="Arial" w:eastAsia="Times New Roman" w:hAnsi="Arial" w:cs="Arial"/>
          <w:sz w:val="18"/>
          <w:szCs w:val="18"/>
        </w:rPr>
      </w:pPr>
    </w:p>
    <w:p w14:paraId="2B3DC0CD" w14:textId="5E03F334" w:rsidR="00D57F25" w:rsidRPr="00D57F25" w:rsidRDefault="00D57F25" w:rsidP="00D57F25">
      <w:pPr>
        <w:overflowPunct w:val="0"/>
        <w:autoSpaceDE w:val="0"/>
        <w:autoSpaceDN w:val="0"/>
        <w:adjustRightInd w:val="0"/>
        <w:spacing w:after="0" w:line="240" w:lineRule="auto"/>
        <w:textAlignment w:val="baseline"/>
        <w:rPr>
          <w:rFonts w:ascii="Arial" w:eastAsia="Times New Roman" w:hAnsi="Arial" w:cs="Arial"/>
          <w:b/>
          <w:sz w:val="18"/>
          <w:szCs w:val="18"/>
        </w:rPr>
      </w:pPr>
      <w:r w:rsidRPr="00D57F25">
        <w:rPr>
          <w:rFonts w:ascii="Arial" w:eastAsia="Times New Roman" w:hAnsi="Arial" w:cs="Arial"/>
          <w:sz w:val="18"/>
          <w:szCs w:val="18"/>
        </w:rPr>
        <w:t>The State of Oklahoma Office of Management and Enterprise Services (OMES) on behalf of The Oklahoma District Attorneys Council (DAC), is seeking the procurement and implementation of a proven</w:t>
      </w:r>
      <w:r w:rsidRPr="00D57F25">
        <w:rPr>
          <w:rFonts w:ascii="Arial" w:eastAsia="Times New Roman" w:hAnsi="Arial" w:cs="Arial"/>
          <w:b/>
          <w:sz w:val="18"/>
          <w:szCs w:val="18"/>
        </w:rPr>
        <w:t xml:space="preserve"> Commercial off the Shelf (COTS) Web based solution</w:t>
      </w:r>
      <w:r w:rsidRPr="00D57F25">
        <w:rPr>
          <w:rFonts w:ascii="Arial" w:eastAsia="Times New Roman" w:hAnsi="Arial" w:cs="Arial"/>
          <w:b/>
          <w:strike/>
          <w:sz w:val="18"/>
          <w:szCs w:val="18"/>
        </w:rPr>
        <w:t>.</w:t>
      </w:r>
      <w:r w:rsidRPr="00D57F25">
        <w:rPr>
          <w:rFonts w:ascii="Arial" w:eastAsia="Times New Roman" w:hAnsi="Arial" w:cs="Arial"/>
          <w:b/>
          <w:sz w:val="18"/>
          <w:szCs w:val="18"/>
        </w:rPr>
        <w:t xml:space="preserve">  The proposed solution is expected to contain a minimum of 80% COTS configuration with a maximum of 20% custom code; however, a preferred solution will contain a 90% or in excess COTS configuration with a maximum of 10% custom code.  The Awarded vendor cannot have any proprietary rights to the proposed solution.  DAC expects to retain all rights to any modifications or configurations to the proposed solution and ownership of future licenses.  DAC expects to be the licensee of all software provided. The proposed solution will be state </w:t>
      </w:r>
      <w:r w:rsidR="004026A0">
        <w:rPr>
          <w:rFonts w:ascii="Arial" w:eastAsia="Times New Roman" w:hAnsi="Arial" w:cs="Arial"/>
          <w:b/>
          <w:sz w:val="18"/>
          <w:szCs w:val="18"/>
        </w:rPr>
        <w:t xml:space="preserve">or vendor </w:t>
      </w:r>
      <w:r w:rsidRPr="00D57F25">
        <w:rPr>
          <w:rFonts w:ascii="Arial" w:eastAsia="Times New Roman" w:hAnsi="Arial" w:cs="Arial"/>
          <w:b/>
          <w:sz w:val="18"/>
          <w:szCs w:val="18"/>
        </w:rPr>
        <w:t>hosted.</w:t>
      </w:r>
    </w:p>
    <w:p w14:paraId="7B1A5442" w14:textId="77777777" w:rsidR="00D57F25" w:rsidRPr="00D57F25" w:rsidRDefault="00D57F25" w:rsidP="00D57F25">
      <w:pPr>
        <w:overflowPunct w:val="0"/>
        <w:autoSpaceDE w:val="0"/>
        <w:autoSpaceDN w:val="0"/>
        <w:adjustRightInd w:val="0"/>
        <w:spacing w:after="0" w:line="240" w:lineRule="auto"/>
        <w:textAlignment w:val="baseline"/>
        <w:rPr>
          <w:rFonts w:ascii="Arial" w:eastAsia="Times New Roman" w:hAnsi="Arial" w:cs="Arial"/>
          <w:b/>
          <w:sz w:val="18"/>
          <w:szCs w:val="18"/>
          <w:highlight w:val="yellow"/>
        </w:rPr>
      </w:pPr>
    </w:p>
    <w:p w14:paraId="3C1F60E0" w14:textId="77777777" w:rsidR="00D57F25" w:rsidRPr="00D57F25" w:rsidRDefault="00D57F25" w:rsidP="00D57F25">
      <w:pPr>
        <w:overflowPunct w:val="0"/>
        <w:autoSpaceDE w:val="0"/>
        <w:autoSpaceDN w:val="0"/>
        <w:adjustRightInd w:val="0"/>
        <w:spacing w:after="0" w:line="240" w:lineRule="auto"/>
        <w:textAlignment w:val="baseline"/>
        <w:rPr>
          <w:rFonts w:ascii="Arial" w:eastAsia="Times New Roman" w:hAnsi="Arial" w:cs="Arial"/>
          <w:b/>
          <w:sz w:val="18"/>
          <w:szCs w:val="18"/>
          <w:highlight w:val="yellow"/>
        </w:rPr>
      </w:pPr>
    </w:p>
    <w:p w14:paraId="1AD43B08" w14:textId="77777777" w:rsidR="00D57F25" w:rsidRPr="00D57F25" w:rsidRDefault="00D57F25" w:rsidP="00D57F25">
      <w:pPr>
        <w:overflowPunct w:val="0"/>
        <w:autoSpaceDE w:val="0"/>
        <w:autoSpaceDN w:val="0"/>
        <w:adjustRightInd w:val="0"/>
        <w:spacing w:after="0" w:line="240" w:lineRule="auto"/>
        <w:textAlignment w:val="baseline"/>
        <w:rPr>
          <w:rFonts w:ascii="Arial" w:eastAsia="Times New Roman" w:hAnsi="Arial" w:cs="Arial"/>
          <w:bCs/>
          <w:sz w:val="18"/>
          <w:szCs w:val="18"/>
          <w:highlight w:val="yellow"/>
        </w:rPr>
      </w:pPr>
      <w:r w:rsidRPr="00D57F25">
        <w:rPr>
          <w:rFonts w:ascii="Arial" w:eastAsia="Times New Roman" w:hAnsi="Arial" w:cs="Arial"/>
          <w:bCs/>
          <w:sz w:val="18"/>
          <w:szCs w:val="18"/>
        </w:rPr>
        <w:t xml:space="preserve">The current/legacy </w:t>
      </w:r>
      <w:r w:rsidRPr="00D57F25">
        <w:rPr>
          <w:rFonts w:ascii="Arial" w:eastAsia="Calibri" w:hAnsi="Arial" w:cs="Arial"/>
          <w:sz w:val="18"/>
          <w:szCs w:val="18"/>
        </w:rPr>
        <w:t xml:space="preserve">Prosecutor Case Management Systems (PCMS) </w:t>
      </w:r>
      <w:r w:rsidRPr="00D57F25">
        <w:rPr>
          <w:rFonts w:ascii="Arial" w:eastAsia="Times New Roman" w:hAnsi="Arial" w:cs="Arial"/>
          <w:bCs/>
          <w:sz w:val="18"/>
          <w:szCs w:val="18"/>
        </w:rPr>
        <w:t xml:space="preserve">tracks all aspects of a court case and is used by all districts supported by the DAC IT Division. The system tracks information about defendants, victims and witnesses, criminal charges, events, disposition on criminal cases and allows DAs to share data with other law enforcement agencies.  It also generates necessary court documents.  A financial component of the system tracks court-orders and other monetary obligations, including restitution and payments against those obligations, past due payments, and defendant financial history, as well as maintaining deposit and voucher payout processes.  Unfortunately, the legacy system requires a significant amount of manual data entry and multiple exchanges between stakeholders.  Additionally, the system architecture requires significant technical support and lacks features, functionalities, and interfaces that would greatly minimize manual data entry.  Addressing these shortcomings would help avoid clerical errors and increase data sharing that would lead to improvement in quality, completeness, and accessibility of court disposition information.  </w:t>
      </w:r>
    </w:p>
    <w:p w14:paraId="5AE96A96" w14:textId="77777777" w:rsidR="00D57F25" w:rsidRPr="00D57F25" w:rsidRDefault="00D57F25" w:rsidP="00D57F25">
      <w:pPr>
        <w:overflowPunct w:val="0"/>
        <w:autoSpaceDE w:val="0"/>
        <w:autoSpaceDN w:val="0"/>
        <w:adjustRightInd w:val="0"/>
        <w:spacing w:after="0" w:line="240" w:lineRule="auto"/>
        <w:textAlignment w:val="baseline"/>
        <w:rPr>
          <w:rFonts w:ascii="Arial" w:eastAsia="Times New Roman" w:hAnsi="Arial" w:cs="Arial"/>
          <w:b/>
          <w:sz w:val="18"/>
          <w:szCs w:val="18"/>
          <w:highlight w:val="yellow"/>
        </w:rPr>
      </w:pPr>
    </w:p>
    <w:p w14:paraId="47AADDAD" w14:textId="77777777" w:rsidR="00D57F25" w:rsidRPr="00D57F25" w:rsidRDefault="00D57F25" w:rsidP="00D57F25">
      <w:pPr>
        <w:overflowPunct w:val="0"/>
        <w:autoSpaceDE w:val="0"/>
        <w:autoSpaceDN w:val="0"/>
        <w:adjustRightInd w:val="0"/>
        <w:spacing w:after="0" w:line="240" w:lineRule="auto"/>
        <w:textAlignment w:val="baseline"/>
        <w:rPr>
          <w:rFonts w:ascii="Arial" w:eastAsia="Calibri" w:hAnsi="Arial" w:cs="Arial"/>
          <w:iCs/>
          <w:sz w:val="18"/>
          <w:szCs w:val="18"/>
        </w:rPr>
      </w:pPr>
      <w:r w:rsidRPr="00D57F25">
        <w:rPr>
          <w:rFonts w:ascii="Arial" w:eastAsia="Times New Roman" w:hAnsi="Arial" w:cs="Arial"/>
          <w:b/>
          <w:sz w:val="18"/>
          <w:szCs w:val="18"/>
        </w:rPr>
        <w:t xml:space="preserve">The intent is to </w:t>
      </w:r>
      <w:r w:rsidRPr="00D57F25">
        <w:rPr>
          <w:rFonts w:ascii="Arial" w:eastAsia="Calibri" w:hAnsi="Arial" w:cs="Arial"/>
          <w:b/>
          <w:bCs/>
          <w:sz w:val="18"/>
          <w:szCs w:val="18"/>
        </w:rPr>
        <w:t>replace</w:t>
      </w:r>
      <w:r w:rsidRPr="00D57F25">
        <w:rPr>
          <w:rFonts w:ascii="Arial" w:eastAsia="Calibri" w:hAnsi="Arial" w:cs="Arial"/>
          <w:sz w:val="18"/>
          <w:szCs w:val="18"/>
        </w:rPr>
        <w:t xml:space="preserve"> the </w:t>
      </w:r>
      <w:r w:rsidRPr="00D57F25">
        <w:rPr>
          <w:rFonts w:ascii="Arial" w:eastAsia="Times New Roman" w:hAnsi="Arial" w:cs="Arial"/>
          <w:bCs/>
          <w:sz w:val="18"/>
          <w:szCs w:val="18"/>
        </w:rPr>
        <w:t xml:space="preserve">legacy </w:t>
      </w:r>
      <w:r w:rsidRPr="00D57F25">
        <w:rPr>
          <w:rFonts w:ascii="Arial" w:eastAsia="Calibri" w:hAnsi="Arial" w:cs="Arial"/>
          <w:sz w:val="18"/>
          <w:szCs w:val="18"/>
        </w:rPr>
        <w:t>PCMS and with a modern system in an effort to transform itself into a 21</w:t>
      </w:r>
      <w:r w:rsidRPr="00D57F25">
        <w:rPr>
          <w:rFonts w:ascii="Arial" w:eastAsia="Calibri" w:hAnsi="Arial" w:cs="Arial"/>
          <w:sz w:val="18"/>
          <w:szCs w:val="18"/>
          <w:vertAlign w:val="superscript"/>
        </w:rPr>
        <w:t>st</w:t>
      </w:r>
      <w:r w:rsidRPr="00D57F25">
        <w:rPr>
          <w:rFonts w:ascii="Arial" w:eastAsia="Calibri" w:hAnsi="Arial" w:cs="Arial"/>
          <w:sz w:val="18"/>
          <w:szCs w:val="18"/>
        </w:rPr>
        <w:t xml:space="preserve"> Century operating environment.  The modernization project will move DAC to a more practical platform which will reduce ongoing costs and provide a lower-risk core architecture to support future DAC needs.</w:t>
      </w:r>
      <w:r w:rsidRPr="00D57F25">
        <w:rPr>
          <w:rFonts w:ascii="Arial" w:eastAsia="Calibri" w:hAnsi="Arial" w:cs="Arial"/>
          <w:iCs/>
          <w:sz w:val="18"/>
          <w:szCs w:val="18"/>
        </w:rPr>
        <w:t xml:space="preserve"> A </w:t>
      </w:r>
      <w:r w:rsidRPr="00D57F25">
        <w:rPr>
          <w:rFonts w:ascii="Arial" w:eastAsia="Calibri" w:hAnsi="Arial" w:cs="Arial"/>
          <w:sz w:val="18"/>
          <w:szCs w:val="18"/>
        </w:rPr>
        <w:t xml:space="preserve">modernized system will utilize modern technologies that support a service-oriented architecture with a built-in redundancy.  DAC is interested </w:t>
      </w:r>
      <w:r w:rsidRPr="00D57F25">
        <w:rPr>
          <w:rFonts w:ascii="Arial" w:eastAsia="Times New Roman" w:hAnsi="Arial" w:cs="Arial"/>
          <w:sz w:val="18"/>
          <w:szCs w:val="18"/>
        </w:rPr>
        <w:t xml:space="preserve">replacing the legacy client/server based PCMS infrastructure with </w:t>
      </w:r>
      <w:r w:rsidRPr="00D57F25">
        <w:rPr>
          <w:rFonts w:ascii="Arial" w:eastAsia="Calibri" w:hAnsi="Arial" w:cs="Arial"/>
          <w:sz w:val="18"/>
          <w:szCs w:val="18"/>
        </w:rPr>
        <w:t xml:space="preserve">a centralized web-based system </w:t>
      </w:r>
      <w:r w:rsidRPr="00D57F25">
        <w:rPr>
          <w:rFonts w:ascii="Arial" w:eastAsia="Times New Roman" w:hAnsi="Arial" w:cs="Arial"/>
          <w:sz w:val="18"/>
          <w:szCs w:val="18"/>
        </w:rPr>
        <w:t>in order to maximize efficiency.</w:t>
      </w:r>
      <w:r w:rsidRPr="00D57F25">
        <w:rPr>
          <w:rFonts w:ascii="Arial" w:eastAsia="Calibri" w:hAnsi="Arial" w:cs="Arial"/>
          <w:iCs/>
          <w:sz w:val="18"/>
          <w:szCs w:val="18"/>
        </w:rPr>
        <w:t xml:space="preserve"> The proposed solution will be an IT system that makes maximum use of the web and provides a customer friendly and easy to use environment for District Attorneys (DAs) to utilize in prosecuting and manage criminal cases.  DAC envisions a system that will interface and work closely with multiple law enforcement partners which are currently working on service-based access solutions to share information.  </w:t>
      </w:r>
    </w:p>
    <w:p w14:paraId="10ED4EC2" w14:textId="77777777" w:rsidR="00B03BEC" w:rsidRDefault="00B03BEC"/>
    <w:sectPr w:rsidR="00B03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7AFE"/>
    <w:multiLevelType w:val="hybridMultilevel"/>
    <w:tmpl w:val="6928B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623121"/>
    <w:multiLevelType w:val="hybridMultilevel"/>
    <w:tmpl w:val="E818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A0E"/>
    <w:rsid w:val="003C4FD3"/>
    <w:rsid w:val="004026A0"/>
    <w:rsid w:val="008F3A0E"/>
    <w:rsid w:val="00B03BEC"/>
    <w:rsid w:val="00CA4E7C"/>
    <w:rsid w:val="00D57F25"/>
    <w:rsid w:val="00D7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5C80"/>
  <w15:chartTrackingRefBased/>
  <w15:docId w15:val="{36C8B386-D4D9-4FE0-829C-10D0A430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qFormat/>
    <w:rsid w:val="00CA4E7C"/>
    <w:pPr>
      <w:widowControl w:val="0"/>
      <w:autoSpaceDE w:val="0"/>
      <w:autoSpaceDN w:val="0"/>
      <w:adjustRightInd w:val="0"/>
      <w:spacing w:before="110" w:after="0" w:line="240" w:lineRule="auto"/>
      <w:jc w:val="both"/>
    </w:pPr>
    <w:rPr>
      <w:rFonts w:ascii="Arial" w:eastAsia="Times New Roman" w:hAnsi="Arial" w:cs="Arial"/>
      <w:sz w:val="18"/>
      <w:szCs w:val="18"/>
    </w:rPr>
  </w:style>
  <w:style w:type="character" w:customStyle="1" w:styleId="PlainTextChar">
    <w:name w:val="Plain Text Char"/>
    <w:basedOn w:val="DefaultParagraphFont"/>
    <w:link w:val="PlainText"/>
    <w:uiPriority w:val="99"/>
    <w:rsid w:val="00CA4E7C"/>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1177</Words>
  <Characters>6710</Characters>
  <Application>Microsoft Office Word</Application>
  <DocSecurity>0</DocSecurity>
  <Lines>55</Lines>
  <Paragraphs>15</Paragraphs>
  <ScaleCrop>false</ScaleCrop>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Charries</dc:creator>
  <cp:keywords/>
  <dc:description/>
  <cp:lastModifiedBy>Mosisa, Jebessa</cp:lastModifiedBy>
  <cp:revision>6</cp:revision>
  <dcterms:created xsi:type="dcterms:W3CDTF">2021-10-04T15:10:00Z</dcterms:created>
  <dcterms:modified xsi:type="dcterms:W3CDTF">2021-11-08T15:38:00Z</dcterms:modified>
</cp:coreProperties>
</file>