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7418EB">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6D32CA80" w:rsidR="00977E0D" w:rsidRDefault="00587FC0" w:rsidP="00680721">
            <w:pPr>
              <w:spacing w:beforeLines="50" w:before="120"/>
            </w:pPr>
            <w:r>
              <w:t>03/30/2023</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717322C0" w:rsidR="00977E0D" w:rsidRDefault="00D30E1B" w:rsidP="00680721">
            <w:pPr>
              <w:spacing w:beforeLines="50" w:before="120"/>
            </w:pPr>
            <w:r>
              <w:t>0900000575</w:t>
            </w:r>
          </w:p>
        </w:tc>
      </w:tr>
      <w:tr w:rsidR="00977E0D" w14:paraId="77371E44" w14:textId="77777777" w:rsidTr="007418EB">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69E19C90" w:rsidR="00977E0D" w:rsidRDefault="00D30E1B" w:rsidP="0033118F">
            <w:pPr>
              <w:spacing w:beforeLines="100" w:before="240"/>
            </w:pPr>
            <w:r>
              <w:t>0900017161</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21F585E5" w:rsidR="00977E0D" w:rsidRDefault="000762C8" w:rsidP="0033118F">
            <w:pPr>
              <w:spacing w:beforeLines="100" w:before="240"/>
            </w:pPr>
            <w:r>
              <w:t>2</w:t>
            </w:r>
          </w:p>
        </w:tc>
      </w:tr>
      <w:tr w:rsidR="0033118F" w14:paraId="456B5849" w14:textId="77777777" w:rsidTr="007418EB">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3A83521F" w:rsidR="0033118F" w:rsidRDefault="00476544"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BA2689">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BA2689">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7418EB">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7418EB">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7418EB">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1F966676" w:rsidR="002C60CD" w:rsidRDefault="00536416"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CC8823D" w:rsidR="002C60CD" w:rsidRDefault="00536416" w:rsidP="00071DEE">
            <w:pPr>
              <w:ind w:left="78" w:hanging="78"/>
            </w:pPr>
            <w:r>
              <w:t>405-521-6669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3EE29829" w:rsidR="002C60CD" w:rsidRDefault="00BA2689" w:rsidP="00071DEE">
            <w:hyperlink r:id="rId12" w:history="1">
              <w:r w:rsidRPr="00BA2689">
                <w:rPr>
                  <w:rStyle w:val="Hyperlink"/>
                </w:rPr>
                <w:t>m</w:t>
              </w:r>
              <w:r w:rsidR="00536416" w:rsidRPr="00BA2689">
                <w:rPr>
                  <w:rStyle w:val="Hyperlink"/>
                </w:rPr>
                <w:t>arc.brown@omes.ok.gov</w:t>
              </w:r>
            </w:hyperlink>
          </w:p>
        </w:tc>
      </w:tr>
      <w:tr w:rsidR="002C60CD" w14:paraId="7B8FDC5B" w14:textId="77777777" w:rsidTr="007418EB">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7418EB">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7418EB">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BA2689" w:rsidP="00430AF6">
            <w:hyperlink r:id="rId13" w:history="1">
              <w:r w:rsidR="00071DEE">
                <w:rPr>
                  <w:rStyle w:val="Hyperlink"/>
                  <w:rFonts w:ascii="Calibri" w:hAnsi="Calibri" w:cs="Calibri"/>
                </w:rPr>
                <w:t>OMESCPeBID@omes.ok.gov</w:t>
              </w:r>
            </w:hyperlink>
          </w:p>
        </w:tc>
      </w:tr>
      <w:tr w:rsidR="00430AF6" w14:paraId="3D428AB6" w14:textId="77777777" w:rsidTr="007418EB">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7418EB">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7418EB">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7418EB">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5ECCF11E" w14:textId="77777777" w:rsidR="00165964" w:rsidRPr="00165964" w:rsidRDefault="00165964" w:rsidP="00165964">
            <w:pPr>
              <w:shd w:val="clear" w:color="auto" w:fill="FFFFFF"/>
              <w:overflowPunct/>
              <w:autoSpaceDE/>
              <w:autoSpaceDN/>
              <w:adjustRightInd/>
              <w:spacing w:after="160" w:line="231" w:lineRule="atLeast"/>
              <w:textAlignment w:val="auto"/>
              <w:rPr>
                <w:rFonts w:ascii="Calibri" w:hAnsi="Calibri" w:cs="Calibri"/>
                <w:color w:val="242424"/>
                <w:sz w:val="22"/>
                <w:szCs w:val="22"/>
              </w:rPr>
            </w:pPr>
            <w:r w:rsidRPr="00165964">
              <w:rPr>
                <w:rFonts w:ascii="Calibri" w:hAnsi="Calibri" w:cs="Calibri"/>
                <w:color w:val="242424"/>
                <w:sz w:val="22"/>
                <w:szCs w:val="22"/>
              </w:rPr>
              <w:t>I have a quick question for you, assuming this request is in fact the material portion only.</w:t>
            </w:r>
          </w:p>
          <w:p w14:paraId="774AE8BB" w14:textId="77777777" w:rsidR="00165964" w:rsidRPr="00165964" w:rsidRDefault="00165964" w:rsidP="00165964">
            <w:pPr>
              <w:shd w:val="clear" w:color="auto" w:fill="FFFFFF"/>
              <w:overflowPunct/>
              <w:autoSpaceDE/>
              <w:autoSpaceDN/>
              <w:adjustRightInd/>
              <w:spacing w:after="160" w:line="231" w:lineRule="atLeast"/>
              <w:textAlignment w:val="auto"/>
              <w:rPr>
                <w:rFonts w:ascii="Calibri" w:hAnsi="Calibri" w:cs="Calibri"/>
                <w:color w:val="242424"/>
                <w:sz w:val="22"/>
                <w:szCs w:val="22"/>
              </w:rPr>
            </w:pPr>
            <w:r w:rsidRPr="00165964">
              <w:rPr>
                <w:rFonts w:ascii="Calibri" w:hAnsi="Calibri" w:cs="Calibri"/>
                <w:color w:val="242424"/>
                <w:sz w:val="22"/>
                <w:szCs w:val="22"/>
              </w:rPr>
              <w:t>How would you like to see the pricing?  In years past, we have had a several page spreadsheet with specific part numbers to price.  In addition, not all product has a “list price” which would make several products impossible to price using a percentage off of list.</w:t>
            </w:r>
          </w:p>
          <w:p w14:paraId="15FAB183" w14:textId="487285A4" w:rsidR="00E31827" w:rsidRDefault="00E31827" w:rsidP="00E31827">
            <w:pPr>
              <w:rPr>
                <w:rFonts w:ascii="Segoe UI" w:hAnsi="Segoe UI" w:cs="Segoe UI"/>
                <w:sz w:val="21"/>
                <w:szCs w:val="21"/>
              </w:rPr>
            </w:pPr>
          </w:p>
          <w:p w14:paraId="6C7DBC9E" w14:textId="0329F1F6" w:rsidR="00165964" w:rsidRDefault="00165964" w:rsidP="00E31827">
            <w:pPr>
              <w:rPr>
                <w:rFonts w:ascii="Calibri" w:hAnsi="Calibri" w:cs="Calibri"/>
                <w:b/>
                <w:bCs/>
                <w:color w:val="000000"/>
                <w:shd w:val="clear" w:color="auto" w:fill="FFFFFF"/>
              </w:rPr>
            </w:pPr>
            <w:r w:rsidRPr="00165964">
              <w:rPr>
                <w:rFonts w:ascii="Calibri" w:hAnsi="Calibri" w:cs="Calibri"/>
                <w:b/>
                <w:bCs/>
                <w:color w:val="000000"/>
                <w:shd w:val="clear" w:color="auto" w:fill="FFFFFF"/>
              </w:rPr>
              <w:t>The Exhibit provided by the State can be adjusted to fit any vendor</w:t>
            </w:r>
            <w:r w:rsidR="00BA2689">
              <w:rPr>
                <w:rFonts w:ascii="Calibri" w:hAnsi="Calibri" w:cs="Calibri"/>
                <w:b/>
                <w:bCs/>
                <w:color w:val="000000"/>
                <w:shd w:val="clear" w:color="auto" w:fill="FFFFFF"/>
              </w:rPr>
              <w:t>’</w:t>
            </w:r>
            <w:bookmarkStart w:id="3" w:name="_GoBack"/>
            <w:bookmarkEnd w:id="3"/>
            <w:r w:rsidRPr="00165964">
              <w:rPr>
                <w:rFonts w:ascii="Calibri" w:hAnsi="Calibri" w:cs="Calibri"/>
                <w:b/>
                <w:bCs/>
                <w:color w:val="000000"/>
                <w:shd w:val="clear" w:color="auto" w:fill="FFFFFF"/>
              </w:rPr>
              <w:t>s response. Please feel free to shape the spreadsheet in a manner to offer your best response.</w:t>
            </w:r>
          </w:p>
          <w:p w14:paraId="4BB9791E" w14:textId="25683E4E" w:rsidR="00165964" w:rsidRDefault="00165964" w:rsidP="00E31827">
            <w:pPr>
              <w:rPr>
                <w:rFonts w:ascii="Calibri" w:hAnsi="Calibri" w:cs="Calibri"/>
                <w:b/>
                <w:bCs/>
                <w:color w:val="000000"/>
                <w:sz w:val="21"/>
                <w:szCs w:val="21"/>
                <w:shd w:val="clear" w:color="auto" w:fill="FFFFFF"/>
              </w:rPr>
            </w:pPr>
          </w:p>
          <w:p w14:paraId="2B2AF7FA" w14:textId="1DC98ECC" w:rsidR="00165964" w:rsidRPr="001B4195" w:rsidRDefault="001B4195" w:rsidP="00E31827">
            <w:pPr>
              <w:rPr>
                <w:rFonts w:ascii="Segoe UI" w:hAnsi="Segoe UI" w:cs="Segoe UI"/>
                <w:sz w:val="21"/>
                <w:szCs w:val="21"/>
              </w:rPr>
            </w:pPr>
            <w:r w:rsidRPr="001B4195">
              <w:rPr>
                <w:rFonts w:ascii="Segoe UI" w:hAnsi="Segoe UI" w:cs="Segoe UI"/>
                <w:sz w:val="21"/>
                <w:szCs w:val="21"/>
              </w:rPr>
              <w:t xml:space="preserve">Exhibit 1 </w:t>
            </w:r>
            <w:proofErr w:type="gramStart"/>
            <w:r w:rsidRPr="001B4195">
              <w:rPr>
                <w:rFonts w:ascii="Segoe UI" w:hAnsi="Segoe UI" w:cs="Segoe UI"/>
                <w:sz w:val="21"/>
                <w:szCs w:val="21"/>
              </w:rPr>
              <w:t>pricing .</w:t>
            </w:r>
            <w:proofErr w:type="gramEnd"/>
            <w:r w:rsidRPr="001B4195">
              <w:rPr>
                <w:rFonts w:ascii="Segoe UI" w:hAnsi="Segoe UI" w:cs="Segoe UI"/>
                <w:sz w:val="21"/>
                <w:szCs w:val="21"/>
              </w:rPr>
              <w:t xml:space="preserve">  </w:t>
            </w:r>
            <w:proofErr w:type="gramStart"/>
            <w:r w:rsidRPr="001B4195">
              <w:rPr>
                <w:rFonts w:ascii="Segoe UI" w:hAnsi="Segoe UI" w:cs="Segoe UI"/>
                <w:sz w:val="21"/>
                <w:szCs w:val="21"/>
              </w:rPr>
              <w:t>what</w:t>
            </w:r>
            <w:proofErr w:type="gramEnd"/>
            <w:r w:rsidRPr="001B4195">
              <w:rPr>
                <w:rFonts w:ascii="Segoe UI" w:hAnsi="Segoe UI" w:cs="Segoe UI"/>
                <w:sz w:val="21"/>
                <w:szCs w:val="21"/>
              </w:rPr>
              <w:t xml:space="preserve"> instructions are there for this section?</w:t>
            </w:r>
          </w:p>
          <w:p w14:paraId="4D78A2BC" w14:textId="77777777" w:rsidR="00F558C8" w:rsidRPr="00F558C8" w:rsidRDefault="00F558C8" w:rsidP="005B0007">
            <w:pPr>
              <w:spacing w:beforeLines="50" w:before="120"/>
            </w:pPr>
          </w:p>
          <w:p w14:paraId="462EBCEC" w14:textId="4CD12693" w:rsidR="001B4195" w:rsidRDefault="001B4195" w:rsidP="001B4195">
            <w:pPr>
              <w:rPr>
                <w:rFonts w:ascii="Calibri" w:hAnsi="Calibri" w:cs="Calibri"/>
                <w:b/>
                <w:bCs/>
                <w:color w:val="000000"/>
                <w:shd w:val="clear" w:color="auto" w:fill="FFFFFF"/>
              </w:rPr>
            </w:pPr>
            <w:r w:rsidRPr="00165964">
              <w:rPr>
                <w:rFonts w:ascii="Calibri" w:hAnsi="Calibri" w:cs="Calibri"/>
                <w:b/>
                <w:bCs/>
                <w:color w:val="000000"/>
                <w:shd w:val="clear" w:color="auto" w:fill="FFFFFF"/>
              </w:rPr>
              <w:t xml:space="preserve">The </w:t>
            </w:r>
            <w:r w:rsidR="00164C3D">
              <w:rPr>
                <w:rFonts w:ascii="Calibri" w:hAnsi="Calibri" w:cs="Calibri"/>
                <w:b/>
                <w:bCs/>
                <w:color w:val="000000"/>
                <w:shd w:val="clear" w:color="auto" w:fill="FFFFFF"/>
              </w:rPr>
              <w:t xml:space="preserve">Price </w:t>
            </w:r>
            <w:r w:rsidRPr="00165964">
              <w:rPr>
                <w:rFonts w:ascii="Calibri" w:hAnsi="Calibri" w:cs="Calibri"/>
                <w:b/>
                <w:bCs/>
                <w:color w:val="000000"/>
                <w:shd w:val="clear" w:color="auto" w:fill="FFFFFF"/>
              </w:rPr>
              <w:t xml:space="preserve">Exhibit provided by the State can be adjusted to fit any </w:t>
            </w:r>
            <w:proofErr w:type="gramStart"/>
            <w:r w:rsidRPr="00165964">
              <w:rPr>
                <w:rFonts w:ascii="Calibri" w:hAnsi="Calibri" w:cs="Calibri"/>
                <w:b/>
                <w:bCs/>
                <w:color w:val="000000"/>
                <w:shd w:val="clear" w:color="auto" w:fill="FFFFFF"/>
              </w:rPr>
              <w:t>vendors</w:t>
            </w:r>
            <w:proofErr w:type="gramEnd"/>
            <w:r w:rsidRPr="00165964">
              <w:rPr>
                <w:rFonts w:ascii="Calibri" w:hAnsi="Calibri" w:cs="Calibri"/>
                <w:b/>
                <w:bCs/>
                <w:color w:val="000000"/>
                <w:shd w:val="clear" w:color="auto" w:fill="FFFFFF"/>
              </w:rPr>
              <w:t xml:space="preserve"> response. Please feel free to shape the spreadsheet in a manner to offer your best response.</w:t>
            </w:r>
          </w:p>
          <w:p w14:paraId="1147ED00" w14:textId="77777777" w:rsidR="001B4195" w:rsidRDefault="001B4195" w:rsidP="001B4195">
            <w:pPr>
              <w:rPr>
                <w:rFonts w:ascii="Calibri" w:hAnsi="Calibri" w:cs="Calibri"/>
                <w:b/>
                <w:bCs/>
                <w:color w:val="000000"/>
                <w:shd w:val="clear" w:color="auto" w:fill="FFFFFF"/>
              </w:rPr>
            </w:pPr>
          </w:p>
          <w:p w14:paraId="03B30B8D" w14:textId="0F5BCAFB" w:rsidR="001B4195" w:rsidRDefault="001B4195" w:rsidP="005B0007">
            <w:pPr>
              <w:spacing w:beforeLines="50" w:before="120"/>
            </w:pPr>
            <w:r w:rsidRPr="001B4195">
              <w:t xml:space="preserve">Will we need to complete section </w:t>
            </w:r>
            <w:proofErr w:type="gramStart"/>
            <w:r w:rsidRPr="001B4195">
              <w:t>H ,</w:t>
            </w:r>
            <w:proofErr w:type="gramEnd"/>
            <w:r w:rsidRPr="001B4195">
              <w:t xml:space="preserve"> security assessment , if the products we sell are passive products? </w:t>
            </w:r>
          </w:p>
          <w:p w14:paraId="4F86B894" w14:textId="7E63E4D9" w:rsidR="001B4195" w:rsidRDefault="001B4195" w:rsidP="005B0007">
            <w:pPr>
              <w:spacing w:beforeLines="50" w:before="120"/>
            </w:pPr>
          </w:p>
          <w:p w14:paraId="594F45ED" w14:textId="4DC60548" w:rsidR="001B4195" w:rsidRDefault="001B4195" w:rsidP="005B0007">
            <w:pPr>
              <w:spacing w:beforeLines="50" w:before="120"/>
              <w:rPr>
                <w:b/>
                <w:bCs/>
              </w:rPr>
            </w:pPr>
            <w:r w:rsidRPr="001B4195">
              <w:rPr>
                <w:b/>
                <w:bCs/>
              </w:rPr>
              <w:t>The State requests all responding vendors answer any section of the security assessment that would apply to their products/services.</w:t>
            </w:r>
          </w:p>
          <w:p w14:paraId="40C568A2" w14:textId="704BE1A5" w:rsidR="001B4195" w:rsidRDefault="001B4195" w:rsidP="005B0007">
            <w:pPr>
              <w:spacing w:beforeLines="50" w:before="120"/>
              <w:rPr>
                <w:b/>
                <w:bCs/>
              </w:rPr>
            </w:pPr>
          </w:p>
          <w:p w14:paraId="2A1C6C22" w14:textId="565387B4" w:rsidR="001B4195" w:rsidRDefault="007C1645" w:rsidP="005B0007">
            <w:pPr>
              <w:spacing w:beforeLines="50" w:before="120"/>
            </w:pPr>
            <w:r w:rsidRPr="007C1645">
              <w:t xml:space="preserve">Where will all questions be </w:t>
            </w:r>
            <w:proofErr w:type="gramStart"/>
            <w:r w:rsidRPr="007C1645">
              <w:t>posted ?</w:t>
            </w:r>
            <w:proofErr w:type="gramEnd"/>
            <w:r w:rsidRPr="007C1645">
              <w:t xml:space="preserve">  </w:t>
            </w:r>
            <w:proofErr w:type="gramStart"/>
            <w:r w:rsidRPr="007C1645">
              <w:t>and</w:t>
            </w:r>
            <w:proofErr w:type="gramEnd"/>
            <w:r w:rsidRPr="007C1645">
              <w:t xml:space="preserve"> when ?</w:t>
            </w:r>
          </w:p>
          <w:p w14:paraId="5D89F89A" w14:textId="11132196" w:rsidR="007C1645" w:rsidRDefault="007C1645" w:rsidP="005B0007">
            <w:pPr>
              <w:spacing w:beforeLines="50" w:before="120"/>
            </w:pPr>
          </w:p>
          <w:p w14:paraId="25FC31B7" w14:textId="402DF6A3" w:rsidR="007C1645" w:rsidRDefault="007C1645" w:rsidP="005B0007">
            <w:pPr>
              <w:spacing w:beforeLines="50" w:before="120"/>
              <w:rPr>
                <w:rFonts w:ascii="Calibri" w:hAnsi="Calibri" w:cs="Calibri"/>
                <w:b/>
                <w:bCs/>
                <w:color w:val="000000"/>
              </w:rPr>
            </w:pPr>
            <w:r>
              <w:rPr>
                <w:rFonts w:ascii="Calibri" w:hAnsi="Calibri" w:cs="Calibri"/>
                <w:b/>
                <w:bCs/>
                <w:color w:val="000000"/>
              </w:rPr>
              <w:lastRenderedPageBreak/>
              <w:t>The Q&amp;A period will be posted as an Amendment to the website as close to the end of the Q&amp;A period as possible. The end of the Q&amp;A period is 3/28/2023 at 3:00 CST.</w:t>
            </w:r>
          </w:p>
          <w:p w14:paraId="3E5B8EF3" w14:textId="0EC1A521" w:rsidR="007C1645" w:rsidRDefault="007C1645" w:rsidP="005B0007">
            <w:pPr>
              <w:spacing w:beforeLines="50" w:before="120"/>
              <w:rPr>
                <w:rFonts w:ascii="Calibri" w:hAnsi="Calibri" w:cs="Calibri"/>
                <w:b/>
                <w:bCs/>
                <w:color w:val="000000"/>
              </w:rPr>
            </w:pPr>
          </w:p>
          <w:p w14:paraId="524AE781"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r w:rsidRPr="0001500A">
              <w:rPr>
                <w:rFonts w:ascii="Calibri" w:eastAsia="Calibri" w:hAnsi="Calibri" w:cs="Times New Roman"/>
                <w:sz w:val="22"/>
                <w:szCs w:val="22"/>
              </w:rPr>
              <w:t xml:space="preserve">For Section 2.2.5, part b, what kind of lengths will be required for the CAT6/6a cabling? Or will bulk (1000’) cabling be required? </w:t>
            </w:r>
            <w:r w:rsidRPr="0001500A">
              <w:rPr>
                <w:rFonts w:ascii="Calibri" w:eastAsia="Calibri" w:hAnsi="Calibri" w:cs="Times New Roman"/>
                <w:b/>
                <w:bCs/>
                <w:sz w:val="22"/>
                <w:szCs w:val="22"/>
              </w:rPr>
              <w:t>All standard lengths of patch cables 3, 5, 7, 10, 15’ as well as 1000’ boxes.</w:t>
            </w:r>
          </w:p>
          <w:p w14:paraId="1EA02206"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p>
          <w:p w14:paraId="0045F1B6"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r w:rsidRPr="0001500A">
              <w:rPr>
                <w:rFonts w:ascii="Calibri" w:eastAsia="Calibri" w:hAnsi="Calibri" w:cs="Times New Roman"/>
                <w:sz w:val="22"/>
                <w:szCs w:val="22"/>
              </w:rPr>
              <w:t xml:space="preserve">For Section 2.2.5, part b, if bulk cabling is required, how much total length of cabling will be needed (in feet)? </w:t>
            </w:r>
            <w:r w:rsidRPr="0001500A">
              <w:rPr>
                <w:rFonts w:ascii="Calibri" w:eastAsia="Calibri" w:hAnsi="Calibri" w:cs="Times New Roman"/>
                <w:b/>
                <w:bCs/>
                <w:sz w:val="22"/>
                <w:szCs w:val="22"/>
              </w:rPr>
              <w:t>Total cabling lengths are determined by the job and will vary from 1000’ to 100,000’.</w:t>
            </w:r>
          </w:p>
          <w:p w14:paraId="16568912"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p>
          <w:p w14:paraId="10D522A1"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r w:rsidRPr="0001500A">
              <w:rPr>
                <w:rFonts w:ascii="Calibri" w:eastAsia="Calibri" w:hAnsi="Calibri" w:cs="Times New Roman"/>
                <w:sz w:val="22"/>
                <w:szCs w:val="22"/>
              </w:rPr>
              <w:t>For Section 2.2.7, what kind of lengths do the Single Mode and Multi-Mode fiber cables need to be in? Or will bulk cabling be required?</w:t>
            </w:r>
            <w:r w:rsidRPr="0001500A">
              <w:rPr>
                <w:rFonts w:ascii="Calibri" w:eastAsia="Calibri" w:hAnsi="Calibri" w:cs="Times New Roman"/>
                <w:b/>
                <w:bCs/>
                <w:sz w:val="22"/>
                <w:szCs w:val="22"/>
              </w:rPr>
              <w:t xml:space="preserve"> All standard lengths of patch cables as well as bulk depending of the project.</w:t>
            </w:r>
          </w:p>
          <w:p w14:paraId="5B9E26FA"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p>
          <w:p w14:paraId="5D4A2276"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r w:rsidRPr="0001500A">
              <w:rPr>
                <w:rFonts w:ascii="Calibri" w:eastAsia="Calibri" w:hAnsi="Calibri" w:cs="Times New Roman"/>
                <w:sz w:val="22"/>
                <w:szCs w:val="22"/>
              </w:rPr>
              <w:t xml:space="preserve">For Section 2.2.7, if pre-terminated cables are needed, what type of connections will be required for each length of cable (LC, SC, ST, etc.)? </w:t>
            </w:r>
            <w:r w:rsidRPr="0001500A">
              <w:rPr>
                <w:rFonts w:ascii="Calibri" w:eastAsia="Calibri" w:hAnsi="Calibri" w:cs="Times New Roman"/>
                <w:b/>
                <w:bCs/>
                <w:sz w:val="22"/>
                <w:szCs w:val="22"/>
              </w:rPr>
              <w:t>We have standardized on LC connectors but still have some legacy ST and SC in place.</w:t>
            </w:r>
          </w:p>
          <w:p w14:paraId="0018EC87"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p>
          <w:p w14:paraId="57369A7C"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b/>
                <w:bCs/>
                <w:sz w:val="22"/>
                <w:szCs w:val="22"/>
              </w:rPr>
            </w:pPr>
            <w:r w:rsidRPr="0001500A">
              <w:rPr>
                <w:rFonts w:ascii="Calibri" w:eastAsia="Calibri" w:hAnsi="Calibri" w:cs="Times New Roman"/>
                <w:sz w:val="22"/>
                <w:szCs w:val="22"/>
              </w:rPr>
              <w:t xml:space="preserve">For Section 2.2.8, how many ports will the fiber patch panels need to provide and what kind of ports will need to be provided (LC, SC, ST, etc.)? </w:t>
            </w:r>
            <w:r w:rsidRPr="0001500A">
              <w:rPr>
                <w:rFonts w:ascii="Calibri" w:eastAsia="Calibri" w:hAnsi="Calibri" w:cs="Times New Roman"/>
                <w:b/>
                <w:bCs/>
                <w:sz w:val="22"/>
                <w:szCs w:val="22"/>
              </w:rPr>
              <w:t>Fiber patch panels are LC configurable so can be loaded from 6 ports up.</w:t>
            </w:r>
          </w:p>
          <w:p w14:paraId="64D15DAA" w14:textId="77777777" w:rsidR="0001500A" w:rsidRPr="0001500A" w:rsidRDefault="0001500A" w:rsidP="0001500A">
            <w:pPr>
              <w:overflowPunct/>
              <w:autoSpaceDE/>
              <w:autoSpaceDN/>
              <w:adjustRightInd/>
              <w:spacing w:after="160" w:line="259" w:lineRule="auto"/>
              <w:textAlignment w:val="auto"/>
              <w:rPr>
                <w:rFonts w:ascii="Calibri" w:eastAsia="Calibri" w:hAnsi="Calibri" w:cs="Calibri"/>
                <w:b/>
                <w:bCs/>
                <w:color w:val="000000"/>
                <w:sz w:val="22"/>
                <w:szCs w:val="22"/>
                <w:shd w:val="clear" w:color="auto" w:fill="FFFFFF"/>
              </w:rPr>
            </w:pPr>
            <w:r w:rsidRPr="0001500A">
              <w:rPr>
                <w:rFonts w:ascii="Calibri" w:eastAsia="Calibri" w:hAnsi="Calibri" w:cs="Calibri"/>
                <w:color w:val="000000"/>
                <w:sz w:val="22"/>
                <w:szCs w:val="22"/>
                <w:shd w:val="clear" w:color="auto" w:fill="FFFFFF"/>
              </w:rPr>
              <w:t xml:space="preserve">As per L. Section Twelve:  Business References: Any required business references and associated information shall be inserted in this section. Request you to please elaborate more on how many references required. </w:t>
            </w:r>
            <w:r w:rsidRPr="0001500A">
              <w:rPr>
                <w:rFonts w:ascii="Calibri" w:eastAsia="Calibri" w:hAnsi="Calibri" w:cs="Calibri"/>
                <w:b/>
                <w:bCs/>
                <w:color w:val="000000"/>
                <w:sz w:val="22"/>
                <w:szCs w:val="22"/>
                <w:shd w:val="clear" w:color="auto" w:fill="FFFFFF"/>
              </w:rPr>
              <w:t>References are not required for this bid.</w:t>
            </w:r>
          </w:p>
          <w:p w14:paraId="4F032956" w14:textId="77777777" w:rsidR="0001500A" w:rsidRPr="0001500A" w:rsidRDefault="0001500A" w:rsidP="0001500A">
            <w:pPr>
              <w:overflowPunct/>
              <w:autoSpaceDE/>
              <w:autoSpaceDN/>
              <w:adjustRightInd/>
              <w:spacing w:after="160" w:line="259" w:lineRule="auto"/>
              <w:textAlignment w:val="auto"/>
              <w:rPr>
                <w:rFonts w:ascii="Calibri" w:eastAsia="Calibri" w:hAnsi="Calibri" w:cs="Times New Roman"/>
                <w:sz w:val="22"/>
                <w:szCs w:val="22"/>
              </w:rPr>
            </w:pPr>
            <w:r w:rsidRPr="0001500A">
              <w:rPr>
                <w:rFonts w:ascii="Calibri" w:eastAsia="Calibri" w:hAnsi="Calibri" w:cs="Calibri"/>
                <w:color w:val="000000"/>
                <w:sz w:val="22"/>
                <w:szCs w:val="22"/>
                <w:shd w:val="clear" w:color="auto" w:fill="FFFFFF"/>
              </w:rPr>
              <w:t xml:space="preserve">As per attachment D, CJIS: A completed Appendix H to said Security Policy will need to be signed by Vendor or a 3rd party if it has access to CJI, such as incident to the maintenance or support of the purchased hardware or software within which resides CJI. Since the products we would be offering in this request being simple cable devices and this wouldn’t really apply to the products themselves since there is no intelligent (chip) technology to these parts. Is it a mandatory requirement for the Prime bidder or OEMS to comply and sign the CJIS policy? </w:t>
            </w:r>
            <w:r w:rsidRPr="0001500A">
              <w:rPr>
                <w:rFonts w:ascii="Calibri" w:eastAsia="Calibri" w:hAnsi="Calibri" w:cs="Calibri"/>
                <w:b/>
                <w:bCs/>
                <w:color w:val="000000"/>
                <w:sz w:val="22"/>
                <w:szCs w:val="22"/>
                <w:shd w:val="clear" w:color="auto" w:fill="FFFFFF"/>
              </w:rPr>
              <w:t>It is the State’s desire to have all IT vendors submit to an accreditation. If a vendor has already passed the accreditation, they would only need to submit their certification.</w:t>
            </w:r>
          </w:p>
          <w:p w14:paraId="35E8A0A8" w14:textId="77777777" w:rsidR="00164C3D" w:rsidRDefault="00164C3D" w:rsidP="005B0007">
            <w:pPr>
              <w:spacing w:beforeLines="50" w:before="120"/>
              <w:rPr>
                <w:rFonts w:ascii="Calibri" w:hAnsi="Calibri" w:cs="Calibri"/>
                <w:b/>
                <w:bCs/>
                <w:color w:val="000000"/>
              </w:rPr>
            </w:pPr>
          </w:p>
          <w:p w14:paraId="4CF2751F" w14:textId="642A4CED" w:rsidR="007C1645" w:rsidRDefault="00EE4D72" w:rsidP="005B0007">
            <w:pPr>
              <w:spacing w:beforeLines="50" w:before="1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I pulled a POS report from all of the items you have purchased in the current contract years and felt this may be the best way for me to provide your information needed.  Would you agree?  Is there another format you would like to see it in?  Please feel free to comment either way.  I am looking for the easiest solution for you!  Thank you for the assistance in advance.  </w:t>
            </w:r>
          </w:p>
          <w:p w14:paraId="45D61F67" w14:textId="427F7D32" w:rsidR="00EE4D72" w:rsidRDefault="00EE4D72" w:rsidP="005B0007">
            <w:pPr>
              <w:spacing w:beforeLines="50" w:before="120"/>
              <w:rPr>
                <w:rFonts w:ascii="Calibri" w:hAnsi="Calibri" w:cs="Calibri"/>
                <w:color w:val="242424"/>
                <w:sz w:val="22"/>
                <w:szCs w:val="22"/>
                <w:shd w:val="clear" w:color="auto" w:fill="FFFFFF"/>
              </w:rPr>
            </w:pPr>
          </w:p>
          <w:p w14:paraId="17ED8D7E" w14:textId="77777777" w:rsidR="00EE4D72" w:rsidRPr="00EE4D72" w:rsidRDefault="00EE4D72" w:rsidP="00EE4D72">
            <w:pPr>
              <w:spacing w:beforeLines="50" w:before="120"/>
              <w:rPr>
                <w:b/>
                <w:bCs/>
              </w:rPr>
            </w:pPr>
            <w:r w:rsidRPr="00EE4D72">
              <w:rPr>
                <w:b/>
                <w:bCs/>
              </w:rPr>
              <w:t>The State cannot participate in how a vendor response is formatted. The onus is upon each vendor to submit the best response possible.</w:t>
            </w:r>
          </w:p>
          <w:p w14:paraId="2FF2CBA5" w14:textId="6229CC4C" w:rsidR="00EE4D72" w:rsidRDefault="00EE4D72" w:rsidP="005B0007">
            <w:pPr>
              <w:spacing w:beforeLines="50" w:before="120"/>
            </w:pPr>
          </w:p>
          <w:p w14:paraId="5A2C150F" w14:textId="76A0B37B" w:rsidR="007418EB" w:rsidRDefault="007418EB" w:rsidP="007418EB">
            <w:pPr>
              <w:rPr>
                <w:b/>
                <w:bCs/>
                <w:i/>
                <w:iCs/>
              </w:rPr>
            </w:pPr>
            <w:r>
              <w:t xml:space="preserve">I wanted to follow up on the questions below. </w:t>
            </w:r>
            <w:proofErr w:type="spellStart"/>
            <w:r>
              <w:t>Mythics</w:t>
            </w:r>
            <w:proofErr w:type="spellEnd"/>
            <w:r>
              <w:t xml:space="preserve"> recently underwent a name change from </w:t>
            </w:r>
            <w:proofErr w:type="spellStart"/>
            <w:r>
              <w:t>Mythics</w:t>
            </w:r>
            <w:proofErr w:type="spellEnd"/>
            <w:r>
              <w:t xml:space="preserve">, Inc. to </w:t>
            </w:r>
            <w:proofErr w:type="spellStart"/>
            <w:r>
              <w:t>Mythics</w:t>
            </w:r>
            <w:proofErr w:type="spellEnd"/>
            <w:r>
              <w:t xml:space="preserve">, LLC and our Contracts team has been working diligently with the OMES Registration team (Joana </w:t>
            </w:r>
            <w:proofErr w:type="spellStart"/>
            <w:r>
              <w:t>Stenulson</w:t>
            </w:r>
            <w:proofErr w:type="spellEnd"/>
            <w:r>
              <w:t xml:space="preserve">) to update this information in the portal.  At this time, the update is under review by Oklahoma and therefore I do not believe I am able to login to the portal system to submit the questions there as well.  </w:t>
            </w:r>
            <w:r>
              <w:rPr>
                <w:b/>
                <w:bCs/>
                <w:i/>
                <w:iCs/>
              </w:rPr>
              <w:t>Could you confirm that you’ll accept the questions below via email submission only?</w:t>
            </w:r>
          </w:p>
          <w:p w14:paraId="0E126ED9" w14:textId="7433235E" w:rsidR="007418EB" w:rsidRDefault="007418EB" w:rsidP="007418EB">
            <w:pPr>
              <w:rPr>
                <w:b/>
                <w:bCs/>
                <w:i/>
                <w:iCs/>
              </w:rPr>
            </w:pPr>
          </w:p>
          <w:p w14:paraId="2AE0EFFD" w14:textId="53889428" w:rsidR="007418EB" w:rsidRPr="007418EB" w:rsidRDefault="007418EB" w:rsidP="007418EB">
            <w:pPr>
              <w:rPr>
                <w:rFonts w:ascii="Calibri" w:hAnsi="Calibri" w:cs="Calibri"/>
                <w:b/>
                <w:bCs/>
              </w:rPr>
            </w:pPr>
            <w:r w:rsidRPr="007418EB">
              <w:rPr>
                <w:b/>
                <w:bCs/>
              </w:rPr>
              <w:lastRenderedPageBreak/>
              <w:t>All solicitation actions mu</w:t>
            </w:r>
            <w:r>
              <w:rPr>
                <w:b/>
                <w:bCs/>
              </w:rPr>
              <w:t>s</w:t>
            </w:r>
            <w:r w:rsidRPr="007418EB">
              <w:rPr>
                <w:b/>
                <w:bCs/>
              </w:rPr>
              <w:t xml:space="preserve">t be executed from the supplier portal </w:t>
            </w:r>
            <w:hyperlink r:id="rId14" w:history="1">
              <w:r w:rsidRPr="007418EB">
                <w:rPr>
                  <w:rStyle w:val="Hyperlink"/>
                  <w:b/>
                  <w:bCs/>
                </w:rPr>
                <w:t>https://oklahoma.gov/omes/services/purchasing/supplier-portal.html</w:t>
              </w:r>
            </w:hyperlink>
          </w:p>
          <w:p w14:paraId="126391E2" w14:textId="77777777" w:rsidR="007418EB" w:rsidRPr="007418EB" w:rsidRDefault="007418EB" w:rsidP="007418EB">
            <w:pPr>
              <w:rPr>
                <w:b/>
                <w:bCs/>
              </w:rPr>
            </w:pPr>
          </w:p>
          <w:p w14:paraId="10E03DD5" w14:textId="77777777" w:rsidR="007418EB" w:rsidRPr="007418EB" w:rsidRDefault="007418EB" w:rsidP="007418EB">
            <w:pPr>
              <w:rPr>
                <w:b/>
                <w:bCs/>
              </w:rPr>
            </w:pPr>
            <w:r w:rsidRPr="007418EB">
              <w:rPr>
                <w:b/>
                <w:bCs/>
              </w:rPr>
              <w:t xml:space="preserve">However, at this time I may accept and respond to questions asked prior to Q&amp;A close via email as Q&amp;A functionality currently under review. </w:t>
            </w:r>
          </w:p>
          <w:p w14:paraId="68E0B140" w14:textId="77777777" w:rsidR="007418EB" w:rsidRDefault="007418EB" w:rsidP="007418EB">
            <w:pPr>
              <w:rPr>
                <w:rFonts w:ascii="Calibri" w:hAnsi="Calibri" w:cs="Calibri"/>
                <w:b/>
                <w:bCs/>
                <w:i/>
                <w:iCs/>
              </w:rPr>
            </w:pPr>
          </w:p>
          <w:p w14:paraId="788F57A6" w14:textId="77777777" w:rsidR="007418EB" w:rsidRPr="007C1645" w:rsidRDefault="007418EB" w:rsidP="005B0007">
            <w:pPr>
              <w:spacing w:beforeLines="50" w:before="120"/>
            </w:pPr>
          </w:p>
          <w:p w14:paraId="50BD9D7B" w14:textId="3758796B" w:rsidR="00F558C8" w:rsidRPr="00F558C8" w:rsidRDefault="00727D39" w:rsidP="005B0007">
            <w:pPr>
              <w:spacing w:beforeLines="50" w:before="120"/>
            </w:pPr>
            <w:r w:rsidRPr="00727D39">
              <w:t xml:space="preserve">After receiving this amendment </w:t>
            </w:r>
            <w:proofErr w:type="gramStart"/>
            <w:r w:rsidRPr="00727D39">
              <w:t>1 ,</w:t>
            </w:r>
            <w:proofErr w:type="gramEnd"/>
            <w:r w:rsidRPr="00727D39">
              <w:t xml:space="preserve"> to add these Leviton part # on exhibit 3 .  We noticed that the pricing response is exhibit </w:t>
            </w:r>
            <w:proofErr w:type="gramStart"/>
            <w:r w:rsidRPr="00727D39">
              <w:t>2 ,</w:t>
            </w:r>
            <w:proofErr w:type="gramEnd"/>
            <w:r w:rsidRPr="00727D39">
              <w:t xml:space="preserve"> but when opened it is named exhibit 1.  Are missing an exhibit or are they misnamed.  Secondly, doe the </w:t>
            </w:r>
            <w:proofErr w:type="gramStart"/>
            <w:r w:rsidRPr="00727D39">
              <w:t>State  add</w:t>
            </w:r>
            <w:proofErr w:type="gramEnd"/>
            <w:r w:rsidRPr="00727D39">
              <w:t xml:space="preserve"> these Leviton </w:t>
            </w:r>
            <w:proofErr w:type="spellStart"/>
            <w:r w:rsidRPr="00727D39">
              <w:t>part#s</w:t>
            </w:r>
            <w:proofErr w:type="spellEnd"/>
            <w:r w:rsidRPr="00727D39">
              <w:t xml:space="preserve"> to our pricing response in exhibit 2 or do they need to be listed separate in exhibit 3.</w:t>
            </w:r>
          </w:p>
          <w:p w14:paraId="4B0112A9" w14:textId="70873178" w:rsidR="00F558C8" w:rsidRDefault="00F558C8" w:rsidP="005B0007">
            <w:pPr>
              <w:spacing w:beforeLines="50" w:before="120"/>
            </w:pPr>
          </w:p>
          <w:p w14:paraId="0D81B2B2" w14:textId="4657C90A" w:rsidR="00727D39" w:rsidRDefault="00727D39" w:rsidP="005B0007">
            <w:pPr>
              <w:spacing w:beforeLines="50" w:before="120"/>
            </w:pPr>
            <w:r w:rsidRPr="00727D39">
              <w:rPr>
                <w:b/>
                <w:bCs/>
              </w:rPr>
              <w:t>The Pricing response is Exhibit 2. The bottom tab within the file is incorrect as Exhibit 1 is located within Attachment A. The State would prefer the Leviton products be quoted within Exhibit 3 if possible</w:t>
            </w:r>
            <w:r w:rsidRPr="00727D39">
              <w:t>.</w:t>
            </w:r>
          </w:p>
          <w:p w14:paraId="3E13F25C" w14:textId="77777777" w:rsidR="00727D39" w:rsidRDefault="00727D39" w:rsidP="005B0007">
            <w:pPr>
              <w:spacing w:beforeLines="50" w:before="120"/>
            </w:pPr>
          </w:p>
          <w:p w14:paraId="505EB697" w14:textId="0C39FA03" w:rsidR="00CB5EE2" w:rsidRPr="00CB5EE2" w:rsidRDefault="00CB5EE2" w:rsidP="00CB5EE2">
            <w:pPr>
              <w:shd w:val="clear" w:color="auto" w:fill="FFFFFF"/>
              <w:overflowPunct/>
              <w:autoSpaceDE/>
              <w:autoSpaceDN/>
              <w:adjustRightInd/>
              <w:rPr>
                <w:rFonts w:ascii="Calibri" w:hAnsi="Calibri" w:cs="Calibri"/>
                <w:color w:val="000000"/>
                <w:sz w:val="24"/>
                <w:szCs w:val="24"/>
              </w:rPr>
            </w:pPr>
            <w:r w:rsidRPr="00CB5EE2">
              <w:rPr>
                <w:color w:val="242424"/>
                <w:bdr w:val="none" w:sz="0" w:space="0" w:color="auto" w:frame="1"/>
                <w:shd w:val="clear" w:color="auto" w:fill="FFFFFF"/>
              </w:rPr>
              <w:t>Is it acceptable to OMES if we submit SIG Lite document, and data security package in lieu of responding to the Security questions excel file?</w:t>
            </w:r>
          </w:p>
          <w:p w14:paraId="5C8F9B9E" w14:textId="77777777" w:rsidR="00CB5EE2" w:rsidRPr="00CB5EE2" w:rsidRDefault="00CB5EE2" w:rsidP="00CB5EE2">
            <w:pPr>
              <w:shd w:val="clear" w:color="auto" w:fill="FFFFFF"/>
              <w:overflowPunct/>
              <w:autoSpaceDE/>
              <w:autoSpaceDN/>
              <w:adjustRightInd/>
              <w:rPr>
                <w:rFonts w:ascii="Calibri" w:hAnsi="Calibri" w:cs="Calibri"/>
                <w:color w:val="000000"/>
                <w:sz w:val="24"/>
                <w:szCs w:val="24"/>
              </w:rPr>
            </w:pPr>
            <w:r w:rsidRPr="00CB5EE2">
              <w:rPr>
                <w:color w:val="242424"/>
                <w:bdr w:val="none" w:sz="0" w:space="0" w:color="auto" w:frame="1"/>
                <w:shd w:val="clear" w:color="auto" w:fill="FFFFFF"/>
              </w:rPr>
              <w:br/>
            </w:r>
          </w:p>
          <w:p w14:paraId="0C51D14C" w14:textId="508F725B" w:rsidR="00CB5EE2" w:rsidRDefault="00CB5EE2" w:rsidP="00CB5EE2">
            <w:pPr>
              <w:shd w:val="clear" w:color="auto" w:fill="FFFFFF"/>
              <w:overflowPunct/>
              <w:autoSpaceDE/>
              <w:autoSpaceDN/>
              <w:adjustRightInd/>
              <w:rPr>
                <w:color w:val="242424"/>
                <w:bdr w:val="none" w:sz="0" w:space="0" w:color="auto" w:frame="1"/>
                <w:shd w:val="clear" w:color="auto" w:fill="FFFFFF"/>
              </w:rPr>
            </w:pPr>
            <w:r w:rsidRPr="00CB5EE2">
              <w:rPr>
                <w:b/>
                <w:bCs/>
                <w:color w:val="242424"/>
                <w:bdr w:val="none" w:sz="0" w:space="0" w:color="auto" w:frame="1"/>
                <w:shd w:val="clear" w:color="auto" w:fill="FFFFFF"/>
              </w:rPr>
              <w:t>Yes</w:t>
            </w:r>
            <w:r w:rsidRPr="00CB5EE2">
              <w:rPr>
                <w:color w:val="242424"/>
                <w:bdr w:val="none" w:sz="0" w:space="0" w:color="auto" w:frame="1"/>
                <w:shd w:val="clear" w:color="auto" w:fill="FFFFFF"/>
              </w:rPr>
              <w:t>.</w:t>
            </w:r>
          </w:p>
          <w:p w14:paraId="2A22EF97" w14:textId="194E483A" w:rsidR="00587FC0" w:rsidRDefault="00587FC0" w:rsidP="00CB5EE2">
            <w:pPr>
              <w:shd w:val="clear" w:color="auto" w:fill="FFFFFF"/>
              <w:overflowPunct/>
              <w:autoSpaceDE/>
              <w:autoSpaceDN/>
              <w:adjustRightInd/>
              <w:rPr>
                <w:color w:val="242424"/>
                <w:sz w:val="24"/>
                <w:szCs w:val="24"/>
                <w:bdr w:val="none" w:sz="0" w:space="0" w:color="auto" w:frame="1"/>
                <w:shd w:val="clear" w:color="auto" w:fill="FFFFFF"/>
              </w:rPr>
            </w:pPr>
          </w:p>
          <w:p w14:paraId="46610C8A"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142AF030"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Does the State expect the bidder to perform the installation, including the installation of security cameras? </w:t>
            </w:r>
            <w:r w:rsidRPr="00587FC0">
              <w:rPr>
                <w:rFonts w:ascii="Calibri" w:hAnsi="Calibri" w:cs="Calibri"/>
                <w:color w:val="FF0000"/>
                <w:sz w:val="22"/>
                <w:szCs w:val="22"/>
                <w:bdr w:val="none" w:sz="0" w:space="0" w:color="auto" w:frame="1"/>
              </w:rPr>
              <w:t>Materials Only NO Labor</w:t>
            </w:r>
          </w:p>
          <w:p w14:paraId="4E4D240C"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2</w:t>
            </w:r>
          </w:p>
          <w:p w14:paraId="006CCC8F"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68F04883"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Does the scope of the project include connecting any of the cabling to physical security equipment? </w:t>
            </w:r>
            <w:r w:rsidRPr="00587FC0">
              <w:rPr>
                <w:rFonts w:ascii="Calibri" w:hAnsi="Calibri" w:cs="Calibri"/>
                <w:color w:val="FF0000"/>
                <w:sz w:val="22"/>
                <w:szCs w:val="22"/>
                <w:bdr w:val="none" w:sz="0" w:space="0" w:color="auto" w:frame="1"/>
              </w:rPr>
              <w:t>Materials Only NO Labor</w:t>
            </w:r>
          </w:p>
          <w:p w14:paraId="651ABD21"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3</w:t>
            </w:r>
          </w:p>
          <w:p w14:paraId="4DD683BD"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3988C0F4"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define what services the State is looking for. </w:t>
            </w:r>
            <w:r w:rsidRPr="00587FC0">
              <w:rPr>
                <w:rFonts w:ascii="Calibri" w:hAnsi="Calibri" w:cs="Calibri"/>
                <w:color w:val="FF0000"/>
                <w:sz w:val="22"/>
                <w:szCs w:val="22"/>
                <w:bdr w:val="none" w:sz="0" w:space="0" w:color="auto" w:frame="1"/>
              </w:rPr>
              <w:t>Materials Only NO Labor</w:t>
            </w:r>
          </w:p>
          <w:p w14:paraId="4E5F1B92"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4</w:t>
            </w:r>
          </w:p>
          <w:p w14:paraId="31B17C18"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2</w:t>
            </w:r>
          </w:p>
          <w:p w14:paraId="00F26636"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define what the State is looking for in reference to: Hourly Rate - Normal Business Hours and Hourly Rate - After Hours. </w:t>
            </w:r>
            <w:r w:rsidRPr="00587FC0">
              <w:rPr>
                <w:rFonts w:ascii="Calibri" w:hAnsi="Calibri" w:cs="Calibri"/>
                <w:color w:val="FF0000"/>
                <w:sz w:val="22"/>
                <w:szCs w:val="22"/>
                <w:bdr w:val="none" w:sz="0" w:space="0" w:color="auto" w:frame="1"/>
              </w:rPr>
              <w:t>Materials Only NO Labor</w:t>
            </w:r>
          </w:p>
          <w:p w14:paraId="6E47CFA6"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5</w:t>
            </w:r>
          </w:p>
          <w:p w14:paraId="53F60FB0"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2</w:t>
            </w:r>
          </w:p>
          <w:p w14:paraId="21C4A609"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explain the intended scope of work for Hourly Rate - Normal Business Hours and Hourly Rate - After Hours. </w:t>
            </w:r>
            <w:r w:rsidRPr="00587FC0">
              <w:rPr>
                <w:rFonts w:ascii="Calibri" w:hAnsi="Calibri" w:cs="Calibri"/>
                <w:color w:val="FF0000"/>
                <w:sz w:val="22"/>
                <w:szCs w:val="22"/>
                <w:bdr w:val="none" w:sz="0" w:space="0" w:color="auto" w:frame="1"/>
              </w:rPr>
              <w:t>Materials Only NO Labor</w:t>
            </w:r>
          </w:p>
          <w:p w14:paraId="10226B9B"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6</w:t>
            </w:r>
          </w:p>
          <w:p w14:paraId="1386E5F7"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2</w:t>
            </w:r>
          </w:p>
          <w:p w14:paraId="3930E13D"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May we provide standard and expedited rates for project manager and demolition and any other roles we see with implementation projects of this nature? </w:t>
            </w:r>
            <w:r w:rsidRPr="00587FC0">
              <w:rPr>
                <w:rFonts w:ascii="Calibri" w:hAnsi="Calibri" w:cs="Calibri"/>
                <w:color w:val="FF0000"/>
                <w:sz w:val="22"/>
                <w:szCs w:val="22"/>
                <w:bdr w:val="none" w:sz="0" w:space="0" w:color="auto" w:frame="1"/>
              </w:rPr>
              <w:t>Materials Only NO Labor</w:t>
            </w:r>
          </w:p>
          <w:p w14:paraId="233DB6F5"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7</w:t>
            </w:r>
          </w:p>
          <w:p w14:paraId="11A087A9"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568109C7"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To ensure we stay within the requested scope for our proposal, please define what the State means by the "Network Accessories". </w:t>
            </w:r>
            <w:r w:rsidRPr="00587FC0">
              <w:rPr>
                <w:rFonts w:ascii="Calibri" w:hAnsi="Calibri" w:cs="Calibri"/>
                <w:color w:val="FF0000"/>
                <w:sz w:val="22"/>
                <w:szCs w:val="22"/>
                <w:bdr w:val="none" w:sz="0" w:space="0" w:color="auto" w:frame="1"/>
              </w:rPr>
              <w:t>Materials Only</w:t>
            </w:r>
          </w:p>
          <w:p w14:paraId="2F60F7A7"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8</w:t>
            </w:r>
          </w:p>
          <w:p w14:paraId="36098BC6"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2743F70F"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Would networking racks, cabinets, and transceivers fall into the category of network accessories for the State? </w:t>
            </w:r>
            <w:r w:rsidRPr="00587FC0">
              <w:rPr>
                <w:rFonts w:ascii="Calibri" w:hAnsi="Calibri" w:cs="Calibri"/>
                <w:color w:val="FF0000"/>
                <w:sz w:val="22"/>
                <w:szCs w:val="22"/>
                <w:bdr w:val="none" w:sz="0" w:space="0" w:color="auto" w:frame="1"/>
              </w:rPr>
              <w:t>Yes</w:t>
            </w:r>
          </w:p>
          <w:p w14:paraId="7569C2E7"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9</w:t>
            </w:r>
          </w:p>
          <w:p w14:paraId="75670A8E"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0D0CE67F"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define if the State is looking for Networking products and services, or if the State is looking for Network cables and accessories. </w:t>
            </w:r>
            <w:r w:rsidRPr="00587FC0">
              <w:rPr>
                <w:rFonts w:ascii="Calibri" w:hAnsi="Calibri" w:cs="Calibri"/>
                <w:color w:val="FF0000"/>
                <w:sz w:val="22"/>
                <w:szCs w:val="22"/>
                <w:bdr w:val="none" w:sz="0" w:space="0" w:color="auto" w:frame="1"/>
              </w:rPr>
              <w:t>Materials Only</w:t>
            </w:r>
          </w:p>
          <w:p w14:paraId="42F341D2"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10</w:t>
            </w:r>
          </w:p>
          <w:p w14:paraId="0930EB29"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Attachment A</w:t>
            </w:r>
          </w:p>
          <w:p w14:paraId="34BA3D84"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 xml:space="preserve">Please define what the State is looking for in regards to "each </w:t>
            </w:r>
            <w:proofErr w:type="gramStart"/>
            <w:r w:rsidRPr="00587FC0">
              <w:rPr>
                <w:rFonts w:ascii="Calibri" w:hAnsi="Calibri" w:cs="Calibri"/>
                <w:color w:val="000000"/>
                <w:sz w:val="22"/>
                <w:szCs w:val="22"/>
                <w:bdr w:val="none" w:sz="0" w:space="0" w:color="auto" w:frame="1"/>
              </w:rPr>
              <w:t>suppliers</w:t>
            </w:r>
            <w:proofErr w:type="gramEnd"/>
            <w:r w:rsidRPr="00587FC0">
              <w:rPr>
                <w:rFonts w:ascii="Calibri" w:hAnsi="Calibri" w:cs="Calibri"/>
                <w:color w:val="000000"/>
                <w:sz w:val="22"/>
                <w:szCs w:val="22"/>
                <w:bdr w:val="none" w:sz="0" w:space="0" w:color="auto" w:frame="1"/>
              </w:rPr>
              <w:t xml:space="preserve"> entire catalog of products". </w:t>
            </w:r>
            <w:r w:rsidRPr="00587FC0">
              <w:rPr>
                <w:rFonts w:ascii="Calibri" w:hAnsi="Calibri" w:cs="Calibri"/>
                <w:color w:val="FF0000"/>
                <w:sz w:val="22"/>
                <w:szCs w:val="22"/>
                <w:bdr w:val="none" w:sz="0" w:space="0" w:color="auto" w:frame="1"/>
              </w:rPr>
              <w:t>Materials Only</w:t>
            </w:r>
          </w:p>
          <w:p w14:paraId="67D6BE94"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11</w:t>
            </w:r>
          </w:p>
          <w:p w14:paraId="345A1480"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1</w:t>
            </w:r>
          </w:p>
          <w:p w14:paraId="7ED13914"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clarify what brands the State currently uses for products in line with the scope of this opportunity. </w:t>
            </w:r>
            <w:r w:rsidRPr="00587FC0">
              <w:rPr>
                <w:rFonts w:ascii="Calibri" w:hAnsi="Calibri" w:cs="Calibri"/>
                <w:color w:val="FF0000"/>
                <w:sz w:val="22"/>
                <w:szCs w:val="22"/>
                <w:bdr w:val="none" w:sz="0" w:space="0" w:color="auto" w:frame="1"/>
              </w:rPr>
              <w:t>Leviton is the majority of materials used</w:t>
            </w:r>
          </w:p>
          <w:p w14:paraId="3B87B884"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12</w:t>
            </w:r>
          </w:p>
          <w:p w14:paraId="60BE6A5B"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1</w:t>
            </w:r>
          </w:p>
          <w:p w14:paraId="04030D10"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May we provide our own detailed pricing spreadsheet in order to ensure the State has the most comprehensive pricing for this solicitation? </w:t>
            </w:r>
            <w:r w:rsidRPr="00587FC0">
              <w:rPr>
                <w:rFonts w:ascii="Calibri" w:hAnsi="Calibri" w:cs="Calibri"/>
                <w:color w:val="FF0000"/>
                <w:sz w:val="22"/>
                <w:szCs w:val="22"/>
                <w:bdr w:val="none" w:sz="0" w:space="0" w:color="auto" w:frame="1"/>
              </w:rPr>
              <w:t>Yes</w:t>
            </w:r>
          </w:p>
          <w:p w14:paraId="0418D6CA" w14:textId="77777777" w:rsidR="00587FC0" w:rsidRPr="00587FC0" w:rsidRDefault="00587FC0" w:rsidP="00587FC0">
            <w:pPr>
              <w:overflowPunct/>
              <w:autoSpaceDE/>
              <w:autoSpaceDN/>
              <w:adjustRightInd/>
              <w:jc w:val="right"/>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13</w:t>
            </w:r>
          </w:p>
          <w:p w14:paraId="47F4AACC"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Exhibit 2</w:t>
            </w:r>
          </w:p>
          <w:p w14:paraId="10491C6B" w14:textId="77777777" w:rsidR="00587FC0" w:rsidRPr="00587FC0" w:rsidRDefault="00587FC0" w:rsidP="00587FC0">
            <w:pPr>
              <w:overflowPunct/>
              <w:autoSpaceDE/>
              <w:autoSpaceDN/>
              <w:adjustRightInd/>
              <w:textAlignment w:val="auto"/>
              <w:rPr>
                <w:rFonts w:ascii="Calibri" w:hAnsi="Calibri" w:cs="Calibri"/>
                <w:color w:val="000000"/>
                <w:sz w:val="22"/>
                <w:szCs w:val="22"/>
              </w:rPr>
            </w:pPr>
            <w:r w:rsidRPr="00587FC0">
              <w:rPr>
                <w:rFonts w:ascii="Calibri" w:hAnsi="Calibri" w:cs="Calibri"/>
                <w:color w:val="000000"/>
                <w:sz w:val="22"/>
                <w:szCs w:val="22"/>
                <w:bdr w:val="none" w:sz="0" w:space="0" w:color="auto" w:frame="1"/>
              </w:rPr>
              <w:t>Please define what hours the State considers "after hours" </w:t>
            </w:r>
            <w:r w:rsidRPr="00587FC0">
              <w:rPr>
                <w:rFonts w:ascii="Calibri" w:hAnsi="Calibri" w:cs="Calibri"/>
                <w:color w:val="FF0000"/>
                <w:sz w:val="22"/>
                <w:szCs w:val="22"/>
                <w:bdr w:val="none" w:sz="0" w:space="0" w:color="auto" w:frame="1"/>
              </w:rPr>
              <w:t>Materials Only NO Labor</w:t>
            </w:r>
          </w:p>
          <w:p w14:paraId="6B35A0C6" w14:textId="77777777" w:rsidR="00587FC0" w:rsidRPr="00CB5EE2" w:rsidRDefault="00587FC0" w:rsidP="00CB5EE2">
            <w:pPr>
              <w:shd w:val="clear" w:color="auto" w:fill="FFFFFF"/>
              <w:overflowPunct/>
              <w:autoSpaceDE/>
              <w:autoSpaceDN/>
              <w:adjustRightInd/>
              <w:rPr>
                <w:rFonts w:ascii="Calibri" w:hAnsi="Calibri" w:cs="Calibri"/>
                <w:color w:val="000000"/>
                <w:sz w:val="24"/>
                <w:szCs w:val="24"/>
              </w:rPr>
            </w:pPr>
          </w:p>
          <w:p w14:paraId="6AA5AA67" w14:textId="77777777" w:rsidR="00727D39" w:rsidRDefault="00727D39" w:rsidP="005B0007">
            <w:pPr>
              <w:spacing w:beforeLines="50" w:before="120"/>
            </w:pPr>
          </w:p>
          <w:p w14:paraId="154F5B1E" w14:textId="1E457BA8" w:rsidR="00727D39" w:rsidRPr="00F558C8" w:rsidRDefault="00727D39"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1500A"/>
    <w:rsid w:val="000272B1"/>
    <w:rsid w:val="00071DEE"/>
    <w:rsid w:val="000762C8"/>
    <w:rsid w:val="000B2710"/>
    <w:rsid w:val="000C256A"/>
    <w:rsid w:val="000E685E"/>
    <w:rsid w:val="000F6889"/>
    <w:rsid w:val="0011201C"/>
    <w:rsid w:val="001228D8"/>
    <w:rsid w:val="001459B3"/>
    <w:rsid w:val="00163545"/>
    <w:rsid w:val="001645DA"/>
    <w:rsid w:val="00164C3D"/>
    <w:rsid w:val="00165964"/>
    <w:rsid w:val="00175406"/>
    <w:rsid w:val="001B02BC"/>
    <w:rsid w:val="001B4195"/>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76544"/>
    <w:rsid w:val="00481E34"/>
    <w:rsid w:val="00486681"/>
    <w:rsid w:val="004953C1"/>
    <w:rsid w:val="004A1495"/>
    <w:rsid w:val="004C658A"/>
    <w:rsid w:val="004D12F1"/>
    <w:rsid w:val="004F3131"/>
    <w:rsid w:val="004F4D3E"/>
    <w:rsid w:val="004F7DA5"/>
    <w:rsid w:val="005120F6"/>
    <w:rsid w:val="005133BB"/>
    <w:rsid w:val="005144E6"/>
    <w:rsid w:val="00522C4A"/>
    <w:rsid w:val="00536416"/>
    <w:rsid w:val="0054435F"/>
    <w:rsid w:val="00555B71"/>
    <w:rsid w:val="00567410"/>
    <w:rsid w:val="00567CEE"/>
    <w:rsid w:val="005720DE"/>
    <w:rsid w:val="005746A0"/>
    <w:rsid w:val="00587B9A"/>
    <w:rsid w:val="00587FC0"/>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27D39"/>
    <w:rsid w:val="00730B10"/>
    <w:rsid w:val="007418EB"/>
    <w:rsid w:val="00744B5C"/>
    <w:rsid w:val="00775D7C"/>
    <w:rsid w:val="007C0AF0"/>
    <w:rsid w:val="007C0E6C"/>
    <w:rsid w:val="007C1645"/>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2689"/>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5EE2"/>
    <w:rsid w:val="00CB7AD4"/>
    <w:rsid w:val="00CC0ED2"/>
    <w:rsid w:val="00CD1149"/>
    <w:rsid w:val="00CD54F8"/>
    <w:rsid w:val="00CF330F"/>
    <w:rsid w:val="00CF54E8"/>
    <w:rsid w:val="00D105B5"/>
    <w:rsid w:val="00D11B4D"/>
    <w:rsid w:val="00D13959"/>
    <w:rsid w:val="00D231D3"/>
    <w:rsid w:val="00D30082"/>
    <w:rsid w:val="00D30E1B"/>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EE4D72"/>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5687">
      <w:bodyDiv w:val="1"/>
      <w:marLeft w:val="0"/>
      <w:marRight w:val="0"/>
      <w:marTop w:val="0"/>
      <w:marBottom w:val="0"/>
      <w:divBdr>
        <w:top w:val="none" w:sz="0" w:space="0" w:color="auto"/>
        <w:left w:val="none" w:sz="0" w:space="0" w:color="auto"/>
        <w:bottom w:val="none" w:sz="0" w:space="0" w:color="auto"/>
        <w:right w:val="none" w:sz="0" w:space="0" w:color="auto"/>
      </w:divBdr>
    </w:div>
    <w:div w:id="124545764">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627586326">
      <w:bodyDiv w:val="1"/>
      <w:marLeft w:val="0"/>
      <w:marRight w:val="0"/>
      <w:marTop w:val="0"/>
      <w:marBottom w:val="0"/>
      <w:divBdr>
        <w:top w:val="none" w:sz="0" w:space="0" w:color="auto"/>
        <w:left w:val="none" w:sz="0" w:space="0" w:color="auto"/>
        <w:bottom w:val="none" w:sz="0" w:space="0" w:color="auto"/>
        <w:right w:val="none" w:sz="0" w:space="0" w:color="auto"/>
      </w:divBdr>
      <w:divsChild>
        <w:div w:id="1422221519">
          <w:marLeft w:val="0"/>
          <w:marRight w:val="0"/>
          <w:marTop w:val="0"/>
          <w:marBottom w:val="0"/>
          <w:divBdr>
            <w:top w:val="none" w:sz="0" w:space="0" w:color="auto"/>
            <w:left w:val="none" w:sz="0" w:space="0" w:color="auto"/>
            <w:bottom w:val="none" w:sz="0" w:space="0" w:color="auto"/>
            <w:right w:val="none" w:sz="0" w:space="0" w:color="auto"/>
          </w:divBdr>
        </w:div>
        <w:div w:id="82533165">
          <w:marLeft w:val="0"/>
          <w:marRight w:val="0"/>
          <w:marTop w:val="0"/>
          <w:marBottom w:val="0"/>
          <w:divBdr>
            <w:top w:val="none" w:sz="0" w:space="0" w:color="auto"/>
            <w:left w:val="none" w:sz="0" w:space="0" w:color="auto"/>
            <w:bottom w:val="none" w:sz="0" w:space="0" w:color="auto"/>
            <w:right w:val="none" w:sz="0" w:space="0" w:color="auto"/>
          </w:divBdr>
        </w:div>
        <w:div w:id="1583954569">
          <w:marLeft w:val="0"/>
          <w:marRight w:val="0"/>
          <w:marTop w:val="0"/>
          <w:marBottom w:val="0"/>
          <w:divBdr>
            <w:top w:val="none" w:sz="0" w:space="0" w:color="auto"/>
            <w:left w:val="none" w:sz="0" w:space="0" w:color="auto"/>
            <w:bottom w:val="none" w:sz="0" w:space="0" w:color="auto"/>
            <w:right w:val="none" w:sz="0" w:space="0" w:color="auto"/>
          </w:divBdr>
        </w:div>
      </w:divsChild>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795374788">
      <w:bodyDiv w:val="1"/>
      <w:marLeft w:val="0"/>
      <w:marRight w:val="0"/>
      <w:marTop w:val="0"/>
      <w:marBottom w:val="0"/>
      <w:divBdr>
        <w:top w:val="none" w:sz="0" w:space="0" w:color="auto"/>
        <w:left w:val="none" w:sz="0" w:space="0" w:color="auto"/>
        <w:bottom w:val="none" w:sz="0" w:space="0" w:color="auto"/>
        <w:right w:val="none" w:sz="0" w:space="0" w:color="auto"/>
      </w:divBdr>
      <w:divsChild>
        <w:div w:id="1094742078">
          <w:marLeft w:val="0"/>
          <w:marRight w:val="0"/>
          <w:marTop w:val="0"/>
          <w:marBottom w:val="0"/>
          <w:divBdr>
            <w:top w:val="none" w:sz="0" w:space="0" w:color="auto"/>
            <w:left w:val="none" w:sz="0" w:space="0" w:color="auto"/>
            <w:bottom w:val="none" w:sz="0" w:space="0" w:color="auto"/>
            <w:right w:val="none" w:sz="0" w:space="0" w:color="auto"/>
          </w:divBdr>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109275280">
      <w:bodyDiv w:val="1"/>
      <w:marLeft w:val="0"/>
      <w:marRight w:val="0"/>
      <w:marTop w:val="0"/>
      <w:marBottom w:val="0"/>
      <w:divBdr>
        <w:top w:val="none" w:sz="0" w:space="0" w:color="auto"/>
        <w:left w:val="none" w:sz="0" w:space="0" w:color="auto"/>
        <w:bottom w:val="none" w:sz="0" w:space="0" w:color="auto"/>
        <w:right w:val="none" w:sz="0" w:space="0" w:color="auto"/>
      </w:divBdr>
    </w:div>
    <w:div w:id="1115754214">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16179618">
      <w:bodyDiv w:val="1"/>
      <w:marLeft w:val="0"/>
      <w:marRight w:val="0"/>
      <w:marTop w:val="0"/>
      <w:marBottom w:val="0"/>
      <w:divBdr>
        <w:top w:val="none" w:sz="0" w:space="0" w:color="auto"/>
        <w:left w:val="none" w:sz="0" w:space="0" w:color="auto"/>
        <w:bottom w:val="none" w:sz="0" w:space="0" w:color="auto"/>
        <w:right w:val="none" w:sz="0" w:space="0" w:color="auto"/>
      </w:divBdr>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brown@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klahoma.gov/omes/services/purchasing/supplier-por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microsoft.com/office/2006/documentManagement/types"/>
    <ds:schemaRef ds:uri="http://purl.org/dc/dcmitype/"/>
    <ds:schemaRef ds:uri="aec6b55d-3de3-4884-82c9-9045bd390d40"/>
    <ds:schemaRef ds:uri="http://purl.org/dc/elements/1.1/"/>
    <ds:schemaRef ds:uri="http://schemas.microsoft.com/office/infopath/2007/PartnerControls"/>
    <ds:schemaRef ds:uri="2616b61c-01e3-420e-954d-f9606dbef896"/>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D1016-EF64-4BFA-B31C-49ADD740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1439</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Solicitation 0900000575 Amendment 2</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0900000575 Amendment 2</dc:title>
  <dc:subject>Questions and answers relating to Amendment 2 of Solicitation 0900000575.</dc:subject>
  <dc:creator>OMES Central Purchasing</dc:creator>
  <cp:keywords>amendment, solicitation, question, answer, 0900000575</cp:keywords>
  <cp:lastModifiedBy>Jake Lowrey</cp:lastModifiedBy>
  <cp:revision>3</cp:revision>
  <cp:lastPrinted>2008-12-08T14:07:00Z</cp:lastPrinted>
  <dcterms:created xsi:type="dcterms:W3CDTF">2023-03-30T13:19:00Z</dcterms:created>
  <dcterms:modified xsi:type="dcterms:W3CDTF">2023-03-30T13:24:00Z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