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1761"/>
        <w:gridCol w:w="1743"/>
        <w:gridCol w:w="2050"/>
      </w:tblGrid>
      <w:tr w:rsidR="00CD2EB7" w14:paraId="3A636120" w14:textId="77777777" w:rsidTr="005241DA">
        <w:tc>
          <w:tcPr>
            <w:tcW w:w="10809" w:type="dxa"/>
            <w:gridSpan w:val="4"/>
          </w:tcPr>
          <w:p w14:paraId="4DD664C0" w14:textId="77777777" w:rsidR="00CD2EB7" w:rsidRDefault="00CD2EB7"/>
          <w:p w14:paraId="551C512F" w14:textId="57C53A0E" w:rsidR="00E37566" w:rsidRPr="00E37566" w:rsidRDefault="00E37566" w:rsidP="00E3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566">
              <w:rPr>
                <w:rFonts w:ascii="Times New Roman" w:hAnsi="Times New Roman" w:cs="Times New Roman"/>
                <w:sz w:val="28"/>
                <w:szCs w:val="28"/>
              </w:rPr>
              <w:t>EXHIBIT 2</w:t>
            </w:r>
          </w:p>
        </w:tc>
      </w:tr>
      <w:tr w:rsidR="005241DA" w14:paraId="33FB9DE5" w14:textId="77777777" w:rsidTr="005241DA">
        <w:tc>
          <w:tcPr>
            <w:tcW w:w="2702" w:type="dxa"/>
          </w:tcPr>
          <w:p w14:paraId="1C847C85" w14:textId="50851ACD" w:rsidR="00CD2EB7" w:rsidRDefault="00CD2EB7">
            <w:r>
              <w:t>Requirement</w:t>
            </w:r>
          </w:p>
        </w:tc>
        <w:tc>
          <w:tcPr>
            <w:tcW w:w="2702" w:type="dxa"/>
          </w:tcPr>
          <w:p w14:paraId="21A9C180" w14:textId="6EAC4571" w:rsidR="00CD2EB7" w:rsidRDefault="00CD2EB7" w:rsidP="00CD2EB7">
            <w:pPr>
              <w:jc w:val="center"/>
            </w:pPr>
            <w:r>
              <w:t>Yes</w:t>
            </w:r>
          </w:p>
        </w:tc>
        <w:tc>
          <w:tcPr>
            <w:tcW w:w="2702" w:type="dxa"/>
          </w:tcPr>
          <w:p w14:paraId="08711469" w14:textId="7FC73DFE" w:rsidR="00CD2EB7" w:rsidRDefault="00CD2EB7" w:rsidP="00CD2EB7">
            <w:pPr>
              <w:jc w:val="center"/>
            </w:pPr>
            <w:r>
              <w:t>No</w:t>
            </w:r>
          </w:p>
        </w:tc>
        <w:tc>
          <w:tcPr>
            <w:tcW w:w="2703" w:type="dxa"/>
          </w:tcPr>
          <w:p w14:paraId="7528A981" w14:textId="56D5FA59" w:rsidR="00CD2EB7" w:rsidRDefault="005241DA" w:rsidP="00CD2EB7">
            <w:pPr>
              <w:jc w:val="center"/>
            </w:pPr>
            <w:r>
              <w:t>Comments</w:t>
            </w:r>
          </w:p>
        </w:tc>
      </w:tr>
      <w:tr w:rsidR="005241DA" w14:paraId="6B187376" w14:textId="77777777" w:rsidTr="005241DA">
        <w:tc>
          <w:tcPr>
            <w:tcW w:w="2702" w:type="dxa"/>
          </w:tcPr>
          <w:p w14:paraId="70C02607" w14:textId="77777777" w:rsidR="00CD2EB7" w:rsidRPr="005B6C7D" w:rsidRDefault="00CD2EB7" w:rsidP="00CD2E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The platform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 continue to support maintaining the current single source of truth even while utilizing the new customer data generated by the Adobe AEM products. The platform will be in a hybrid state with multiple integrations from FAST, </w:t>
            </w:r>
            <w:proofErr w:type="spellStart"/>
            <w:r w:rsidRPr="005B6C7D">
              <w:rPr>
                <w:rFonts w:ascii="Times New Roman" w:hAnsi="Times New Roman" w:cs="Times New Roman"/>
                <w:sz w:val="24"/>
                <w:szCs w:val="24"/>
              </w:rPr>
              <w:t>Idemia</w:t>
            </w:r>
            <w:proofErr w:type="spellEnd"/>
            <w:r w:rsidRPr="005B6C7D">
              <w:rPr>
                <w:rFonts w:ascii="Times New Roman" w:hAnsi="Times New Roman" w:cs="Times New Roman"/>
                <w:sz w:val="24"/>
                <w:szCs w:val="24"/>
              </w:rPr>
              <w:t>, and Granicus.</w:t>
            </w:r>
          </w:p>
          <w:p w14:paraId="6088D696" w14:textId="77777777" w:rsidR="00CD2EB7" w:rsidRDefault="00CD2EB7"/>
        </w:tc>
        <w:tc>
          <w:tcPr>
            <w:tcW w:w="2702" w:type="dxa"/>
          </w:tcPr>
          <w:p w14:paraId="7C9D2B94" w14:textId="77777777" w:rsidR="00CD2EB7" w:rsidRDefault="00CD2EB7"/>
        </w:tc>
        <w:tc>
          <w:tcPr>
            <w:tcW w:w="2702" w:type="dxa"/>
          </w:tcPr>
          <w:p w14:paraId="349DCCF8" w14:textId="77777777" w:rsidR="00CD2EB7" w:rsidRDefault="00CD2EB7"/>
        </w:tc>
        <w:tc>
          <w:tcPr>
            <w:tcW w:w="2703" w:type="dxa"/>
          </w:tcPr>
          <w:p w14:paraId="24CD17D8" w14:textId="77777777" w:rsidR="00CD2EB7" w:rsidRDefault="00CD2EB7"/>
        </w:tc>
      </w:tr>
      <w:tr w:rsidR="005241DA" w14:paraId="53FAD2EF" w14:textId="77777777" w:rsidTr="005241DA">
        <w:tc>
          <w:tcPr>
            <w:tcW w:w="2702" w:type="dxa"/>
          </w:tcPr>
          <w:p w14:paraId="006AAB09" w14:textId="53AE9323" w:rsidR="00CD2EB7" w:rsidRPr="00CD2EB7" w:rsidRDefault="00CD2EB7" w:rsidP="00CD2EB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B7">
              <w:rPr>
                <w:rFonts w:ascii="Times New Roman" w:hAnsi="Times New Roman" w:cs="Times New Roman"/>
                <w:sz w:val="24"/>
                <w:szCs w:val="24"/>
              </w:rPr>
              <w:t>FastDS</w:t>
            </w:r>
            <w:proofErr w:type="spellEnd"/>
            <w:r w:rsidRPr="00CD2EB7">
              <w:rPr>
                <w:rFonts w:ascii="Times New Roman" w:hAnsi="Times New Roman" w:cs="Times New Roman"/>
                <w:sz w:val="24"/>
                <w:szCs w:val="24"/>
              </w:rPr>
              <w:t xml:space="preserve">-VS is an integrated propriety </w:t>
            </w:r>
            <w:r w:rsidRPr="00E37566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Pr="00CD2EB7">
              <w:rPr>
                <w:rFonts w:ascii="Times New Roman" w:hAnsi="Times New Roman" w:cs="Times New Roman"/>
                <w:sz w:val="24"/>
                <w:szCs w:val="24"/>
              </w:rPr>
              <w:t xml:space="preserve"> solution to administer driver and vehicle services to motor vehicle agencies. It is commercial off-the-shelf (COTS) software that accommodates most differences in jurisdiction laws and practices through configuration, not the creation or modification of program code</w:t>
            </w:r>
          </w:p>
          <w:p w14:paraId="2D5936B7" w14:textId="77777777" w:rsidR="00CD2EB7" w:rsidRPr="005B6C7D" w:rsidRDefault="00CD2EB7" w:rsidP="00CD2E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294C765" w14:textId="77777777" w:rsidR="00CD2EB7" w:rsidRDefault="00CD2EB7"/>
        </w:tc>
        <w:tc>
          <w:tcPr>
            <w:tcW w:w="2702" w:type="dxa"/>
          </w:tcPr>
          <w:p w14:paraId="30B26162" w14:textId="77777777" w:rsidR="00CD2EB7" w:rsidRDefault="00CD2EB7"/>
        </w:tc>
        <w:tc>
          <w:tcPr>
            <w:tcW w:w="2703" w:type="dxa"/>
          </w:tcPr>
          <w:p w14:paraId="464EB176" w14:textId="77777777" w:rsidR="00CD2EB7" w:rsidRDefault="00CD2EB7"/>
        </w:tc>
      </w:tr>
      <w:tr w:rsidR="005241DA" w14:paraId="72DED788" w14:textId="77777777" w:rsidTr="005241DA">
        <w:tc>
          <w:tcPr>
            <w:tcW w:w="2702" w:type="dxa"/>
          </w:tcPr>
          <w:p w14:paraId="6F06C3F2" w14:textId="77777777" w:rsidR="00CD2EB7" w:rsidRPr="005B6C7D" w:rsidRDefault="00CD2EB7" w:rsidP="00CD2EB7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>Oklahoma currently leverages the vehicle modules of FAST for Motor Vehicle (MV) services</w:t>
            </w:r>
          </w:p>
          <w:p w14:paraId="42EB1051" w14:textId="77777777" w:rsidR="00CD2EB7" w:rsidRPr="005B6C7D" w:rsidRDefault="00CD2EB7" w:rsidP="00CD2E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EDDC3DC" w14:textId="77777777" w:rsidR="00CD2EB7" w:rsidRDefault="00CD2EB7"/>
        </w:tc>
        <w:tc>
          <w:tcPr>
            <w:tcW w:w="2702" w:type="dxa"/>
          </w:tcPr>
          <w:p w14:paraId="2CAFBB92" w14:textId="77777777" w:rsidR="00CD2EB7" w:rsidRDefault="00CD2EB7"/>
        </w:tc>
        <w:tc>
          <w:tcPr>
            <w:tcW w:w="2703" w:type="dxa"/>
          </w:tcPr>
          <w:p w14:paraId="6CBB920C" w14:textId="77777777" w:rsidR="00CD2EB7" w:rsidRDefault="00CD2EB7"/>
        </w:tc>
      </w:tr>
      <w:tr w:rsidR="005241DA" w14:paraId="25DD38B9" w14:textId="77777777" w:rsidTr="005241DA">
        <w:tc>
          <w:tcPr>
            <w:tcW w:w="2702" w:type="dxa"/>
          </w:tcPr>
          <w:p w14:paraId="4F09922F" w14:textId="17FDF492" w:rsidR="00CD2EB7" w:rsidRPr="00CD2EB7" w:rsidRDefault="00CD2EB7" w:rsidP="00CD2EB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B7">
              <w:rPr>
                <w:rFonts w:ascii="Times New Roman" w:hAnsi="Times New Roman" w:cs="Times New Roman"/>
                <w:sz w:val="24"/>
                <w:szCs w:val="24"/>
              </w:rPr>
              <w:t>Idemia</w:t>
            </w:r>
            <w:proofErr w:type="spellEnd"/>
            <w:r w:rsidRPr="00CD2EB7">
              <w:rPr>
                <w:rFonts w:ascii="Times New Roman" w:hAnsi="Times New Roman" w:cs="Times New Roman"/>
                <w:sz w:val="24"/>
                <w:szCs w:val="24"/>
              </w:rPr>
              <w:t xml:space="preserve"> provides identity-related security services, case management, facial </w:t>
            </w:r>
            <w:proofErr w:type="gramStart"/>
            <w:r w:rsidRPr="00CD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recognition</w:t>
            </w:r>
            <w:proofErr w:type="gramEnd"/>
            <w:r w:rsidRPr="00CD2EB7">
              <w:rPr>
                <w:rFonts w:ascii="Times New Roman" w:hAnsi="Times New Roman" w:cs="Times New Roman"/>
                <w:sz w:val="24"/>
                <w:szCs w:val="24"/>
              </w:rPr>
              <w:t xml:space="preserve"> and other biometric identification products. </w:t>
            </w:r>
          </w:p>
          <w:p w14:paraId="5DF2196C" w14:textId="77777777" w:rsidR="00CD2EB7" w:rsidRPr="005B6C7D" w:rsidRDefault="00CD2EB7" w:rsidP="00CD2E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2BC63B26" w14:textId="77777777" w:rsidR="00CD2EB7" w:rsidRDefault="00CD2EB7"/>
        </w:tc>
        <w:tc>
          <w:tcPr>
            <w:tcW w:w="2702" w:type="dxa"/>
          </w:tcPr>
          <w:p w14:paraId="6ED7DE65" w14:textId="77777777" w:rsidR="00CD2EB7" w:rsidRDefault="00CD2EB7"/>
        </w:tc>
        <w:tc>
          <w:tcPr>
            <w:tcW w:w="2703" w:type="dxa"/>
          </w:tcPr>
          <w:p w14:paraId="6A7BAE5E" w14:textId="77777777" w:rsidR="00CD2EB7" w:rsidRDefault="00CD2EB7"/>
        </w:tc>
      </w:tr>
      <w:tr w:rsidR="005241DA" w14:paraId="07EDF51C" w14:textId="77777777" w:rsidTr="005241DA">
        <w:tc>
          <w:tcPr>
            <w:tcW w:w="2702" w:type="dxa"/>
          </w:tcPr>
          <w:p w14:paraId="1D605A3D" w14:textId="77777777" w:rsidR="00CD2EB7" w:rsidRPr="005B6C7D" w:rsidRDefault="00CD2EB7" w:rsidP="00CD2EB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>Granicus</w:t>
            </w:r>
          </w:p>
          <w:p w14:paraId="14728A3D" w14:textId="77777777" w:rsidR="00CD2EB7" w:rsidRPr="005B6C7D" w:rsidRDefault="00CD2EB7" w:rsidP="00CD2EB7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Granicus is a third-party vendor that provides authentication, website, mobile apps, and other customer touch points on the State of Oklahoma website for DL services </w:t>
            </w:r>
          </w:p>
          <w:p w14:paraId="362574BE" w14:textId="77777777" w:rsidR="00CD2EB7" w:rsidRPr="00CD2EB7" w:rsidRDefault="00CD2EB7" w:rsidP="00CD2EB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5FC7690" w14:textId="77777777" w:rsidR="00CD2EB7" w:rsidRDefault="00CD2EB7"/>
        </w:tc>
        <w:tc>
          <w:tcPr>
            <w:tcW w:w="2702" w:type="dxa"/>
          </w:tcPr>
          <w:p w14:paraId="515D4E79" w14:textId="77777777" w:rsidR="00CD2EB7" w:rsidRDefault="00CD2EB7"/>
        </w:tc>
        <w:tc>
          <w:tcPr>
            <w:tcW w:w="2703" w:type="dxa"/>
          </w:tcPr>
          <w:p w14:paraId="039861D6" w14:textId="77777777" w:rsidR="00CD2EB7" w:rsidRDefault="00CD2EB7"/>
        </w:tc>
      </w:tr>
      <w:tr w:rsidR="005241DA" w14:paraId="39E3B512" w14:textId="77777777" w:rsidTr="005241DA">
        <w:tc>
          <w:tcPr>
            <w:tcW w:w="2702" w:type="dxa"/>
          </w:tcPr>
          <w:p w14:paraId="3813E08B" w14:textId="0AB0805B" w:rsidR="00CD2EB7" w:rsidRPr="005B6C7D" w:rsidRDefault="00CD2EB7" w:rsidP="00CD2E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 be minimal integrations from Adobe into the platform that could cause any potential technical debt.</w:t>
            </w:r>
          </w:p>
          <w:p w14:paraId="6D9A0CFC" w14:textId="77777777" w:rsidR="00CD2EB7" w:rsidRPr="005B6C7D" w:rsidRDefault="00CD2EB7" w:rsidP="00CD2E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>Some key features of the 12+ plan:</w:t>
            </w:r>
          </w:p>
          <w:p w14:paraId="1B752C29" w14:textId="49F10D3E" w:rsidR="00CD2EB7" w:rsidRPr="005B6C7D" w:rsidRDefault="00CD2EB7" w:rsidP="00CD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792BEA65" w14:textId="77777777" w:rsidR="00CD2EB7" w:rsidRDefault="00CD2EB7"/>
        </w:tc>
        <w:tc>
          <w:tcPr>
            <w:tcW w:w="2702" w:type="dxa"/>
          </w:tcPr>
          <w:p w14:paraId="24CC2C2A" w14:textId="77777777" w:rsidR="00CD2EB7" w:rsidRDefault="00CD2EB7"/>
        </w:tc>
        <w:tc>
          <w:tcPr>
            <w:tcW w:w="2703" w:type="dxa"/>
          </w:tcPr>
          <w:p w14:paraId="47C70A52" w14:textId="77777777" w:rsidR="00CD2EB7" w:rsidRDefault="00CD2EB7"/>
        </w:tc>
      </w:tr>
      <w:tr w:rsidR="005241DA" w14:paraId="1F2DAAD4" w14:textId="77777777" w:rsidTr="005241DA">
        <w:tc>
          <w:tcPr>
            <w:tcW w:w="2702" w:type="dxa"/>
          </w:tcPr>
          <w:p w14:paraId="5DDFE674" w14:textId="10952157" w:rsidR="005241DA" w:rsidRPr="005B6C7D" w:rsidRDefault="005241DA" w:rsidP="005241D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The pilots are turned off and any new pilots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 xml:space="preserve"> be run on the Adobe Infrastructure</w:t>
            </w:r>
          </w:p>
          <w:p w14:paraId="7FA77B4D" w14:textId="77777777" w:rsidR="005241DA" w:rsidRPr="005B6C7D" w:rsidRDefault="005241DA" w:rsidP="005241D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732428A" w14:textId="77777777" w:rsidR="005241DA" w:rsidRDefault="005241DA"/>
        </w:tc>
        <w:tc>
          <w:tcPr>
            <w:tcW w:w="2702" w:type="dxa"/>
          </w:tcPr>
          <w:p w14:paraId="3E2F94DB" w14:textId="77777777" w:rsidR="005241DA" w:rsidRDefault="005241DA"/>
        </w:tc>
        <w:tc>
          <w:tcPr>
            <w:tcW w:w="2703" w:type="dxa"/>
          </w:tcPr>
          <w:p w14:paraId="426E5E8A" w14:textId="77777777" w:rsidR="005241DA" w:rsidRDefault="005241DA"/>
        </w:tc>
      </w:tr>
      <w:tr w:rsidR="005241DA" w14:paraId="08B8EA1D" w14:textId="77777777" w:rsidTr="005241DA">
        <w:tc>
          <w:tcPr>
            <w:tcW w:w="2702" w:type="dxa"/>
          </w:tcPr>
          <w:p w14:paraId="6AE7470C" w14:textId="78F303A2" w:rsidR="005241DA" w:rsidRPr="005B6C7D" w:rsidRDefault="005241DA" w:rsidP="005241D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C7D">
              <w:rPr>
                <w:rFonts w:ascii="Times New Roman" w:hAnsi="Times New Roman" w:cs="Times New Roman"/>
                <w:sz w:val="24"/>
                <w:szCs w:val="24"/>
              </w:rPr>
              <w:t>Work in collaboration with the data platform team and leverage the data lake needed for the unified customer view</w:t>
            </w:r>
          </w:p>
          <w:p w14:paraId="30D68D5F" w14:textId="77777777" w:rsidR="005241DA" w:rsidRDefault="005241DA" w:rsidP="005241D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31FA3859" w14:textId="77777777" w:rsidR="005241DA" w:rsidRDefault="005241DA"/>
        </w:tc>
        <w:tc>
          <w:tcPr>
            <w:tcW w:w="2702" w:type="dxa"/>
          </w:tcPr>
          <w:p w14:paraId="67508911" w14:textId="77777777" w:rsidR="005241DA" w:rsidRDefault="005241DA"/>
        </w:tc>
        <w:tc>
          <w:tcPr>
            <w:tcW w:w="2703" w:type="dxa"/>
          </w:tcPr>
          <w:p w14:paraId="17A7501B" w14:textId="77777777" w:rsidR="005241DA" w:rsidRDefault="005241DA"/>
        </w:tc>
      </w:tr>
      <w:tr w:rsidR="005241DA" w14:paraId="1242E5E7" w14:textId="77777777" w:rsidTr="005241DA">
        <w:tc>
          <w:tcPr>
            <w:tcW w:w="2702" w:type="dxa"/>
          </w:tcPr>
          <w:p w14:paraId="16A9C5B4" w14:textId="79F02659" w:rsidR="005241DA" w:rsidRPr="005241DA" w:rsidRDefault="005241DA" w:rsidP="005241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1DA">
              <w:rPr>
                <w:rFonts w:ascii="Times New Roman" w:hAnsi="Times New Roman" w:cs="Times New Roman"/>
                <w:sz w:val="24"/>
                <w:szCs w:val="24"/>
              </w:rPr>
              <w:t>Integration with the full Adobe Analytics including the Customer AI to start building the needed customer 360 view</w:t>
            </w:r>
          </w:p>
          <w:p w14:paraId="7070C4C9" w14:textId="77777777" w:rsidR="005241DA" w:rsidRDefault="005241DA" w:rsidP="005241D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14:paraId="313A5060" w14:textId="77777777" w:rsidR="005241DA" w:rsidRDefault="005241DA"/>
        </w:tc>
        <w:tc>
          <w:tcPr>
            <w:tcW w:w="2702" w:type="dxa"/>
          </w:tcPr>
          <w:p w14:paraId="252A485F" w14:textId="77777777" w:rsidR="005241DA" w:rsidRDefault="005241DA"/>
        </w:tc>
        <w:tc>
          <w:tcPr>
            <w:tcW w:w="2703" w:type="dxa"/>
          </w:tcPr>
          <w:p w14:paraId="622721A7" w14:textId="77777777" w:rsidR="005241DA" w:rsidRDefault="005241DA"/>
        </w:tc>
      </w:tr>
    </w:tbl>
    <w:p w14:paraId="3F0007C7" w14:textId="77777777" w:rsidR="001053C0" w:rsidRDefault="001053C0"/>
    <w:sectPr w:rsidR="001053C0" w:rsidSect="00CD2E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0265"/>
    <w:multiLevelType w:val="hybridMultilevel"/>
    <w:tmpl w:val="B3A4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9F2"/>
    <w:multiLevelType w:val="hybridMultilevel"/>
    <w:tmpl w:val="2180B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536"/>
    <w:multiLevelType w:val="hybridMultilevel"/>
    <w:tmpl w:val="47920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21A2"/>
    <w:multiLevelType w:val="hybridMultilevel"/>
    <w:tmpl w:val="0F2E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03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794506">
    <w:abstractNumId w:val="2"/>
  </w:num>
  <w:num w:numId="3" w16cid:durableId="306131285">
    <w:abstractNumId w:val="1"/>
  </w:num>
  <w:num w:numId="4" w16cid:durableId="84497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B7"/>
    <w:rsid w:val="001053C0"/>
    <w:rsid w:val="005241DA"/>
    <w:rsid w:val="00CD2EB7"/>
    <w:rsid w:val="00E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1E21"/>
  <w15:chartTrackingRefBased/>
  <w15:docId w15:val="{22AF678C-BE79-4584-8DBA-9338CB4E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E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E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Caudle</dc:creator>
  <cp:keywords/>
  <dc:description/>
  <cp:lastModifiedBy>Teresa Terry</cp:lastModifiedBy>
  <cp:revision>2</cp:revision>
  <dcterms:created xsi:type="dcterms:W3CDTF">2022-10-18T15:06:00Z</dcterms:created>
  <dcterms:modified xsi:type="dcterms:W3CDTF">2022-10-18T15:06:00Z</dcterms:modified>
</cp:coreProperties>
</file>