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bookmarkStart w:id="0" w:name="_GoBack"/>
      <w:bookmarkEnd w:id="0"/>
    </w:p>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7C7FE5AF"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ED7BC3" w:rsidRPr="00ED7BC3">
          <w:rPr>
            <w:color w:val="0000FF"/>
            <w:u w:val="single"/>
          </w:rPr>
          <w:t>Information Security Policy, Procedures, Guidelines (oklahoma.gov)</w:t>
        </w:r>
      </w:hyperlink>
      <w:r w:rsidR="00ED7BC3">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1E5B88BD"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C118C4">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C118C4">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A5752"/>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5BB9"/>
    <w:rsid w:val="00C06D3A"/>
    <w:rsid w:val="00C07B4D"/>
    <w:rsid w:val="00C118C4"/>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BC3"/>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purl.org/dc/dcmitype/"/>
    <ds:schemaRef ds:uri="http://schemas.microsoft.com/office/infopath/2007/PartnerControls"/>
    <ds:schemaRef ds:uri="http://schemas.microsoft.com/office/2006/documentManagement/type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E7676-95C9-4C35-A808-EF08B76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29</Pages>
  <Words>11008</Words>
  <Characters>59936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Attachment B</vt:lpstr>
    </vt:vector>
  </TitlesOfParts>
  <Company/>
  <LinksUpToDate>false</LinksUpToDate>
  <CharactersWithSpaces>70803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Terms and conditions between the State of Oklahoma and vendors seeking to do business.</dc:subject>
  <dc:creator>OMES Central Purchasing</dc:creator>
  <cp:keywords>master, agreement, procurement, attachment b, term, condition, Oklahoma, vendor</cp:keywords>
  <dc:description/>
  <cp:lastModifiedBy>Jake Lowrey</cp:lastModifiedBy>
  <cp:revision>4</cp:revision>
  <cp:lastPrinted>2019-12-02T19:25:00Z</cp:lastPrinted>
  <dcterms:created xsi:type="dcterms:W3CDTF">2022-06-21T22:40:00Z</dcterms:created>
  <dcterms:modified xsi:type="dcterms:W3CDTF">2022-07-13T11:37:00Z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