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436A" w14:textId="77777777" w:rsidR="00185C50" w:rsidRDefault="00185C50" w:rsidP="00185C50">
      <w:pPr>
        <w:jc w:val="center"/>
        <w:rPr>
          <w:sz w:val="28"/>
          <w:szCs w:val="28"/>
        </w:rPr>
      </w:pPr>
      <w:r w:rsidRPr="00185C50">
        <w:rPr>
          <w:sz w:val="28"/>
          <w:szCs w:val="28"/>
        </w:rPr>
        <w:t>Exhibit 1</w:t>
      </w:r>
    </w:p>
    <w:p w14:paraId="5600DEF5" w14:textId="79093CA3" w:rsidR="000B38BC" w:rsidRDefault="00185C50" w:rsidP="00185C50">
      <w:pPr>
        <w:jc w:val="center"/>
        <w:rPr>
          <w:sz w:val="28"/>
          <w:szCs w:val="28"/>
        </w:rPr>
      </w:pPr>
      <w:r w:rsidRPr="00185C50">
        <w:rPr>
          <w:sz w:val="28"/>
          <w:szCs w:val="28"/>
        </w:rPr>
        <w:t>Specifications/Qualifications</w:t>
      </w:r>
    </w:p>
    <w:p w14:paraId="72682F39" w14:textId="3E6E6CC3" w:rsidR="00185C50" w:rsidRDefault="00185C50" w:rsidP="00185C50">
      <w:pPr>
        <w:jc w:val="center"/>
        <w:rPr>
          <w:sz w:val="28"/>
          <w:szCs w:val="28"/>
        </w:rPr>
      </w:pPr>
      <w:r>
        <w:rPr>
          <w:sz w:val="28"/>
          <w:szCs w:val="28"/>
        </w:rPr>
        <w:t>Solicitation 090000</w:t>
      </w:r>
      <w:r w:rsidR="00494FD6">
        <w:rPr>
          <w:sz w:val="28"/>
          <w:szCs w:val="28"/>
        </w:rPr>
        <w:t>0545</w:t>
      </w:r>
    </w:p>
    <w:p w14:paraId="3A5D2D5B" w14:textId="11391E79" w:rsidR="00185C50" w:rsidRPr="00D8395D" w:rsidRDefault="000333B7" w:rsidP="00185C50">
      <w:pPr>
        <w:pStyle w:val="Heading2"/>
      </w:pPr>
      <w:bookmarkStart w:id="0" w:name="_Toc487036919"/>
      <w:r>
        <w:t>SUPPLIER</w:t>
      </w:r>
      <w:r w:rsidR="00185C50" w:rsidRPr="00D8395D">
        <w:t xml:space="preserve"> QUALIFICATIONS</w:t>
      </w:r>
      <w:bookmarkEnd w:id="0"/>
    </w:p>
    <w:p w14:paraId="23A1C903" w14:textId="77777777" w:rsidR="00185C50" w:rsidRPr="00D8395D" w:rsidRDefault="00185C50" w:rsidP="00185C50"/>
    <w:p w14:paraId="10A94079" w14:textId="5471E411" w:rsidR="00185C50" w:rsidRDefault="000333B7" w:rsidP="00185C50">
      <w:pPr>
        <w:pStyle w:val="Heading3"/>
      </w:pPr>
      <w:r>
        <w:t>Supplier</w:t>
      </w:r>
      <w:r w:rsidR="00185C50">
        <w:t>s must have a proven process for reconciliation of Flexible Spending Account contributions and claims administration and the ability to interface and coordinate with the appropriate departments. These processes include the following:</w:t>
      </w:r>
    </w:p>
    <w:p w14:paraId="481B2744" w14:textId="77777777" w:rsidR="00185C50" w:rsidRDefault="00185C50" w:rsidP="00185C50"/>
    <w:p w14:paraId="2032C602" w14:textId="7295E8AF" w:rsidR="00185C50" w:rsidRDefault="00185C50" w:rsidP="00185C50">
      <w:pPr>
        <w:pStyle w:val="Heading4"/>
        <w:spacing w:before="120"/>
      </w:pPr>
      <w:r>
        <w:t>Claims Administration</w:t>
      </w:r>
    </w:p>
    <w:p w14:paraId="5AF8B123" w14:textId="3B39EB9F" w:rsidR="00185C50" w:rsidRDefault="00185C50" w:rsidP="00185C50">
      <w:pPr>
        <w:pStyle w:val="Heading4"/>
        <w:spacing w:before="120"/>
      </w:pPr>
      <w:r>
        <w:t>Web-based, online account inquiry and claims processing</w:t>
      </w:r>
    </w:p>
    <w:p w14:paraId="3BD7F4D9" w14:textId="3496651C" w:rsidR="00185C50" w:rsidRDefault="00185C50" w:rsidP="00185C50">
      <w:pPr>
        <w:pStyle w:val="Heading4"/>
        <w:spacing w:before="120"/>
      </w:pPr>
      <w:r>
        <w:t xml:space="preserve">Payment systems (Including, but not limited to, debit card, digital currencies, digital wallet, mobile payment, contactless payment, </w:t>
      </w:r>
      <w:r w:rsidR="00EB3A6D">
        <w:t>etc.</w:t>
      </w:r>
      <w:r>
        <w:t>…)</w:t>
      </w:r>
    </w:p>
    <w:p w14:paraId="2C1D8B1E" w14:textId="3E520A23" w:rsidR="00185C50" w:rsidRDefault="00185C50" w:rsidP="00185C50">
      <w:pPr>
        <w:pStyle w:val="Heading4"/>
        <w:spacing w:before="120"/>
      </w:pPr>
      <w:r>
        <w:t>Customer Service 800 Number</w:t>
      </w:r>
    </w:p>
    <w:p w14:paraId="29BC31D4" w14:textId="58BFDD1E" w:rsidR="00185C50" w:rsidRDefault="00185C50" w:rsidP="00185C50">
      <w:pPr>
        <w:pStyle w:val="Heading4"/>
        <w:spacing w:before="120"/>
      </w:pPr>
      <w:r>
        <w:t>Communication Materials</w:t>
      </w:r>
    </w:p>
    <w:p w14:paraId="5A094D4B" w14:textId="0719EB4F" w:rsidR="00185C50" w:rsidRDefault="00185C50" w:rsidP="00185C50">
      <w:pPr>
        <w:pStyle w:val="Heading4"/>
        <w:spacing w:before="120"/>
      </w:pPr>
      <w:r>
        <w:t>Dedicated Plan Administrator</w:t>
      </w:r>
    </w:p>
    <w:p w14:paraId="31E72D3C" w14:textId="77777777" w:rsidR="00185C50" w:rsidRDefault="00185C50" w:rsidP="00185C50">
      <w:pPr>
        <w:pStyle w:val="Heading4"/>
        <w:spacing w:before="120"/>
      </w:pPr>
      <w:r>
        <w:t>Reporting Capabilities</w:t>
      </w:r>
    </w:p>
    <w:p w14:paraId="0CBF1B5C" w14:textId="77777777" w:rsidR="00185C50" w:rsidRPr="005050E7" w:rsidRDefault="00185C50" w:rsidP="00185C50">
      <w:pPr>
        <w:pStyle w:val="Heading4"/>
        <w:spacing w:before="120"/>
      </w:pPr>
      <w:r>
        <w:t>Compliance with all state and federal laws, guidelines, rules, regulations, and reporting.</w:t>
      </w:r>
    </w:p>
    <w:p w14:paraId="1A89539E" w14:textId="77777777" w:rsidR="00185C50" w:rsidRDefault="00185C50" w:rsidP="00185C50"/>
    <w:p w14:paraId="21599AE8" w14:textId="396C6766" w:rsidR="00185C50" w:rsidRPr="00D8395D" w:rsidRDefault="000333B7" w:rsidP="00185C50">
      <w:pPr>
        <w:pStyle w:val="Heading3"/>
      </w:pPr>
      <w:r>
        <w:t>Supplier</w:t>
      </w:r>
      <w:r w:rsidR="00185C50" w:rsidRPr="00D8395D">
        <w:t xml:space="preserve"> shall be regularly and continuously engaged in the business of providing flexible spending account services for at least five (5) consecutive years.</w:t>
      </w:r>
    </w:p>
    <w:p w14:paraId="05988D34" w14:textId="77777777" w:rsidR="00185C50" w:rsidRDefault="00185C50" w:rsidP="00185C50"/>
    <w:p w14:paraId="486DABFA" w14:textId="18451FBF" w:rsidR="00185C50" w:rsidRPr="00D8395D" w:rsidRDefault="000333B7" w:rsidP="00185C50">
      <w:pPr>
        <w:pStyle w:val="Heading3"/>
      </w:pPr>
      <w:r>
        <w:t>Supplier</w:t>
      </w:r>
      <w:r w:rsidR="00185C50" w:rsidRPr="00D8395D">
        <w:t xml:space="preserve"> shall possess all permits, licenses, and professional credentials necessary to supply product and perform services as specified under this RFP.</w:t>
      </w:r>
    </w:p>
    <w:p w14:paraId="326B767B" w14:textId="77777777" w:rsidR="00185C50" w:rsidRDefault="00185C50" w:rsidP="00185C50"/>
    <w:p w14:paraId="5FAD0C4C" w14:textId="53BB82FD" w:rsidR="00185C50" w:rsidRPr="00D8395D" w:rsidRDefault="000333B7" w:rsidP="00185C50">
      <w:pPr>
        <w:pStyle w:val="Heading3"/>
      </w:pPr>
      <w:r>
        <w:t>Supplier</w:t>
      </w:r>
      <w:r w:rsidR="00185C50" w:rsidRPr="00D8395D">
        <w:t xml:space="preserve"> must be able to support multiple pay cycles.</w:t>
      </w:r>
      <w:r w:rsidR="00185C50" w:rsidRPr="00D8395D">
        <w:tab/>
      </w:r>
    </w:p>
    <w:p w14:paraId="0CBDA19E" w14:textId="77777777" w:rsidR="00185C50" w:rsidRPr="00D8395D" w:rsidRDefault="00185C50" w:rsidP="00185C50"/>
    <w:p w14:paraId="61EDF45A" w14:textId="32F8A6D1" w:rsidR="00185C50" w:rsidRDefault="000333B7" w:rsidP="00185C50">
      <w:pPr>
        <w:pStyle w:val="Heading2"/>
      </w:pPr>
      <w:bookmarkStart w:id="1" w:name="_Toc487036920"/>
      <w:r>
        <w:t>SUPPLIER</w:t>
      </w:r>
      <w:r w:rsidR="00185C50">
        <w:t xml:space="preserve"> RESPONSE SECTION</w:t>
      </w:r>
      <w:bookmarkEnd w:id="1"/>
    </w:p>
    <w:p w14:paraId="00C40541" w14:textId="77777777" w:rsidR="00185C50" w:rsidRDefault="00185C50" w:rsidP="00185C50">
      <w:pPr>
        <w:pStyle w:val="Indent"/>
        <w:ind w:left="0"/>
      </w:pPr>
    </w:p>
    <w:p w14:paraId="7B0A38F2" w14:textId="78C2387F" w:rsidR="00185C50" w:rsidRPr="00D8395D" w:rsidRDefault="000333B7" w:rsidP="00185C50">
      <w:pPr>
        <w:pStyle w:val="Indent"/>
        <w:ind w:left="0"/>
      </w:pPr>
      <w:r>
        <w:t>Supplier</w:t>
      </w:r>
      <w:r w:rsidR="00185C50">
        <w:t>s MUST PROVIDE a written response concerning their ability to accommodate the items requested below:</w:t>
      </w:r>
      <w:r w:rsidR="00185C50" w:rsidRPr="00D8395D">
        <w:tab/>
      </w:r>
    </w:p>
    <w:p w14:paraId="52378DCE" w14:textId="77777777" w:rsidR="00185C50" w:rsidRPr="00D8395D" w:rsidRDefault="00185C50" w:rsidP="00185C50">
      <w:pPr>
        <w:rPr>
          <w:lang w:val="x-none"/>
        </w:rPr>
      </w:pPr>
    </w:p>
    <w:p w14:paraId="384800D0" w14:textId="2FA39F4E" w:rsidR="00185C50" w:rsidRPr="00D8395D" w:rsidRDefault="000333B7" w:rsidP="00185C50">
      <w:pPr>
        <w:pStyle w:val="Heading3"/>
      </w:pPr>
      <w:r>
        <w:t>Supplier</w:t>
      </w:r>
      <w:r w:rsidR="00185C50">
        <w:t xml:space="preserve"> must p</w:t>
      </w:r>
      <w:r w:rsidR="00185C50" w:rsidRPr="00D8395D">
        <w:t>rovide the most current annual report of your organization.</w:t>
      </w:r>
    </w:p>
    <w:p w14:paraId="3D53F165" w14:textId="77777777" w:rsidR="00185C50" w:rsidRPr="00D8395D" w:rsidRDefault="00185C50" w:rsidP="00185C50">
      <w:pPr>
        <w:rPr>
          <w:lang w:val="x-none"/>
        </w:rPr>
      </w:pPr>
    </w:p>
    <w:p w14:paraId="5860949E" w14:textId="6C8566D2" w:rsidR="00185C50" w:rsidRPr="00D8395D" w:rsidRDefault="000333B7" w:rsidP="00185C50">
      <w:pPr>
        <w:pStyle w:val="Heading3"/>
      </w:pPr>
      <w:r>
        <w:t>Supplier</w:t>
      </w:r>
      <w:r w:rsidR="00185C50">
        <w:t xml:space="preserve"> must</w:t>
      </w:r>
      <w:r w:rsidR="00185C50" w:rsidRPr="00D8395D">
        <w:t xml:space="preserve"> communicate directly with claimants to resolve problems and answer participant questions.</w:t>
      </w:r>
    </w:p>
    <w:p w14:paraId="0C3264F1" w14:textId="77777777" w:rsidR="00185C50" w:rsidRPr="00D8395D" w:rsidRDefault="00185C50" w:rsidP="00185C50">
      <w:pPr>
        <w:rPr>
          <w:lang w:val="x-none"/>
        </w:rPr>
      </w:pPr>
    </w:p>
    <w:p w14:paraId="0457287A" w14:textId="5A513913" w:rsidR="00185C50" w:rsidRPr="00D8395D" w:rsidRDefault="000333B7" w:rsidP="00185C50">
      <w:pPr>
        <w:pStyle w:val="Heading3"/>
      </w:pPr>
      <w:r>
        <w:t>Supplier</w:t>
      </w:r>
      <w:r w:rsidR="00185C50">
        <w:t xml:space="preserve"> must</w:t>
      </w:r>
      <w:r w:rsidR="00185C50" w:rsidRPr="00D8395D">
        <w:t xml:space="preserve"> provide administration of all flexible spending accounts as well as any enhancements.  </w:t>
      </w:r>
    </w:p>
    <w:p w14:paraId="1EB88945" w14:textId="77777777" w:rsidR="00185C50" w:rsidRPr="00D8395D" w:rsidRDefault="00185C50" w:rsidP="00185C50"/>
    <w:p w14:paraId="2876D158" w14:textId="112EE1C8" w:rsidR="00185C50" w:rsidRPr="00D8395D" w:rsidRDefault="000333B7" w:rsidP="00185C50">
      <w:pPr>
        <w:pStyle w:val="Heading3"/>
      </w:pPr>
      <w:r>
        <w:t>Supplier</w:t>
      </w:r>
      <w:r w:rsidR="00185C50">
        <w:t xml:space="preserve"> must</w:t>
      </w:r>
      <w:r w:rsidR="00185C50" w:rsidRPr="00D8395D">
        <w:t xml:space="preserve"> be</w:t>
      </w:r>
      <w:r w:rsidR="00185C50" w:rsidRPr="00D8395D">
        <w:rPr>
          <w:lang w:val="x-none"/>
        </w:rPr>
        <w:t xml:space="preserve"> able to administer a debit/credit card</w:t>
      </w:r>
      <w:r w:rsidR="00185C50">
        <w:t xml:space="preserve"> </w:t>
      </w:r>
      <w:r w:rsidR="00185C50" w:rsidRPr="00A35CFA">
        <w:t xml:space="preserve">(and/or payment system options including, </w:t>
      </w:r>
      <w:r w:rsidR="00185C50">
        <w:t xml:space="preserve"> </w:t>
      </w:r>
      <w:r w:rsidR="00185C50" w:rsidRPr="00A35CFA">
        <w:t xml:space="preserve">but not limited to, digital currencies, digital wallet, mobile payment, contactless payment, etc.…) </w:t>
      </w:r>
      <w:r w:rsidR="00185C50" w:rsidRPr="00D8395D">
        <w:rPr>
          <w:lang w:val="x-none"/>
        </w:rPr>
        <w:t xml:space="preserve"> under the Flexible Spending Account programs and have </w:t>
      </w:r>
      <w:r w:rsidR="00185C50" w:rsidRPr="00D8395D">
        <w:t>daily</w:t>
      </w:r>
      <w:r w:rsidR="00185C50" w:rsidRPr="00D8395D">
        <w:rPr>
          <w:lang w:val="x-none"/>
        </w:rPr>
        <w:t xml:space="preserve"> claim/reimbursement processing</w:t>
      </w:r>
      <w:r w:rsidR="00913867">
        <w:t xml:space="preserve">. </w:t>
      </w:r>
      <w:r w:rsidR="00913867">
        <w:lastRenderedPageBreak/>
        <w:t>D</w:t>
      </w:r>
      <w:r w:rsidR="00185C50" w:rsidRPr="00D8395D">
        <w:t>ebit</w:t>
      </w:r>
      <w:r w:rsidR="00913867">
        <w:t xml:space="preserve"> </w:t>
      </w:r>
      <w:r w:rsidR="00185C50" w:rsidRPr="00D8395D">
        <w:t>cards</w:t>
      </w:r>
      <w:r w:rsidR="00185C50">
        <w:t xml:space="preserve"> </w:t>
      </w:r>
      <w:r w:rsidR="00185C50" w:rsidRPr="00A35CFA">
        <w:t xml:space="preserve">(and/or payment system options including, but not limited to, digital currencies, digital wallet, mobile payment, contactless payment, etc.…) </w:t>
      </w:r>
      <w:r w:rsidR="00185C50" w:rsidRPr="00D8395D">
        <w:t>shall be made available to claimants no later than the first of the year, or within 30 days of new participation.</w:t>
      </w:r>
    </w:p>
    <w:p w14:paraId="7149D610" w14:textId="77777777" w:rsidR="00185C50" w:rsidRPr="00D8395D" w:rsidRDefault="00185C50" w:rsidP="00185C50">
      <w:pPr>
        <w:rPr>
          <w:lang w:val="x-none"/>
        </w:rPr>
      </w:pPr>
      <w:r w:rsidRPr="00D8395D">
        <w:rPr>
          <w:lang w:val="x-none"/>
        </w:rPr>
        <w:t xml:space="preserve">  </w:t>
      </w:r>
    </w:p>
    <w:p w14:paraId="38A60D63" w14:textId="2EEB2EA1" w:rsidR="00185C50" w:rsidRPr="00D8395D" w:rsidRDefault="000333B7" w:rsidP="00185C50">
      <w:pPr>
        <w:pStyle w:val="Heading3"/>
      </w:pPr>
      <w:r>
        <w:t>Supplier</w:t>
      </w:r>
      <w:r w:rsidR="00185C50">
        <w:t xml:space="preserve"> must</w:t>
      </w:r>
      <w:r w:rsidR="00185C50" w:rsidRPr="00D8395D">
        <w:t xml:space="preserve"> provide clear communications regarding the features and functionality of such debit/credit card</w:t>
      </w:r>
      <w:r w:rsidR="00185C50">
        <w:t xml:space="preserve"> or payment system</w:t>
      </w:r>
      <w:r w:rsidR="00185C50" w:rsidRPr="00D8395D">
        <w:t xml:space="preserve">.  Additionally, </w:t>
      </w:r>
      <w:r>
        <w:t>Supplier</w:t>
      </w:r>
      <w:r w:rsidR="00185C50">
        <w:t xml:space="preserve"> must</w:t>
      </w:r>
      <w:r w:rsidR="00185C50" w:rsidRPr="00D8395D">
        <w:t xml:space="preserve"> provide clear guidance on how the </w:t>
      </w:r>
      <w:r w:rsidR="00185C50">
        <w:t>payment system</w:t>
      </w:r>
      <w:r w:rsidR="00185C50" w:rsidRPr="00D8395D">
        <w:t xml:space="preserve"> may be used.</w:t>
      </w:r>
    </w:p>
    <w:p w14:paraId="555C6641" w14:textId="77777777" w:rsidR="00185C50" w:rsidRPr="00D8395D" w:rsidRDefault="00185C50" w:rsidP="00185C50"/>
    <w:p w14:paraId="54CBBCE7" w14:textId="3D6CA1C2" w:rsidR="00185C50" w:rsidRPr="00D8395D" w:rsidRDefault="000333B7" w:rsidP="00185C50">
      <w:pPr>
        <w:pStyle w:val="Heading3"/>
      </w:pPr>
      <w:r>
        <w:t>Supplier</w:t>
      </w:r>
      <w:r w:rsidR="00185C50" w:rsidRPr="00D8395D">
        <w:t xml:space="preserve"> must provide a minimum of two (2) debit cards</w:t>
      </w:r>
      <w:r w:rsidR="00185C50">
        <w:t xml:space="preserve"> (and/or payment system options i</w:t>
      </w:r>
      <w:r w:rsidR="00185C50" w:rsidRPr="0023749F">
        <w:t>ncluding, but not limited to, digital currencies, digital wallet, mobile payment, contactless payment, etc.…)</w:t>
      </w:r>
      <w:r w:rsidR="00185C50">
        <w:t xml:space="preserve"> </w:t>
      </w:r>
      <w:r w:rsidR="00185C50" w:rsidRPr="00D8395D">
        <w:t>to each account holder for reimbursement, at no additional cost to the participant.</w:t>
      </w:r>
    </w:p>
    <w:p w14:paraId="271ADC56" w14:textId="77777777" w:rsidR="00185C50" w:rsidRPr="00D8395D" w:rsidRDefault="00185C50" w:rsidP="00185C50"/>
    <w:p w14:paraId="4C8390BB" w14:textId="3E271E3D" w:rsidR="00185C50" w:rsidRPr="00D8395D" w:rsidRDefault="000333B7" w:rsidP="00185C50">
      <w:pPr>
        <w:pStyle w:val="Heading3"/>
      </w:pPr>
      <w:r>
        <w:t>Supplier</w:t>
      </w:r>
      <w:r w:rsidR="00185C50">
        <w:t xml:space="preserve"> must</w:t>
      </w:r>
      <w:r w:rsidR="00185C50" w:rsidRPr="00D8395D">
        <w:t xml:space="preserve"> ensure that the employer has administrative access to view and change information if needed.</w:t>
      </w:r>
    </w:p>
    <w:p w14:paraId="6E542654" w14:textId="77777777" w:rsidR="00185C50" w:rsidRPr="00D8395D" w:rsidRDefault="00185C50" w:rsidP="00185C50"/>
    <w:p w14:paraId="2D4F60E6" w14:textId="424D8BB2" w:rsidR="00185C50" w:rsidRPr="00D8395D" w:rsidRDefault="000333B7" w:rsidP="00185C50">
      <w:pPr>
        <w:pStyle w:val="Heading3"/>
      </w:pPr>
      <w:r>
        <w:t>Supplier</w:t>
      </w:r>
      <w:r w:rsidR="00185C50">
        <w:t xml:space="preserve"> must</w:t>
      </w:r>
      <w:r w:rsidR="00185C50" w:rsidRPr="00D8395D">
        <w:t xml:space="preserve"> maintain a fully automated claims adjudication system in compliance with electronic transmission standards and security requirements and all other regulations as required by HIPA</w:t>
      </w:r>
      <w:r w:rsidR="000504F8">
        <w:t>A.</w:t>
      </w:r>
    </w:p>
    <w:p w14:paraId="59451F1C" w14:textId="77777777" w:rsidR="00185C50" w:rsidRPr="00D8395D" w:rsidRDefault="00185C50" w:rsidP="00185C50"/>
    <w:p w14:paraId="4BC760EB" w14:textId="576893FC" w:rsidR="00185C50" w:rsidRPr="00D8395D" w:rsidRDefault="000333B7" w:rsidP="00185C50">
      <w:pPr>
        <w:pStyle w:val="Heading3"/>
      </w:pPr>
      <w:r>
        <w:t>Supplier</w:t>
      </w:r>
      <w:r w:rsidR="00185C50">
        <w:t xml:space="preserve"> must</w:t>
      </w:r>
      <w:r w:rsidR="00185C50" w:rsidRPr="00D8395D">
        <w:t xml:space="preserve"> ensure that the plan design, plan documents, implementation, communication and reports are in compliance with all current applicable laws and regulations.</w:t>
      </w:r>
    </w:p>
    <w:p w14:paraId="3ADDF8DA" w14:textId="77777777" w:rsidR="00185C50" w:rsidRPr="00D8395D" w:rsidRDefault="00185C50" w:rsidP="00185C50">
      <w:pPr>
        <w:rPr>
          <w:lang w:val="x-none"/>
        </w:rPr>
      </w:pPr>
    </w:p>
    <w:p w14:paraId="70A0A918" w14:textId="06013284" w:rsidR="00185C50" w:rsidRPr="00D8395D" w:rsidRDefault="000333B7" w:rsidP="00185C50">
      <w:pPr>
        <w:pStyle w:val="Heading3"/>
      </w:pPr>
      <w:r>
        <w:t>Supplier</w:t>
      </w:r>
      <w:r w:rsidR="00185C50" w:rsidRPr="00D8395D">
        <w:t xml:space="preserve">’s system </w:t>
      </w:r>
      <w:r w:rsidR="00185C50">
        <w:t xml:space="preserve">must </w:t>
      </w:r>
      <w:r w:rsidR="00185C50" w:rsidRPr="00D8395D">
        <w:t>allow a feed from the State of Oklahoma for purposes of elections and qualifying events.</w:t>
      </w:r>
    </w:p>
    <w:p w14:paraId="5E83FF1E" w14:textId="77777777" w:rsidR="00185C50" w:rsidRPr="00D8395D" w:rsidRDefault="00185C50" w:rsidP="00185C50"/>
    <w:p w14:paraId="08DF166A" w14:textId="2E094A04" w:rsidR="00185C50" w:rsidRPr="00D8395D" w:rsidRDefault="000333B7" w:rsidP="00185C50">
      <w:pPr>
        <w:pStyle w:val="Heading3"/>
      </w:pPr>
      <w:r>
        <w:t>Supplier</w:t>
      </w:r>
      <w:r w:rsidR="00185C50">
        <w:t xml:space="preserve"> must</w:t>
      </w:r>
      <w:r w:rsidR="00185C50" w:rsidRPr="00D8395D">
        <w:t xml:space="preserve"> accept plan enrollment elections via electronic file transmission and post to participant accounts.</w:t>
      </w:r>
    </w:p>
    <w:p w14:paraId="716BA54A" w14:textId="77777777" w:rsidR="00185C50" w:rsidRPr="00D8395D" w:rsidRDefault="00185C50" w:rsidP="00185C50"/>
    <w:p w14:paraId="49B0FE58" w14:textId="21C994A6" w:rsidR="00185C50" w:rsidRPr="00D8395D" w:rsidRDefault="000333B7" w:rsidP="00185C50">
      <w:pPr>
        <w:pStyle w:val="Heading3"/>
      </w:pPr>
      <w:r>
        <w:t>Supplier</w:t>
      </w:r>
      <w:r w:rsidR="00185C50">
        <w:t xml:space="preserve"> must</w:t>
      </w:r>
      <w:r w:rsidR="00185C50" w:rsidRPr="00D8395D">
        <w:t xml:space="preserve"> accept Health Flexible Spending Accounts (FSA), Dependent Care Accounts (DCA) employer pre-tax contributions via Oracle Cloud.  If TPA requires file conversion mapping, this service will be provided by the TPA at no cost to the state.</w:t>
      </w:r>
    </w:p>
    <w:p w14:paraId="261A568E" w14:textId="77777777" w:rsidR="00185C50" w:rsidRPr="00D8395D" w:rsidRDefault="00185C50" w:rsidP="00185C50"/>
    <w:p w14:paraId="5B773E3B" w14:textId="77777777" w:rsidR="00185C50" w:rsidRPr="00D8395D" w:rsidRDefault="00185C50" w:rsidP="00185C50">
      <w:pPr>
        <w:pStyle w:val="Heading3"/>
      </w:pPr>
      <w:r w:rsidRPr="00D8395D">
        <w:t>Files will be transmitted to the TPA and will need to be posted to the participant accounts by the applicable pay date.</w:t>
      </w:r>
    </w:p>
    <w:p w14:paraId="089B4391" w14:textId="77777777" w:rsidR="00185C50" w:rsidRPr="00D8395D" w:rsidRDefault="00185C50" w:rsidP="00185C50">
      <w:pPr>
        <w:rPr>
          <w:lang w:val="x-none"/>
        </w:rPr>
      </w:pPr>
    </w:p>
    <w:p w14:paraId="477BB4E4" w14:textId="5406847A" w:rsidR="00185C50" w:rsidRPr="00D8395D" w:rsidRDefault="000333B7" w:rsidP="00185C50">
      <w:pPr>
        <w:pStyle w:val="Heading3"/>
      </w:pPr>
      <w:r>
        <w:t>Supplier</w:t>
      </w:r>
      <w:r w:rsidR="00185C50">
        <w:t xml:space="preserve"> must</w:t>
      </w:r>
      <w:r w:rsidR="00185C50" w:rsidRPr="00D8395D">
        <w:t xml:space="preserve"> make account statements available at no cost to the State of Oklahoma or individual participants.</w:t>
      </w:r>
    </w:p>
    <w:p w14:paraId="6FD776E7" w14:textId="77777777" w:rsidR="00185C50" w:rsidRPr="00D8395D" w:rsidRDefault="00185C50" w:rsidP="00185C50">
      <w:r w:rsidRPr="00D8395D">
        <w:t xml:space="preserve"> </w:t>
      </w:r>
    </w:p>
    <w:p w14:paraId="37F96139" w14:textId="5D0AC602" w:rsidR="00185C50" w:rsidRPr="00D8395D" w:rsidRDefault="000333B7" w:rsidP="00185C50">
      <w:pPr>
        <w:pStyle w:val="Heading3"/>
      </w:pPr>
      <w:r>
        <w:t>Supplier</w:t>
      </w:r>
      <w:r w:rsidR="00185C50">
        <w:t xml:space="preserve"> must</w:t>
      </w:r>
      <w:r w:rsidR="00185C50" w:rsidRPr="00D8395D">
        <w:t xml:space="preserve"> provide a grace period for FSA of two and a half months after the end of the plan year; or the maximum grace period as allowed in accordance to Publication 969 of the Internal Revenue Service.  Claims </w:t>
      </w:r>
      <w:r w:rsidR="00185C50" w:rsidRPr="00D8395D">
        <w:rPr>
          <w:lang w:val="x-none"/>
        </w:rPr>
        <w:t xml:space="preserve">from the previous plan year </w:t>
      </w:r>
      <w:r w:rsidR="00185C50" w:rsidRPr="00D8395D">
        <w:t xml:space="preserve">shall </w:t>
      </w:r>
      <w:r w:rsidR="00185C50" w:rsidRPr="00D8395D">
        <w:rPr>
          <w:lang w:val="x-none"/>
        </w:rPr>
        <w:t xml:space="preserve">be processed by </w:t>
      </w:r>
      <w:r w:rsidR="00185C50" w:rsidRPr="00D8395D">
        <w:t>March 31st</w:t>
      </w:r>
      <w:r w:rsidR="00185C50" w:rsidRPr="00D8395D">
        <w:rPr>
          <w:lang w:val="x-none"/>
        </w:rPr>
        <w:t xml:space="preserve"> of the current year.  </w:t>
      </w:r>
      <w:r w:rsidR="00185C50" w:rsidRPr="00D8395D">
        <w:t>Forfeited</w:t>
      </w:r>
      <w:r w:rsidR="00185C50" w:rsidRPr="00D8395D">
        <w:rPr>
          <w:lang w:val="x-none"/>
        </w:rPr>
        <w:t xml:space="preserve"> contributions from the employer and participant will be returned to the employer after calendar year end reconciliation.</w:t>
      </w:r>
    </w:p>
    <w:p w14:paraId="7513915C" w14:textId="77777777" w:rsidR="00185C50" w:rsidRPr="00D8395D" w:rsidRDefault="00185C50" w:rsidP="00185C50"/>
    <w:p w14:paraId="0ABC6578" w14:textId="20027B66" w:rsidR="00185C50" w:rsidRPr="00D8395D" w:rsidRDefault="000333B7" w:rsidP="00185C50">
      <w:pPr>
        <w:pStyle w:val="Heading3"/>
      </w:pPr>
      <w:r>
        <w:t>Supplier</w:t>
      </w:r>
      <w:r w:rsidR="00185C50">
        <w:t xml:space="preserve"> must</w:t>
      </w:r>
      <w:r w:rsidR="00185C50" w:rsidRPr="00D8395D">
        <w:t xml:space="preserve"> track and generate enrollment and eligibility reports at least quarterly.  Reports should include participants’ balances, annual election amounts and per-pay-period contributions.  Reports must be available no later than the end of the calendar month following the end of the quarter.</w:t>
      </w:r>
    </w:p>
    <w:p w14:paraId="788D678F" w14:textId="77777777" w:rsidR="00185C50" w:rsidRPr="00D8395D" w:rsidRDefault="00185C50" w:rsidP="00185C50"/>
    <w:p w14:paraId="63CAD747" w14:textId="5AD3B6C8" w:rsidR="00185C50" w:rsidRPr="00D8395D" w:rsidRDefault="000333B7" w:rsidP="00185C50">
      <w:pPr>
        <w:pStyle w:val="Heading3"/>
      </w:pPr>
      <w:r>
        <w:lastRenderedPageBreak/>
        <w:t>Supplier</w:t>
      </w:r>
      <w:r w:rsidR="00185C50">
        <w:t xml:space="preserve"> must</w:t>
      </w:r>
      <w:r w:rsidR="00185C50" w:rsidRPr="00D8395D">
        <w:t xml:space="preserve"> provide reports of paid claims, contributions and expenses available on a monthly basis.  The report must define if it was a manual claim or a Debit Card claim.</w:t>
      </w:r>
    </w:p>
    <w:p w14:paraId="77B1A238" w14:textId="77777777" w:rsidR="00185C50" w:rsidRPr="00D8395D" w:rsidRDefault="00185C50" w:rsidP="00185C50"/>
    <w:p w14:paraId="74A93FF8" w14:textId="3D455057" w:rsidR="00185C50" w:rsidRPr="00D8395D" w:rsidRDefault="000333B7" w:rsidP="00185C50">
      <w:pPr>
        <w:pStyle w:val="Heading3"/>
      </w:pPr>
      <w:r>
        <w:t>Supplier</w:t>
      </w:r>
      <w:r w:rsidR="00185C50">
        <w:t xml:space="preserve"> must</w:t>
      </w:r>
      <w:r w:rsidR="00185C50" w:rsidRPr="00D8395D">
        <w:t xml:space="preserve"> report the end of the year forfeitures by plan type.</w:t>
      </w:r>
    </w:p>
    <w:p w14:paraId="1C07F03A" w14:textId="77777777" w:rsidR="00185C50" w:rsidRPr="00D8395D" w:rsidRDefault="00185C50" w:rsidP="00185C50"/>
    <w:p w14:paraId="7797A088" w14:textId="43C161EE" w:rsidR="00185C50" w:rsidRPr="00D8395D" w:rsidRDefault="00185C50" w:rsidP="00185C50">
      <w:pPr>
        <w:pStyle w:val="Heading3"/>
      </w:pPr>
      <w:r w:rsidRPr="00D8395D">
        <w:t xml:space="preserve">The </w:t>
      </w:r>
      <w:r w:rsidR="000333B7">
        <w:t>Supplier</w:t>
      </w:r>
      <w:r w:rsidRPr="00D8395D">
        <w:t xml:space="preserve"> </w:t>
      </w:r>
      <w:r>
        <w:t xml:space="preserve">must </w:t>
      </w:r>
      <w:r w:rsidRPr="00D8395D">
        <w:t>provide a complete description of administrative services including but not limited to the following:</w:t>
      </w:r>
    </w:p>
    <w:p w14:paraId="20F9B974" w14:textId="685605E2" w:rsidR="00185C50" w:rsidRPr="000504F8" w:rsidRDefault="00185C50" w:rsidP="00185C50">
      <w:pPr>
        <w:pStyle w:val="Heading4"/>
        <w:spacing w:before="120"/>
      </w:pPr>
      <w:r w:rsidRPr="00D8395D">
        <w:t>Direct participant submissions;</w:t>
      </w:r>
    </w:p>
    <w:p w14:paraId="386C57D1" w14:textId="5AF02D5C" w:rsidR="00185C50" w:rsidRPr="00D8395D" w:rsidRDefault="00185C50" w:rsidP="00185C50">
      <w:pPr>
        <w:pStyle w:val="Heading4"/>
        <w:spacing w:before="120"/>
      </w:pPr>
      <w:r w:rsidRPr="00D8395D">
        <w:t>Claims adjudication;</w:t>
      </w:r>
    </w:p>
    <w:p w14:paraId="3948115F" w14:textId="3A4AF228" w:rsidR="00185C50" w:rsidRPr="000504F8" w:rsidRDefault="00185C50" w:rsidP="00185C50">
      <w:pPr>
        <w:pStyle w:val="Heading4"/>
        <w:spacing w:before="120"/>
      </w:pPr>
      <w:r w:rsidRPr="00D8395D">
        <w:t>Direct deposit to participant accounts of claim reimbursement;</w:t>
      </w:r>
    </w:p>
    <w:p w14:paraId="529A706F" w14:textId="40EF64BC" w:rsidR="00185C50" w:rsidRPr="000504F8" w:rsidRDefault="00185C50" w:rsidP="00185C50">
      <w:pPr>
        <w:pStyle w:val="Heading4"/>
        <w:spacing w:before="120"/>
      </w:pPr>
      <w:r w:rsidRPr="00D8395D">
        <w:t>Reports to participant or including balancing and reconciliation of accounts;</w:t>
      </w:r>
    </w:p>
    <w:p w14:paraId="43C188D6" w14:textId="47BFA3B1" w:rsidR="00185C50" w:rsidRDefault="00185C50" w:rsidP="00185C50">
      <w:pPr>
        <w:pStyle w:val="Heading4"/>
        <w:spacing w:before="120"/>
      </w:pPr>
      <w:r w:rsidRPr="00D8395D">
        <w:t>Provide a toll-free 800 number for employer and participant;</w:t>
      </w:r>
    </w:p>
    <w:p w14:paraId="32DA5F7B" w14:textId="45EF9952" w:rsidR="00185C50" w:rsidRDefault="00185C50" w:rsidP="00185C50">
      <w:pPr>
        <w:pStyle w:val="Heading4"/>
        <w:spacing w:before="120"/>
      </w:pPr>
      <w:r w:rsidRPr="00D8395D">
        <w:t>Process Flexible Spending Account claims and claim checks;</w:t>
      </w:r>
    </w:p>
    <w:p w14:paraId="20586A45" w14:textId="3715BAE3" w:rsidR="00185C50" w:rsidRDefault="00185C50" w:rsidP="00185C50">
      <w:pPr>
        <w:pStyle w:val="Heading4"/>
        <w:spacing w:before="120"/>
      </w:pPr>
      <w:r w:rsidRPr="00D8395D">
        <w:t>Send reimbursements via US mail and/or direct deposit; and</w:t>
      </w:r>
    </w:p>
    <w:p w14:paraId="7AF18F3C" w14:textId="5E63B983" w:rsidR="00185C50" w:rsidRDefault="00185C50" w:rsidP="00185C50">
      <w:pPr>
        <w:pStyle w:val="Heading4"/>
        <w:spacing w:before="120"/>
      </w:pPr>
      <w:r w:rsidRPr="00D8395D">
        <w:t xml:space="preserve">Provide each Flexible Spending Account participant the ability to review account </w:t>
      </w:r>
      <w:r w:rsidR="00913867">
        <w:t xml:space="preserve">  </w:t>
      </w:r>
      <w:r w:rsidR="00913867">
        <w:tab/>
      </w:r>
      <w:r w:rsidRPr="00D8395D">
        <w:t>balance statements and quarterly statements throughout the year at no additional cost.</w:t>
      </w:r>
    </w:p>
    <w:p w14:paraId="2010FD84" w14:textId="05217FE4" w:rsidR="00185C50" w:rsidRDefault="000333B7" w:rsidP="00185C50">
      <w:pPr>
        <w:pStyle w:val="Heading3"/>
      </w:pPr>
      <w:r>
        <w:t>Supplier</w:t>
      </w:r>
      <w:r w:rsidR="00185C50">
        <w:t xml:space="preserve"> must provide monthly invoices.</w:t>
      </w:r>
    </w:p>
    <w:p w14:paraId="46DA6939" w14:textId="732E5E7D" w:rsidR="00185C50" w:rsidRDefault="000333B7" w:rsidP="00185C50">
      <w:pPr>
        <w:pStyle w:val="Heading3"/>
      </w:pPr>
      <w:r>
        <w:t>Supplier</w:t>
      </w:r>
      <w:r w:rsidR="00185C50">
        <w:t xml:space="preserve"> must provide monthly and end of contract term program activity reports in electronic format to the State of Oklahoma staff including, but not limited to, the following:</w:t>
      </w:r>
    </w:p>
    <w:p w14:paraId="4403995B" w14:textId="32D0B8E6" w:rsidR="00185C50" w:rsidRDefault="00185C50" w:rsidP="00185C50">
      <w:pPr>
        <w:pStyle w:val="Heading4"/>
        <w:spacing w:before="120"/>
      </w:pPr>
      <w:r>
        <w:t xml:space="preserve">Employee name, address, employee identifier, check digit and contribution amounts </w:t>
      </w:r>
      <w:r w:rsidR="00913867">
        <w:tab/>
      </w:r>
      <w:r>
        <w:t>received and paid out per month and cumulative year-to-date;</w:t>
      </w:r>
    </w:p>
    <w:p w14:paraId="591F163E" w14:textId="77777777" w:rsidR="00185C50" w:rsidRDefault="00185C50" w:rsidP="00185C50">
      <w:pPr>
        <w:pStyle w:val="Heading4"/>
        <w:spacing w:before="120"/>
      </w:pPr>
      <w:r>
        <w:t>Reconciliation of posted contributions to the number of enrolled participants;</w:t>
      </w:r>
    </w:p>
    <w:p w14:paraId="18A52EBA" w14:textId="77777777" w:rsidR="00185C50" w:rsidRDefault="00185C50" w:rsidP="00185C50">
      <w:pPr>
        <w:pStyle w:val="Heading4"/>
        <w:spacing w:before="120"/>
      </w:pPr>
      <w:r>
        <w:t xml:space="preserve">Lost and/or stolen reimbursement checks; and </w:t>
      </w:r>
    </w:p>
    <w:p w14:paraId="13FE661F" w14:textId="77777777" w:rsidR="00185C50" w:rsidRDefault="00185C50" w:rsidP="00185C50">
      <w:pPr>
        <w:pStyle w:val="Heading4"/>
        <w:spacing w:before="120"/>
      </w:pPr>
      <w:r>
        <w:t>Ad hoc reports, as required.</w:t>
      </w:r>
    </w:p>
    <w:p w14:paraId="21A070DB" w14:textId="431706E3" w:rsidR="00185C50" w:rsidRDefault="00185C50" w:rsidP="00185C50">
      <w:pPr>
        <w:pStyle w:val="Heading4"/>
        <w:spacing w:before="120"/>
      </w:pPr>
      <w:r>
        <w:t xml:space="preserve">Monthly reports shall be due the tenth (10th) of each month following the reporting </w:t>
      </w:r>
      <w:r w:rsidR="00913867">
        <w:tab/>
      </w:r>
      <w:r>
        <w:t xml:space="preserve">period.  End of contract term reports shall be due within five (5) business days of </w:t>
      </w:r>
      <w:r w:rsidR="00913867">
        <w:tab/>
      </w:r>
      <w:r>
        <w:t>contract termination.</w:t>
      </w:r>
    </w:p>
    <w:p w14:paraId="231640E0" w14:textId="75B732BF" w:rsidR="00185C50" w:rsidRPr="00492C89" w:rsidRDefault="000333B7" w:rsidP="00185C50">
      <w:pPr>
        <w:pStyle w:val="Heading3"/>
      </w:pPr>
      <w:r>
        <w:t>Supplier</w:t>
      </w:r>
      <w:r w:rsidR="00185C50">
        <w:t xml:space="preserve"> must provide any information regarding incentives and fees pertaining to use of p</w:t>
      </w:r>
      <w:r w:rsidR="00185C50" w:rsidRPr="00492C89">
        <w:t xml:space="preserve">ayment systems (Including, but not limited to, debit card, digital currencies, digital wallet, mobile payment, contactless payment, </w:t>
      </w:r>
      <w:r w:rsidR="00F557A0" w:rsidRPr="00492C89">
        <w:t>etc.</w:t>
      </w:r>
      <w:r w:rsidR="00185C50" w:rsidRPr="00492C89">
        <w:t>…)</w:t>
      </w:r>
    </w:p>
    <w:p w14:paraId="27C39782" w14:textId="77777777" w:rsidR="00185C50" w:rsidRPr="00C324BD" w:rsidRDefault="00185C50" w:rsidP="00185C50">
      <w:pPr>
        <w:pStyle w:val="Heading3"/>
        <w:numPr>
          <w:ilvl w:val="0"/>
          <w:numId w:val="0"/>
        </w:numPr>
        <w:ind w:left="1440"/>
      </w:pPr>
    </w:p>
    <w:p w14:paraId="159830AB" w14:textId="77777777" w:rsidR="00185C50" w:rsidRDefault="00185C50" w:rsidP="00185C50">
      <w:pPr>
        <w:pStyle w:val="Heading2"/>
      </w:pPr>
      <w:bookmarkStart w:id="2" w:name="_Toc487036921"/>
      <w:r>
        <w:t>BIDDER QUESTIONNAIRE</w:t>
      </w:r>
      <w:bookmarkEnd w:id="2"/>
    </w:p>
    <w:p w14:paraId="0A8FCCD1" w14:textId="77777777" w:rsidR="00185C50" w:rsidRDefault="00185C50" w:rsidP="00185C50">
      <w:pPr>
        <w:pStyle w:val="Indent"/>
        <w:ind w:left="0"/>
      </w:pPr>
    </w:p>
    <w:p w14:paraId="49B12659" w14:textId="761A1E72" w:rsidR="00185C50" w:rsidRDefault="00185C50" w:rsidP="00185C50">
      <w:pPr>
        <w:pStyle w:val="Indent"/>
        <w:ind w:left="0"/>
      </w:pPr>
      <w:r>
        <w:t xml:space="preserve">Each bidder must answer the questions in Appendix </w:t>
      </w:r>
      <w:r w:rsidR="000504F8">
        <w:t>A.</w:t>
      </w:r>
      <w:r>
        <w:t xml:space="preserve"> Questions are to be answered in a separate document and returned with the bid response. The question must be included before the answer.  For each question, you should provide a full answer.  Do not refer to other sections of your proposal, however if the questions are answered in a previous subsection of question(s) please note where specifically and elaborate as applicable; otherwise include the applicable information in the response to the question.  Please answer the following questions in the various subsections as it relates to, or is applicable to, each category listed below:</w:t>
      </w:r>
    </w:p>
    <w:p w14:paraId="2C18F58E" w14:textId="77777777" w:rsidR="00185C50" w:rsidRDefault="00185C50" w:rsidP="00185C50">
      <w:pPr>
        <w:pStyle w:val="Indent"/>
      </w:pPr>
    </w:p>
    <w:p w14:paraId="54911E87" w14:textId="77777777" w:rsidR="00185C50" w:rsidRDefault="00185C50" w:rsidP="00185C50">
      <w:pPr>
        <w:pStyle w:val="Indent"/>
        <w:numPr>
          <w:ilvl w:val="0"/>
          <w:numId w:val="2"/>
        </w:numPr>
      </w:pPr>
      <w:r>
        <w:t>Health Flexible Spending Account</w:t>
      </w:r>
    </w:p>
    <w:p w14:paraId="5E4D07FE" w14:textId="77777777" w:rsidR="00185C50" w:rsidRDefault="00185C50" w:rsidP="00185C50">
      <w:pPr>
        <w:pStyle w:val="Indent"/>
      </w:pPr>
    </w:p>
    <w:p w14:paraId="4C388B24" w14:textId="77777777" w:rsidR="00185C50" w:rsidRDefault="00185C50" w:rsidP="00185C50">
      <w:pPr>
        <w:pStyle w:val="PlainText"/>
        <w:numPr>
          <w:ilvl w:val="0"/>
          <w:numId w:val="2"/>
        </w:numPr>
      </w:pPr>
      <w:r>
        <w:t>Dependent Care Spending Account</w:t>
      </w:r>
    </w:p>
    <w:p w14:paraId="171F3650" w14:textId="77777777" w:rsidR="00185C50" w:rsidRPr="00185C50" w:rsidRDefault="00185C50" w:rsidP="00185C50">
      <w:pPr>
        <w:jc w:val="center"/>
        <w:rPr>
          <w:sz w:val="28"/>
          <w:szCs w:val="28"/>
        </w:rPr>
      </w:pPr>
    </w:p>
    <w:sectPr w:rsidR="00185C50" w:rsidRPr="0018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37E2"/>
    <w:multiLevelType w:val="hybridMultilevel"/>
    <w:tmpl w:val="6030865E"/>
    <w:lvl w:ilvl="0" w:tplc="5112B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ED6307"/>
    <w:multiLevelType w:val="multilevel"/>
    <w:tmpl w:val="ABC64014"/>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260"/>
        </w:tabs>
        <w:ind w:left="1260" w:hanging="720"/>
      </w:pPr>
      <w:rPr>
        <w:rFonts w:ascii="Arial" w:hAnsi="Arial" w:hint="default"/>
        <w:b/>
        <w:i w:val="0"/>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50"/>
    <w:rsid w:val="000333B7"/>
    <w:rsid w:val="000504F8"/>
    <w:rsid w:val="000B38BC"/>
    <w:rsid w:val="00181D13"/>
    <w:rsid w:val="00185C50"/>
    <w:rsid w:val="00494FD6"/>
    <w:rsid w:val="00913867"/>
    <w:rsid w:val="00A671B0"/>
    <w:rsid w:val="00EB3A6D"/>
    <w:rsid w:val="00EF1955"/>
    <w:rsid w:val="00F5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264F"/>
  <w15:chartTrackingRefBased/>
  <w15:docId w15:val="{082B55EA-F35F-4180-89B7-E7088142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C50"/>
    <w:pPr>
      <w:numPr>
        <w:numId w:val="1"/>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185C50"/>
    <w:pPr>
      <w:keepNext/>
      <w:numPr>
        <w:ilvl w:val="1"/>
        <w:numId w:val="1"/>
      </w:numPr>
      <w:tabs>
        <w:tab w:val="clear" w:pos="1260"/>
        <w:tab w:val="num" w:pos="720"/>
      </w:tabs>
      <w:overflowPunct w:val="0"/>
      <w:autoSpaceDE w:val="0"/>
      <w:autoSpaceDN w:val="0"/>
      <w:adjustRightInd w:val="0"/>
      <w:spacing w:before="240" w:after="0" w:line="240" w:lineRule="auto"/>
      <w:ind w:left="720"/>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185C50"/>
    <w:pPr>
      <w:numPr>
        <w:ilvl w:val="2"/>
        <w:numId w:val="1"/>
      </w:numPr>
      <w:tabs>
        <w:tab w:val="clear" w:pos="1080"/>
        <w:tab w:val="num" w:pos="360"/>
      </w:tabs>
      <w:overflowPunct w:val="0"/>
      <w:autoSpaceDE w:val="0"/>
      <w:autoSpaceDN w:val="0"/>
      <w:adjustRightInd w:val="0"/>
      <w:spacing w:beforeLines="50" w:before="120" w:after="0" w:line="240" w:lineRule="auto"/>
      <w:ind w:left="1440"/>
      <w:jc w:val="both"/>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185C50"/>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185C50"/>
    <w:pPr>
      <w:keepNext/>
      <w:keepLines/>
      <w:numPr>
        <w:ilvl w:val="4"/>
        <w:numId w:val="1"/>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50"/>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185C50"/>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185C50"/>
    <w:rPr>
      <w:rFonts w:ascii="Arial" w:eastAsia="Times New Roman" w:hAnsi="Arial" w:cs="Arial"/>
      <w:sz w:val="18"/>
      <w:szCs w:val="18"/>
    </w:rPr>
  </w:style>
  <w:style w:type="character" w:customStyle="1" w:styleId="Heading4Char">
    <w:name w:val="Heading 4 Char"/>
    <w:basedOn w:val="DefaultParagraphFont"/>
    <w:link w:val="Heading4"/>
    <w:uiPriority w:val="9"/>
    <w:rsid w:val="00185C50"/>
    <w:rPr>
      <w:rFonts w:ascii="Arial" w:eastAsia="Times New Roman" w:hAnsi="Arial" w:cs="Arial"/>
      <w:sz w:val="18"/>
      <w:szCs w:val="18"/>
    </w:rPr>
  </w:style>
  <w:style w:type="character" w:customStyle="1" w:styleId="Heading6Char">
    <w:name w:val="Heading 6 Char"/>
    <w:basedOn w:val="DefaultParagraphFont"/>
    <w:link w:val="Heading6"/>
    <w:uiPriority w:val="9"/>
    <w:rsid w:val="00185C50"/>
    <w:rPr>
      <w:rFonts w:asciiTheme="majorHAnsi" w:eastAsiaTheme="majorEastAsia" w:hAnsiTheme="majorHAnsi" w:cstheme="majorBidi"/>
      <w:b/>
      <w:i/>
      <w:iCs/>
      <w:color w:val="1F3763" w:themeColor="accent1" w:themeShade="7F"/>
      <w:sz w:val="18"/>
      <w:szCs w:val="18"/>
    </w:rPr>
  </w:style>
  <w:style w:type="paragraph" w:styleId="PlainText">
    <w:name w:val="Plain Text"/>
    <w:basedOn w:val="Normal"/>
    <w:link w:val="PlainTextChar"/>
    <w:uiPriority w:val="99"/>
    <w:unhideWhenUsed/>
    <w:qFormat/>
    <w:rsid w:val="00185C50"/>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185C50"/>
    <w:rPr>
      <w:rFonts w:ascii="Arial" w:eastAsia="Times New Roman" w:hAnsi="Arial" w:cs="Arial"/>
      <w:sz w:val="18"/>
      <w:szCs w:val="18"/>
    </w:rPr>
  </w:style>
  <w:style w:type="character" w:styleId="CommentReference">
    <w:name w:val="annotation reference"/>
    <w:basedOn w:val="DefaultParagraphFont"/>
    <w:uiPriority w:val="99"/>
    <w:semiHidden/>
    <w:rsid w:val="00185C50"/>
    <w:rPr>
      <w:sz w:val="16"/>
      <w:szCs w:val="16"/>
    </w:rPr>
  </w:style>
  <w:style w:type="paragraph" w:styleId="CommentText">
    <w:name w:val="annotation text"/>
    <w:basedOn w:val="Normal"/>
    <w:link w:val="CommentTextChar"/>
    <w:uiPriority w:val="99"/>
    <w:semiHidden/>
    <w:rsid w:val="00185C50"/>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semiHidden/>
    <w:rsid w:val="00185C50"/>
    <w:rPr>
      <w:rFonts w:ascii="Arial" w:eastAsia="Times New Roman" w:hAnsi="Arial" w:cs="Arial"/>
      <w:b/>
      <w:sz w:val="20"/>
      <w:szCs w:val="20"/>
    </w:rPr>
  </w:style>
  <w:style w:type="paragraph" w:customStyle="1" w:styleId="Indent">
    <w:name w:val="Indent"/>
    <w:basedOn w:val="PlainText"/>
    <w:link w:val="IndentChar"/>
    <w:qFormat/>
    <w:rsid w:val="00185C50"/>
    <w:pPr>
      <w:tabs>
        <w:tab w:val="left" w:pos="7920"/>
      </w:tabs>
      <w:spacing w:before="0"/>
      <w:ind w:left="720"/>
    </w:pPr>
  </w:style>
  <w:style w:type="character" w:customStyle="1" w:styleId="IndentChar">
    <w:name w:val="Indent Char"/>
    <w:basedOn w:val="PlainTextChar"/>
    <w:link w:val="Indent"/>
    <w:rsid w:val="00185C5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Saltzman</dc:creator>
  <cp:keywords/>
  <dc:description/>
  <cp:lastModifiedBy>Darlene Saltzman</cp:lastModifiedBy>
  <cp:revision>7</cp:revision>
  <dcterms:created xsi:type="dcterms:W3CDTF">2022-05-04T13:21:00Z</dcterms:created>
  <dcterms:modified xsi:type="dcterms:W3CDTF">2022-06-20T14:56:00Z</dcterms:modified>
</cp:coreProperties>
</file>