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7728DACE" w:rsidR="00977E0D" w:rsidRDefault="004F396B" w:rsidP="00680721">
            <w:pPr>
              <w:spacing w:beforeLines="50" w:before="120"/>
            </w:pPr>
            <w:r>
              <w:t>05/10/2022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4DDDFBDD" w:rsidR="00977E0D" w:rsidRDefault="00E45556" w:rsidP="00680721">
            <w:pPr>
              <w:spacing w:beforeLines="50" w:before="120"/>
            </w:pPr>
            <w:r>
              <w:t>0900000535</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3CDD6A0F" w:rsidR="00977E0D" w:rsidRDefault="00E45556" w:rsidP="0033118F">
            <w:pPr>
              <w:spacing w:beforeLines="100" w:before="240"/>
            </w:pPr>
            <w:r>
              <w:t>0900016236</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58141E0F" w:rsidR="00977E0D" w:rsidRDefault="00E45556"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72155AC2" w:rsidR="0033118F" w:rsidRDefault="00E45556"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402547">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402547">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9330266" w:rsidR="002C60CD" w:rsidRDefault="00E45556"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497D495" w:rsidR="002C60CD" w:rsidRDefault="00E45556" w:rsidP="00071DEE">
            <w:pPr>
              <w:ind w:left="78" w:hanging="78"/>
            </w:pPr>
            <w:r>
              <w:t>405-521-6669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4BE2A411" w:rsidR="002C60CD" w:rsidRDefault="00E45556" w:rsidP="00071DEE">
            <w:r>
              <w:t>Marc.brown@omes.ok.gov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402547" w:rsidP="00430AF6">
            <w:hyperlink r:id="rId12" w:history="1">
              <w:r w:rsidR="00071DEE">
                <w:rPr>
                  <w:rStyle w:val="Hyperlink"/>
                  <w:rFonts w:ascii="Calibri" w:hAnsi="Calibri" w:cs="Calibri"/>
                </w:rPr>
                <w:t>OMESCPeBID@omes.ok.gov</w:t>
              </w:r>
            </w:hyperlink>
            <w:bookmarkStart w:id="3" w:name="_GoBack"/>
            <w:bookmarkEnd w:id="3"/>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0C1C1C73" w:rsidR="00E31827" w:rsidRDefault="00E31827" w:rsidP="00E31827">
            <w:pPr>
              <w:rPr>
                <w:rFonts w:ascii="Segoe UI" w:hAnsi="Segoe UI" w:cs="Segoe UI"/>
                <w:sz w:val="21"/>
                <w:szCs w:val="21"/>
              </w:rPr>
            </w:pPr>
          </w:p>
          <w:p w14:paraId="2D7C1316" w14:textId="375BD815" w:rsidR="00AC1393" w:rsidRDefault="00AC1393" w:rsidP="00E31827">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Attachment D, State of Oklahoma Information Technology Terms (file: 0900000535AttachmentD.pdf), page 4, section 6.1 provides two hyperlinks that appear to be broken. Please provide the correct URLs or the destination documents.</w:t>
            </w:r>
          </w:p>
          <w:p w14:paraId="597D72F9" w14:textId="02A8A6B7" w:rsidR="00AC1393" w:rsidRDefault="00AC1393" w:rsidP="00E31827">
            <w:pPr>
              <w:rPr>
                <w:rFonts w:ascii="Calibri" w:hAnsi="Calibri" w:cs="Calibri"/>
                <w:color w:val="201F1E"/>
                <w:sz w:val="22"/>
                <w:szCs w:val="22"/>
                <w:shd w:val="clear" w:color="auto" w:fill="FFFFFF"/>
              </w:rPr>
            </w:pPr>
          </w:p>
          <w:p w14:paraId="1B106784" w14:textId="52D252C7" w:rsidR="00A22DBA" w:rsidRDefault="00A22DBA" w:rsidP="00E31827">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The information from both links can now be found in one place here.</w:t>
            </w:r>
          </w:p>
          <w:p w14:paraId="5C9220A7" w14:textId="21CA7100" w:rsidR="00AC1393" w:rsidRDefault="00402547" w:rsidP="00E31827">
            <w:hyperlink r:id="rId13" w:tgtFrame="_blank" w:tooltip="https://oklahoma.gov/omes/services/information-services/policy-standards-publications.html" w:history="1">
              <w:r w:rsidR="00AC1393" w:rsidRPr="00AC1393">
                <w:rPr>
                  <w:rFonts w:ascii="Calibri" w:hAnsi="Calibri" w:cs="Calibri"/>
                  <w:color w:val="0000FF"/>
                  <w:sz w:val="22"/>
                  <w:szCs w:val="22"/>
                  <w:u w:val="single"/>
                  <w:bdr w:val="none" w:sz="0" w:space="0" w:color="auto" w:frame="1"/>
                  <w:shd w:val="clear" w:color="auto" w:fill="FFFFFF"/>
                </w:rPr>
                <w:t>https://oklahoma.gov/omes/services/information-services/policy-standards-publications.html</w:t>
              </w:r>
            </w:hyperlink>
          </w:p>
          <w:p w14:paraId="6E5DDA06" w14:textId="21820DE5" w:rsidR="00AC1393" w:rsidRDefault="00AC1393" w:rsidP="00E31827">
            <w:pPr>
              <w:rPr>
                <w:sz w:val="21"/>
                <w:szCs w:val="21"/>
              </w:rPr>
            </w:pPr>
          </w:p>
          <w:p w14:paraId="155BCB75" w14:textId="77777777" w:rsidR="00AC1393" w:rsidRDefault="00AC1393" w:rsidP="00E31827">
            <w:pPr>
              <w:rPr>
                <w:rFonts w:ascii="Segoe UI" w:hAnsi="Segoe UI" w:cs="Segoe UI"/>
                <w:sz w:val="21"/>
                <w:szCs w:val="21"/>
              </w:rPr>
            </w:pPr>
          </w:p>
          <w:p w14:paraId="4D78A2BC" w14:textId="002D8E24" w:rsidR="00F558C8" w:rsidRPr="00F558C8" w:rsidRDefault="00E36D5B" w:rsidP="005B0007">
            <w:pPr>
              <w:spacing w:beforeLines="50" w:before="120"/>
            </w:pPr>
            <w:r>
              <w:rPr>
                <w:rFonts w:ascii="Calibri" w:hAnsi="Calibri" w:cs="Calibri"/>
                <w:color w:val="201F1E"/>
                <w:sz w:val="22"/>
                <w:szCs w:val="22"/>
                <w:shd w:val="clear" w:color="auto" w:fill="FFFFFF"/>
              </w:rPr>
              <w:t xml:space="preserve">In the previous Master Purchase Agreement (MPA) between </w:t>
            </w:r>
            <w:proofErr w:type="spellStart"/>
            <w:r>
              <w:rPr>
                <w:rFonts w:ascii="Calibri" w:hAnsi="Calibri" w:cs="Calibri"/>
                <w:color w:val="201F1E"/>
                <w:sz w:val="22"/>
                <w:szCs w:val="22"/>
                <w:shd w:val="clear" w:color="auto" w:fill="FFFFFF"/>
              </w:rPr>
              <w:t>Esri</w:t>
            </w:r>
            <w:proofErr w:type="spellEnd"/>
            <w:r>
              <w:rPr>
                <w:rFonts w:ascii="Calibri" w:hAnsi="Calibri" w:cs="Calibri"/>
                <w:color w:val="201F1E"/>
                <w:sz w:val="22"/>
                <w:szCs w:val="22"/>
                <w:shd w:val="clear" w:color="auto" w:fill="FFFFFF"/>
              </w:rPr>
              <w:t xml:space="preserve"> and Oklahoma there was an Administration Fee of 1% that Oklahoma added to the </w:t>
            </w:r>
            <w:proofErr w:type="spellStart"/>
            <w:r>
              <w:rPr>
                <w:rFonts w:ascii="Calibri" w:hAnsi="Calibri" w:cs="Calibri"/>
                <w:color w:val="201F1E"/>
                <w:sz w:val="22"/>
                <w:szCs w:val="22"/>
                <w:shd w:val="clear" w:color="auto" w:fill="FFFFFF"/>
              </w:rPr>
              <w:t>Esri</w:t>
            </w:r>
            <w:proofErr w:type="spellEnd"/>
            <w:r>
              <w:rPr>
                <w:rFonts w:ascii="Calibri" w:hAnsi="Calibri" w:cs="Calibri"/>
                <w:color w:val="201F1E"/>
                <w:sz w:val="22"/>
                <w:szCs w:val="22"/>
                <w:shd w:val="clear" w:color="auto" w:fill="FFFFFF"/>
              </w:rPr>
              <w:t xml:space="preserve"> pricing. Will Oklahoma continue to apply this fee and, if so, how should this fee be included in our proposal?</w:t>
            </w:r>
          </w:p>
          <w:p w14:paraId="2807DD32" w14:textId="77777777" w:rsidR="00F558C8" w:rsidRPr="00F558C8" w:rsidRDefault="00F558C8" w:rsidP="005B0007">
            <w:pPr>
              <w:spacing w:beforeLines="50" w:before="120"/>
            </w:pPr>
          </w:p>
          <w:p w14:paraId="50BD9D7B" w14:textId="7AB40E66" w:rsidR="00F558C8" w:rsidRDefault="00E36D5B" w:rsidP="005B0007">
            <w:pPr>
              <w:spacing w:beforeLines="50" w:before="120"/>
              <w:rPr>
                <w:rFonts w:ascii="Calibri" w:hAnsi="Calibri" w:cs="Calibri"/>
                <w:color w:val="ED5C57"/>
                <w:sz w:val="22"/>
                <w:szCs w:val="22"/>
                <w:shd w:val="clear" w:color="auto" w:fill="FFFFFF"/>
              </w:rPr>
            </w:pPr>
            <w:r>
              <w:rPr>
                <w:rFonts w:ascii="Calibri" w:hAnsi="Calibri" w:cs="Calibri"/>
                <w:color w:val="ED5C57"/>
                <w:sz w:val="22"/>
                <w:szCs w:val="22"/>
                <w:shd w:val="clear" w:color="auto" w:fill="FFFFFF"/>
              </w:rPr>
              <w:t>Yes, the 1% admin fee will stay in place. Please include the 1% within your price response.</w:t>
            </w:r>
          </w:p>
          <w:p w14:paraId="689951D8" w14:textId="7B6EC7AC" w:rsidR="00E36D5B" w:rsidRDefault="00E36D5B" w:rsidP="005B0007">
            <w:pPr>
              <w:spacing w:beforeLines="50" w:before="120"/>
              <w:rPr>
                <w:rFonts w:ascii="Calibri" w:hAnsi="Calibri" w:cs="Calibri"/>
                <w:color w:val="ED5C57"/>
                <w:sz w:val="22"/>
                <w:szCs w:val="22"/>
                <w:shd w:val="clear" w:color="auto" w:fill="FFFFFF"/>
              </w:rPr>
            </w:pPr>
          </w:p>
          <w:p w14:paraId="63EF0253" w14:textId="7B94EEB6" w:rsidR="00E36D5B" w:rsidRDefault="00E36D5B" w:rsidP="005B0007">
            <w:pPr>
              <w:spacing w:beforeLines="50" w:before="12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Also, the previous MPA included a Task Order provision (see attached) that ODOT has used successfully. The solicitation does not mention nor include the renewal of the OK MPA Task Order Provision. Does the State intend to renew the Task Order provision and, if so, should it be included in our proposal submittal?</w:t>
            </w:r>
          </w:p>
          <w:p w14:paraId="1B96C5C3" w14:textId="5E5BF129" w:rsidR="00E36D5B" w:rsidRPr="00F558C8" w:rsidRDefault="00E36D5B" w:rsidP="005B0007">
            <w:pPr>
              <w:spacing w:beforeLines="50" w:before="120"/>
            </w:pPr>
            <w:r w:rsidRPr="00E36D5B">
              <w:rPr>
                <w:rFonts w:cs="Mangal" w:hint="cs"/>
                <w:color w:val="FF0000"/>
                <w:shd w:val="clear" w:color="auto" w:fill="FFFFFF"/>
              </w:rPr>
              <w:t>Yes, a copy of the task order template should be included in the response</w:t>
            </w:r>
            <w:r>
              <w:rPr>
                <w:rFonts w:cs="Mangal" w:hint="cs"/>
                <w:color w:val="000000"/>
                <w:shd w:val="clear" w:color="auto" w:fill="FFFFFF"/>
              </w:rPr>
              <w:t>.</w:t>
            </w:r>
          </w:p>
          <w:p w14:paraId="265DA810" w14:textId="77777777" w:rsidR="00F558C8" w:rsidRDefault="00F558C8" w:rsidP="005B0007">
            <w:pPr>
              <w:spacing w:beforeLines="50" w:before="120"/>
            </w:pPr>
          </w:p>
          <w:p w14:paraId="0823D85B" w14:textId="77777777" w:rsidR="00980387" w:rsidRDefault="00980387" w:rsidP="005B0007">
            <w:pPr>
              <w:spacing w:beforeLines="50" w:before="120"/>
              <w:rPr>
                <w:rFonts w:ascii="Calibri" w:hAnsi="Calibri" w:cs="Calibri"/>
                <w:color w:val="201F1E"/>
                <w:sz w:val="22"/>
                <w:szCs w:val="22"/>
                <w:shd w:val="clear" w:color="auto" w:fill="FFFFFF"/>
              </w:rPr>
            </w:pPr>
            <w:r>
              <w:lastRenderedPageBreak/>
              <w:br/>
            </w:r>
            <w:r>
              <w:rPr>
                <w:rFonts w:ascii="Calibri" w:hAnsi="Calibri" w:cs="Calibri"/>
                <w:color w:val="201F1E"/>
                <w:sz w:val="22"/>
                <w:szCs w:val="22"/>
                <w:shd w:val="clear" w:color="auto" w:fill="FFFFFF"/>
              </w:rPr>
              <w:t>For inclusion of the Admin Fee, is it acceptable to insert a column in the Price List Template as shown below?</w:t>
            </w:r>
          </w:p>
          <w:p w14:paraId="6B67CF1F" w14:textId="77777777" w:rsidR="00980387" w:rsidRDefault="00980387" w:rsidP="005B0007">
            <w:pPr>
              <w:spacing w:beforeLines="50" w:before="12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No, it should be included within the price.</w:t>
            </w:r>
          </w:p>
          <w:p w14:paraId="75C4FCB8" w14:textId="77777777" w:rsidR="00980387" w:rsidRDefault="00980387" w:rsidP="005B0007">
            <w:pPr>
              <w:spacing w:beforeLines="50" w:before="120"/>
            </w:pPr>
          </w:p>
          <w:p w14:paraId="0DEEF5F4" w14:textId="77777777" w:rsidR="00947710" w:rsidRDefault="00947710" w:rsidP="005B0007">
            <w:pPr>
              <w:spacing w:beforeLines="50" w:before="120"/>
              <w:rPr>
                <w:rFonts w:ascii="Calibri" w:hAnsi="Calibri" w:cs="Calibri"/>
                <w:b/>
                <w:bCs/>
                <w:color w:val="201F1E"/>
                <w:sz w:val="22"/>
                <w:szCs w:val="22"/>
              </w:rPr>
            </w:pPr>
            <w:r>
              <w:rPr>
                <w:rFonts w:ascii="Calibri" w:hAnsi="Calibri" w:cs="Calibri"/>
                <w:b/>
                <w:bCs/>
                <w:color w:val="201F1E"/>
                <w:sz w:val="22"/>
                <w:szCs w:val="22"/>
              </w:rPr>
              <w:t>1.  Is CJIS a firm requirement? </w:t>
            </w:r>
          </w:p>
          <w:p w14:paraId="74713115" w14:textId="77777777" w:rsidR="00947710" w:rsidRDefault="00947710" w:rsidP="005B0007">
            <w:pPr>
              <w:spacing w:beforeLines="50" w:before="120"/>
              <w:rPr>
                <w:rFonts w:ascii="Calibri" w:hAnsi="Calibri" w:cs="Calibri"/>
                <w:b/>
                <w:bCs/>
                <w:color w:val="ED5C57"/>
                <w:sz w:val="22"/>
                <w:szCs w:val="22"/>
                <w:bdr w:val="none" w:sz="0" w:space="0" w:color="auto" w:frame="1"/>
              </w:rPr>
            </w:pPr>
            <w:r>
              <w:rPr>
                <w:rFonts w:ascii="Calibri" w:hAnsi="Calibri" w:cs="Calibri"/>
                <w:b/>
                <w:bCs/>
                <w:color w:val="201F1E"/>
                <w:sz w:val="22"/>
                <w:szCs w:val="22"/>
              </w:rPr>
              <w:t> </w:t>
            </w:r>
            <w:r>
              <w:rPr>
                <w:rFonts w:ascii="Calibri" w:hAnsi="Calibri" w:cs="Calibri"/>
                <w:b/>
                <w:bCs/>
                <w:color w:val="ED5C57"/>
                <w:sz w:val="22"/>
                <w:szCs w:val="22"/>
                <w:bdr w:val="none" w:sz="0" w:space="0" w:color="auto" w:frame="1"/>
              </w:rPr>
              <w:t>​If CJIS information is determined to be involved as part of the solution. </w:t>
            </w:r>
          </w:p>
          <w:p w14:paraId="5FAC288B" w14:textId="77777777" w:rsidR="00947710" w:rsidRDefault="00947710" w:rsidP="005B0007">
            <w:pPr>
              <w:spacing w:beforeLines="50" w:before="120"/>
              <w:rPr>
                <w:rFonts w:ascii="Calibri" w:hAnsi="Calibri" w:cs="Calibri"/>
                <w:b/>
                <w:bCs/>
                <w:color w:val="ED5C57"/>
                <w:sz w:val="22"/>
                <w:szCs w:val="22"/>
                <w:bdr w:val="none" w:sz="0" w:space="0" w:color="auto" w:frame="1"/>
              </w:rPr>
            </w:pPr>
            <w:r>
              <w:rPr>
                <w:rFonts w:ascii="Calibri" w:hAnsi="Calibri" w:cs="Calibri"/>
                <w:b/>
                <w:bCs/>
                <w:color w:val="201F1E"/>
                <w:sz w:val="22"/>
                <w:szCs w:val="22"/>
              </w:rPr>
              <w:t xml:space="preserve">Will the State accept SOC 2 Type 2 or </w:t>
            </w:r>
            <w:proofErr w:type="spellStart"/>
            <w:r>
              <w:rPr>
                <w:rFonts w:ascii="Calibri" w:hAnsi="Calibri" w:cs="Calibri"/>
                <w:b/>
                <w:bCs/>
                <w:color w:val="201F1E"/>
                <w:sz w:val="22"/>
                <w:szCs w:val="22"/>
              </w:rPr>
              <w:t>FedRAMP</w:t>
            </w:r>
            <w:proofErr w:type="spellEnd"/>
            <w:r>
              <w:rPr>
                <w:rFonts w:ascii="Calibri" w:hAnsi="Calibri" w:cs="Calibri"/>
                <w:b/>
                <w:bCs/>
                <w:color w:val="201F1E"/>
                <w:sz w:val="22"/>
                <w:szCs w:val="22"/>
              </w:rPr>
              <w:t xml:space="preserve"> (Moderate) authorization in lieu of CJIS? </w:t>
            </w:r>
            <w:r>
              <w:rPr>
                <w:rFonts w:ascii="Calibri" w:hAnsi="Calibri" w:cs="Calibri"/>
                <w:b/>
                <w:bCs/>
                <w:color w:val="ED5C57"/>
                <w:sz w:val="22"/>
                <w:szCs w:val="22"/>
                <w:bdr w:val="none" w:sz="0" w:space="0" w:color="auto" w:frame="1"/>
              </w:rPr>
              <w:t>​</w:t>
            </w:r>
          </w:p>
          <w:p w14:paraId="0A863D3F" w14:textId="77777777" w:rsidR="00980387" w:rsidRDefault="00947710" w:rsidP="005B0007">
            <w:pPr>
              <w:spacing w:beforeLines="50" w:before="120"/>
              <w:rPr>
                <w:rFonts w:ascii="Calibri" w:hAnsi="Calibri" w:cs="Calibri"/>
                <w:b/>
                <w:bCs/>
                <w:color w:val="ED5C57"/>
                <w:sz w:val="22"/>
                <w:szCs w:val="22"/>
                <w:bdr w:val="none" w:sz="0" w:space="0" w:color="auto" w:frame="1"/>
              </w:rPr>
            </w:pPr>
            <w:r>
              <w:rPr>
                <w:rFonts w:ascii="Calibri" w:hAnsi="Calibri" w:cs="Calibri"/>
                <w:b/>
                <w:bCs/>
                <w:color w:val="ED5C57"/>
                <w:sz w:val="22"/>
                <w:szCs w:val="22"/>
                <w:bdr w:val="none" w:sz="0" w:space="0" w:color="auto" w:frame="1"/>
              </w:rPr>
              <w:t>No</w:t>
            </w:r>
          </w:p>
          <w:p w14:paraId="65267BBB" w14:textId="01FA808E" w:rsidR="00947710" w:rsidRDefault="00947710" w:rsidP="005B0007">
            <w:pPr>
              <w:spacing w:beforeLines="50" w:before="120"/>
              <w:rPr>
                <w:rFonts w:ascii="Calibri" w:hAnsi="Calibri" w:cs="Calibri"/>
                <w:b/>
                <w:bCs/>
                <w:color w:val="ED5C57"/>
                <w:sz w:val="22"/>
                <w:szCs w:val="22"/>
                <w:bdr w:val="none" w:sz="0" w:space="0" w:color="auto" w:frame="1"/>
              </w:rPr>
            </w:pPr>
            <w:r>
              <w:rPr>
                <w:rFonts w:ascii="Calibri" w:hAnsi="Calibri" w:cs="Calibri"/>
                <w:b/>
                <w:bCs/>
                <w:color w:val="201F1E"/>
                <w:sz w:val="22"/>
                <w:szCs w:val="22"/>
              </w:rPr>
              <w:t>2.  Will submission of a SOC 2 Type 2 report meet the requirements for the State Certification and Accreditation Review process to assess initial security risk? </w:t>
            </w:r>
            <w:r>
              <w:rPr>
                <w:rFonts w:ascii="Calibri" w:hAnsi="Calibri" w:cs="Calibri"/>
                <w:b/>
                <w:bCs/>
                <w:sz w:val="22"/>
                <w:szCs w:val="22"/>
                <w:bdr w:val="none" w:sz="0" w:space="0" w:color="auto" w:frame="1"/>
              </w:rPr>
              <w:t>​</w:t>
            </w:r>
          </w:p>
          <w:p w14:paraId="154F5B1E" w14:textId="7D6DE24A" w:rsidR="00947710" w:rsidRPr="00F558C8" w:rsidRDefault="00947710" w:rsidP="005B0007">
            <w:pPr>
              <w:spacing w:beforeLines="50" w:before="120"/>
            </w:pPr>
            <w:r w:rsidRPr="00947710">
              <w:rPr>
                <w:color w:val="FF0000"/>
              </w:rPr>
              <w:t>No</w:t>
            </w: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02547"/>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396B"/>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47710"/>
    <w:rsid w:val="00956F12"/>
    <w:rsid w:val="009570DE"/>
    <w:rsid w:val="0096115B"/>
    <w:rsid w:val="009634AA"/>
    <w:rsid w:val="00965DBA"/>
    <w:rsid w:val="00970865"/>
    <w:rsid w:val="00974F1E"/>
    <w:rsid w:val="009774B2"/>
    <w:rsid w:val="00977E0D"/>
    <w:rsid w:val="00980387"/>
    <w:rsid w:val="00984B29"/>
    <w:rsid w:val="009857E5"/>
    <w:rsid w:val="009948EF"/>
    <w:rsid w:val="009A5CD7"/>
    <w:rsid w:val="009D3DD0"/>
    <w:rsid w:val="009F4D7C"/>
    <w:rsid w:val="00A131B7"/>
    <w:rsid w:val="00A22DBA"/>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C1393"/>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1C06"/>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B"/>
    <w:rsid w:val="00E36D5D"/>
    <w:rsid w:val="00E37656"/>
    <w:rsid w:val="00E455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lahoma.gov/omes/services/information-services/policy-standards-publicatio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http://purl.org/dc/terms/"/>
    <ds:schemaRef ds:uri="aec6b55d-3de3-4884-82c9-9045bd390d40"/>
    <ds:schemaRef ds:uri="2616b61c-01e3-420e-954d-f9606dbef896"/>
    <ds:schemaRef ds:uri="http://www.w3.org/XML/1998/namespac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8FE0F-D9B8-4A72-86BE-B153394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Solicitation 0900000535 Amendment 1</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0900000535 Amendment 1</dc:title>
  <dc:subject>Questions and answers relating to Solicitation 0900000535.</dc:subject>
  <dc:creator>OMES Central Purchasing Marc Brown</dc:creator>
  <cp:keywords>amendment, solicitation, question, answer</cp:keywords>
  <cp:lastModifiedBy>Jake Lowrey</cp:lastModifiedBy>
  <cp:revision>2</cp:revision>
  <cp:lastPrinted>2008-12-08T14:07:00Z</cp:lastPrinted>
  <dcterms:created xsi:type="dcterms:W3CDTF">2022-05-11T11:16:00Z</dcterms:created>
  <dcterms:modified xsi:type="dcterms:W3CDTF">2022-05-11T11:16:00Z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