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2789" w14:textId="77777777" w:rsidR="003D00FC" w:rsidRDefault="00E45F76">
      <w:pPr>
        <w:pStyle w:val="BodyText"/>
        <w:ind w:left="2895"/>
        <w:rPr>
          <w:sz w:val="20"/>
        </w:rPr>
      </w:pPr>
      <w:r>
        <w:rPr>
          <w:noProof/>
          <w:sz w:val="20"/>
        </w:rPr>
        <w:drawing>
          <wp:inline distT="0" distB="0" distL="0" distR="0" wp14:anchorId="719632CC" wp14:editId="2A27C0BC">
            <wp:extent cx="2534252" cy="786383"/>
            <wp:effectExtent l="0" t="0" r="0" b="0"/>
            <wp:docPr id="1" name="image1.jpeg" descr="Oklahoma Office of Management &amp; Enterpris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4252" cy="786383"/>
                    </a:xfrm>
                    <a:prstGeom prst="rect">
                      <a:avLst/>
                    </a:prstGeom>
                  </pic:spPr>
                </pic:pic>
              </a:graphicData>
            </a:graphic>
          </wp:inline>
        </w:drawing>
      </w:r>
    </w:p>
    <w:p w14:paraId="021B9E25" w14:textId="77777777" w:rsidR="003D00FC" w:rsidRDefault="003D00FC">
      <w:pPr>
        <w:pStyle w:val="BodyText"/>
        <w:spacing w:before="11"/>
        <w:ind w:left="0"/>
        <w:rPr>
          <w:sz w:val="14"/>
        </w:rPr>
      </w:pPr>
    </w:p>
    <w:p w14:paraId="788EB014" w14:textId="77777777" w:rsidR="003D00FC" w:rsidRDefault="00E45F76">
      <w:pPr>
        <w:pStyle w:val="Heading1"/>
        <w:spacing w:before="51"/>
        <w:ind w:left="2321" w:right="2431"/>
        <w:jc w:val="center"/>
        <w:rPr>
          <w:rFonts w:ascii="Calibri"/>
        </w:rPr>
      </w:pPr>
      <w:r>
        <w:rPr>
          <w:rFonts w:ascii="Calibri"/>
        </w:rPr>
        <w:t>State of Oklahoma</w:t>
      </w:r>
    </w:p>
    <w:p w14:paraId="1505E9C7" w14:textId="77777777" w:rsidR="003D00FC" w:rsidRDefault="00E45F76">
      <w:pPr>
        <w:ind w:left="2328" w:right="2431"/>
        <w:jc w:val="center"/>
        <w:rPr>
          <w:rFonts w:ascii="Calibri"/>
          <w:b/>
          <w:sz w:val="28"/>
        </w:rPr>
      </w:pPr>
      <w:r>
        <w:rPr>
          <w:rFonts w:ascii="Calibri"/>
          <w:b/>
          <w:sz w:val="24"/>
        </w:rPr>
        <w:t xml:space="preserve">Oklahoma Employees Insurance and Benefits Board Office of Management and Enterprise Services </w:t>
      </w:r>
      <w:r>
        <w:rPr>
          <w:rFonts w:ascii="Calibri"/>
          <w:b/>
          <w:sz w:val="28"/>
        </w:rPr>
        <w:t>OEIBB Commercial Carrier Policy</w:t>
      </w:r>
    </w:p>
    <w:p w14:paraId="1EE6411A" w14:textId="1E402509" w:rsidR="003D00FC" w:rsidRDefault="00D904A1">
      <w:pPr>
        <w:pStyle w:val="BodyText"/>
        <w:spacing w:before="10"/>
        <w:ind w:left="0"/>
        <w:rPr>
          <w:rFonts w:ascii="Calibri"/>
          <w:b/>
        </w:rPr>
      </w:pPr>
      <w:r>
        <w:rPr>
          <w:noProof/>
        </w:rPr>
        <mc:AlternateContent>
          <mc:Choice Requires="wpg">
            <w:drawing>
              <wp:anchor distT="0" distB="0" distL="0" distR="0" simplePos="0" relativeHeight="251658240" behindDoc="1" locked="0" layoutInCell="1" allowOverlap="1" wp14:anchorId="5219B341" wp14:editId="50F9E7D8">
                <wp:simplePos x="0" y="0"/>
                <wp:positionH relativeFrom="page">
                  <wp:posOffset>896620</wp:posOffset>
                </wp:positionH>
                <wp:positionV relativeFrom="paragraph">
                  <wp:posOffset>217170</wp:posOffset>
                </wp:positionV>
                <wp:extent cx="5981065" cy="31750"/>
                <wp:effectExtent l="0" t="0" r="0" b="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1750"/>
                          <a:chOff x="1412" y="342"/>
                          <a:chExt cx="9419" cy="50"/>
                        </a:xfrm>
                      </wpg:grpSpPr>
                      <wps:wsp>
                        <wps:cNvPr id="10" name="Line 7"/>
                        <wps:cNvCnPr>
                          <a:cxnSpLocks noChangeShapeType="1"/>
                        </wps:cNvCnPr>
                        <wps:spPr bwMode="auto">
                          <a:xfrm>
                            <a:off x="1412" y="358"/>
                            <a:ext cx="9419" cy="0"/>
                          </a:xfrm>
                          <a:prstGeom prst="line">
                            <a:avLst/>
                          </a:prstGeom>
                          <a:noFill/>
                          <a:ln w="19685">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12" y="387"/>
                            <a:ext cx="9419" cy="0"/>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60C67" id="Group 5" o:spid="_x0000_s1026" style="position:absolute;margin-left:70.6pt;margin-top:17.1pt;width:470.95pt;height:2.5pt;z-index:-251658240;mso-wrap-distance-left:0;mso-wrap-distance-right:0;mso-position-horizontal-relative:page" coordorigin="1412,342" coordsize="94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">
                <v:line id="Line 7" o:spid="_x0000_s1027" style="position:absolute;visibility:visible;mso-wrap-style:square" from="1412,358" to="10831,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" strokeweight="1.55pt"/>
                <v:line id="Line 6" o:spid="_x0000_s1028" style="position:absolute;visibility:visible;mso-wrap-style:square" from="1412,387" to="108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" strokeweight=".55pt"/>
                <w10:wrap type="topAndBottom" anchorx="page"/>
              </v:group>
            </w:pict>
          </mc:Fallback>
        </mc:AlternateContent>
      </w:r>
    </w:p>
    <w:p w14:paraId="025C32B4" w14:textId="77777777" w:rsidR="003D00FC" w:rsidRDefault="003D00FC">
      <w:pPr>
        <w:pStyle w:val="BodyText"/>
        <w:spacing w:before="9"/>
        <w:ind w:left="0"/>
        <w:rPr>
          <w:rFonts w:ascii="Calibri"/>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2"/>
        <w:gridCol w:w="4697"/>
      </w:tblGrid>
      <w:tr w:rsidR="003D00FC" w14:paraId="5FCD477E" w14:textId="77777777">
        <w:trPr>
          <w:trHeight w:val="290"/>
        </w:trPr>
        <w:tc>
          <w:tcPr>
            <w:tcW w:w="4882" w:type="dxa"/>
          </w:tcPr>
          <w:p w14:paraId="2611D5F8" w14:textId="77777777" w:rsidR="003D00FC" w:rsidRPr="00C17096" w:rsidRDefault="00E45F76">
            <w:pPr>
              <w:pStyle w:val="TableParagraph"/>
              <w:spacing w:line="270" w:lineRule="exact"/>
              <w:ind w:left="107"/>
              <w:jc w:val="left"/>
              <w:rPr>
                <w:b/>
                <w:sz w:val="24"/>
              </w:rPr>
            </w:pPr>
            <w:r w:rsidRPr="00C17096">
              <w:rPr>
                <w:b/>
                <w:sz w:val="24"/>
              </w:rPr>
              <w:t>Effective Date of Policy: 11/21/</w:t>
            </w:r>
            <w:r w:rsidR="00E43357" w:rsidRPr="00C17096">
              <w:rPr>
                <w:b/>
                <w:sz w:val="24"/>
              </w:rPr>
              <w:t>2019</w:t>
            </w:r>
          </w:p>
        </w:tc>
        <w:tc>
          <w:tcPr>
            <w:tcW w:w="4697" w:type="dxa"/>
          </w:tcPr>
          <w:p w14:paraId="154A55E1" w14:textId="184D4EE5" w:rsidR="003D00FC" w:rsidRPr="00C17096" w:rsidRDefault="00E45F76">
            <w:pPr>
              <w:pStyle w:val="TableParagraph"/>
              <w:spacing w:line="270" w:lineRule="exact"/>
              <w:ind w:left="105"/>
              <w:jc w:val="left"/>
              <w:rPr>
                <w:b/>
                <w:sz w:val="24"/>
              </w:rPr>
            </w:pPr>
            <w:r w:rsidRPr="00C17096">
              <w:rPr>
                <w:b/>
                <w:sz w:val="24"/>
              </w:rPr>
              <w:t>Next Scheduled Review: November 202</w:t>
            </w:r>
            <w:r w:rsidR="0018662C" w:rsidRPr="00C17096">
              <w:rPr>
                <w:b/>
                <w:sz w:val="24"/>
              </w:rPr>
              <w:t>2</w:t>
            </w:r>
          </w:p>
        </w:tc>
      </w:tr>
      <w:tr w:rsidR="003D00FC" w14:paraId="2E47F3E7" w14:textId="77777777">
        <w:trPr>
          <w:trHeight w:val="292"/>
        </w:trPr>
        <w:tc>
          <w:tcPr>
            <w:tcW w:w="4882" w:type="dxa"/>
          </w:tcPr>
          <w:p w14:paraId="613C93CC" w14:textId="77777777" w:rsidR="003D00FC" w:rsidRPr="00C17096" w:rsidRDefault="00E45F76">
            <w:pPr>
              <w:pStyle w:val="TableParagraph"/>
              <w:spacing w:line="272" w:lineRule="exact"/>
              <w:ind w:left="107"/>
              <w:jc w:val="left"/>
              <w:rPr>
                <w:b/>
                <w:sz w:val="24"/>
              </w:rPr>
            </w:pPr>
            <w:r w:rsidRPr="00C17096">
              <w:rPr>
                <w:b/>
                <w:sz w:val="24"/>
              </w:rPr>
              <w:t>Effective Date of Original Policy: 11/21/2019</w:t>
            </w:r>
          </w:p>
        </w:tc>
        <w:tc>
          <w:tcPr>
            <w:tcW w:w="4697" w:type="dxa"/>
          </w:tcPr>
          <w:p w14:paraId="6BFEEFF1" w14:textId="77777777" w:rsidR="003D00FC" w:rsidRPr="00C17096" w:rsidRDefault="00E45F76">
            <w:pPr>
              <w:pStyle w:val="TableParagraph"/>
              <w:spacing w:line="272" w:lineRule="exact"/>
              <w:ind w:left="105"/>
              <w:jc w:val="left"/>
              <w:rPr>
                <w:b/>
                <w:sz w:val="24"/>
              </w:rPr>
            </w:pPr>
            <w:r w:rsidRPr="00C17096">
              <w:rPr>
                <w:b/>
                <w:sz w:val="24"/>
              </w:rPr>
              <w:t>Policy Number: OEIBB – 010</w:t>
            </w:r>
          </w:p>
        </w:tc>
      </w:tr>
      <w:tr w:rsidR="003D00FC" w14:paraId="053D28F8" w14:textId="77777777">
        <w:trPr>
          <w:trHeight w:val="549"/>
        </w:trPr>
        <w:tc>
          <w:tcPr>
            <w:tcW w:w="4882" w:type="dxa"/>
          </w:tcPr>
          <w:p w14:paraId="1964A86E" w14:textId="315E59A9" w:rsidR="003D00FC" w:rsidRPr="00C17096" w:rsidRDefault="00E45F76">
            <w:pPr>
              <w:pStyle w:val="TableParagraph"/>
              <w:spacing w:line="287" w:lineRule="exact"/>
              <w:ind w:left="107"/>
              <w:jc w:val="left"/>
              <w:rPr>
                <w:b/>
                <w:sz w:val="24"/>
              </w:rPr>
            </w:pPr>
            <w:r w:rsidRPr="00C17096">
              <w:rPr>
                <w:b/>
                <w:sz w:val="24"/>
              </w:rPr>
              <w:t>Last Reviewed: 11/</w:t>
            </w:r>
            <w:r w:rsidR="00E43357" w:rsidRPr="00C17096">
              <w:rPr>
                <w:b/>
                <w:sz w:val="24"/>
              </w:rPr>
              <w:t>1</w:t>
            </w:r>
            <w:r w:rsidR="0018662C" w:rsidRPr="00C17096">
              <w:rPr>
                <w:b/>
                <w:sz w:val="24"/>
              </w:rPr>
              <w:t>8</w:t>
            </w:r>
            <w:r w:rsidR="00E43357" w:rsidRPr="00C17096">
              <w:rPr>
                <w:b/>
                <w:sz w:val="24"/>
              </w:rPr>
              <w:t>/202</w:t>
            </w:r>
            <w:r w:rsidR="0018662C" w:rsidRPr="00C17096">
              <w:rPr>
                <w:b/>
                <w:sz w:val="24"/>
              </w:rPr>
              <w:t>1</w:t>
            </w:r>
          </w:p>
        </w:tc>
        <w:tc>
          <w:tcPr>
            <w:tcW w:w="4697" w:type="dxa"/>
          </w:tcPr>
          <w:p w14:paraId="459E50B0" w14:textId="77777777" w:rsidR="003D00FC" w:rsidRPr="00C17096" w:rsidRDefault="00E45F76">
            <w:pPr>
              <w:pStyle w:val="TableParagraph"/>
              <w:spacing w:line="287" w:lineRule="exact"/>
              <w:ind w:left="105"/>
              <w:jc w:val="left"/>
              <w:rPr>
                <w:b/>
                <w:sz w:val="24"/>
              </w:rPr>
            </w:pPr>
            <w:r w:rsidRPr="00C17096">
              <w:rPr>
                <w:b/>
                <w:sz w:val="24"/>
              </w:rPr>
              <w:t>Replaces Policy Number: OEIBB – 003, OEIBB</w:t>
            </w:r>
          </w:p>
          <w:p w14:paraId="658A49C6" w14:textId="77777777" w:rsidR="003D00FC" w:rsidRPr="00C17096" w:rsidRDefault="00E45F76">
            <w:pPr>
              <w:pStyle w:val="TableParagraph"/>
              <w:spacing w:line="242" w:lineRule="exact"/>
              <w:ind w:left="105"/>
              <w:jc w:val="left"/>
              <w:rPr>
                <w:b/>
                <w:sz w:val="24"/>
              </w:rPr>
            </w:pPr>
            <w:r w:rsidRPr="00C17096">
              <w:rPr>
                <w:b/>
                <w:sz w:val="24"/>
              </w:rPr>
              <w:t>– 007 and OEIBB – 009</w:t>
            </w:r>
          </w:p>
        </w:tc>
      </w:tr>
      <w:tr w:rsidR="003D00FC" w14:paraId="6E499B29" w14:textId="77777777">
        <w:trPr>
          <w:trHeight w:val="294"/>
        </w:trPr>
        <w:tc>
          <w:tcPr>
            <w:tcW w:w="4882" w:type="dxa"/>
          </w:tcPr>
          <w:p w14:paraId="1659651F" w14:textId="55121BD8" w:rsidR="003D00FC" w:rsidRPr="00C17096" w:rsidRDefault="00E45F76">
            <w:pPr>
              <w:pStyle w:val="TableParagraph"/>
              <w:spacing w:line="275" w:lineRule="exact"/>
              <w:ind w:left="107"/>
              <w:jc w:val="left"/>
              <w:rPr>
                <w:b/>
                <w:sz w:val="24"/>
              </w:rPr>
            </w:pPr>
            <w:r w:rsidRPr="00C17096">
              <w:rPr>
                <w:b/>
                <w:sz w:val="24"/>
              </w:rPr>
              <w:t xml:space="preserve">Date Policy Last Revised: </w:t>
            </w:r>
            <w:r w:rsidR="00E43357" w:rsidRPr="00C17096">
              <w:rPr>
                <w:b/>
                <w:sz w:val="24"/>
              </w:rPr>
              <w:t>11/1</w:t>
            </w:r>
            <w:r w:rsidR="009B0973" w:rsidRPr="00C17096">
              <w:rPr>
                <w:b/>
                <w:sz w:val="24"/>
              </w:rPr>
              <w:t>8</w:t>
            </w:r>
            <w:r w:rsidR="00E43357" w:rsidRPr="00C17096">
              <w:rPr>
                <w:b/>
                <w:sz w:val="24"/>
              </w:rPr>
              <w:t>/202</w:t>
            </w:r>
            <w:r w:rsidR="009B0973" w:rsidRPr="00C17096">
              <w:rPr>
                <w:b/>
                <w:sz w:val="24"/>
              </w:rPr>
              <w:t>1</w:t>
            </w:r>
          </w:p>
        </w:tc>
        <w:tc>
          <w:tcPr>
            <w:tcW w:w="4697" w:type="dxa"/>
          </w:tcPr>
          <w:p w14:paraId="7E89247C" w14:textId="77777777" w:rsidR="003D00FC" w:rsidRPr="00C17096" w:rsidRDefault="003D00FC">
            <w:pPr>
              <w:pStyle w:val="TableParagraph"/>
              <w:jc w:val="left"/>
              <w:rPr>
                <w:rFonts w:ascii="Times New Roman"/>
              </w:rPr>
            </w:pPr>
          </w:p>
        </w:tc>
      </w:tr>
      <w:tr w:rsidR="003D00FC" w14:paraId="0BD5ED7F" w14:textId="77777777">
        <w:trPr>
          <w:trHeight w:val="292"/>
        </w:trPr>
        <w:tc>
          <w:tcPr>
            <w:tcW w:w="4882" w:type="dxa"/>
          </w:tcPr>
          <w:p w14:paraId="18D26650" w14:textId="77777777" w:rsidR="003D00FC" w:rsidRDefault="00E45F76">
            <w:pPr>
              <w:pStyle w:val="TableParagraph"/>
              <w:spacing w:line="272" w:lineRule="exact"/>
              <w:ind w:left="107"/>
              <w:jc w:val="left"/>
              <w:rPr>
                <w:b/>
                <w:sz w:val="24"/>
              </w:rPr>
            </w:pPr>
            <w:r>
              <w:rPr>
                <w:b/>
                <w:sz w:val="24"/>
              </w:rPr>
              <w:t>Approved: OEIBB</w:t>
            </w:r>
          </w:p>
        </w:tc>
        <w:tc>
          <w:tcPr>
            <w:tcW w:w="4697" w:type="dxa"/>
          </w:tcPr>
          <w:p w14:paraId="5AABCCA0" w14:textId="3B0BA929" w:rsidR="003D00FC" w:rsidRPr="003E6CB9" w:rsidRDefault="0018662C">
            <w:pPr>
              <w:pStyle w:val="TableParagraph"/>
              <w:spacing w:line="272" w:lineRule="exact"/>
              <w:ind w:left="105"/>
              <w:jc w:val="left"/>
              <w:rPr>
                <w:b/>
                <w:sz w:val="24"/>
                <w:highlight w:val="yellow"/>
              </w:rPr>
            </w:pPr>
            <w:r w:rsidRPr="0018662C">
              <w:rPr>
                <w:b/>
                <w:sz w:val="24"/>
              </w:rPr>
              <w:t xml:space="preserve">Approval Date: </w:t>
            </w:r>
            <w:r w:rsidR="003A646D">
              <w:rPr>
                <w:b/>
                <w:sz w:val="24"/>
              </w:rPr>
              <w:t>11/18/2021</w:t>
            </w:r>
          </w:p>
        </w:tc>
      </w:tr>
    </w:tbl>
    <w:p w14:paraId="2904CCAC" w14:textId="77777777" w:rsidR="003D00FC" w:rsidRDefault="00E45F76">
      <w:pPr>
        <w:pStyle w:val="Heading1"/>
        <w:spacing w:before="138"/>
        <w:ind w:left="2324" w:right="2431"/>
        <w:jc w:val="center"/>
      </w:pPr>
      <w:r>
        <w:t>POLICY</w:t>
      </w:r>
    </w:p>
    <w:p w14:paraId="382CAA6B" w14:textId="77777777" w:rsidR="003D00FC" w:rsidRDefault="00E45F76">
      <w:pPr>
        <w:spacing w:before="185"/>
        <w:ind w:left="119"/>
        <w:rPr>
          <w:b/>
          <w:sz w:val="24"/>
        </w:rPr>
      </w:pPr>
      <w:r>
        <w:rPr>
          <w:b/>
          <w:sz w:val="24"/>
        </w:rPr>
        <w:t>SECTION I. Policy Objective</w:t>
      </w:r>
    </w:p>
    <w:p w14:paraId="24928CBC" w14:textId="77777777" w:rsidR="003D00FC" w:rsidRDefault="00E45F76">
      <w:pPr>
        <w:pStyle w:val="BodyText"/>
        <w:spacing w:before="177" w:line="259" w:lineRule="auto"/>
        <w:ind w:left="119" w:right="996"/>
      </w:pPr>
      <w:r>
        <w:t>This policy defines the following items related to commercial carriers within the Oklahoma Employees Insurance and Benefits Act (OEIBA) Program:</w:t>
      </w:r>
    </w:p>
    <w:p w14:paraId="252DD52D" w14:textId="334C89B4" w:rsidR="003D00FC" w:rsidRDefault="00E45F76">
      <w:pPr>
        <w:pStyle w:val="ListParagraph"/>
        <w:numPr>
          <w:ilvl w:val="0"/>
          <w:numId w:val="6"/>
        </w:numPr>
        <w:tabs>
          <w:tab w:val="left" w:pos="840"/>
        </w:tabs>
        <w:spacing w:before="160" w:line="259" w:lineRule="auto"/>
        <w:ind w:right="489"/>
        <w:rPr>
          <w:sz w:val="24"/>
        </w:rPr>
      </w:pPr>
      <w:r>
        <w:rPr>
          <w:sz w:val="24"/>
        </w:rPr>
        <w:t>Board involvement in the contracting of commercial health, dental, vision and</w:t>
      </w:r>
      <w:r>
        <w:rPr>
          <w:spacing w:val="-20"/>
          <w:sz w:val="24"/>
        </w:rPr>
        <w:t xml:space="preserve"> </w:t>
      </w:r>
      <w:r>
        <w:rPr>
          <w:sz w:val="24"/>
        </w:rPr>
        <w:t>TRICARE Supplement</w:t>
      </w:r>
      <w:r>
        <w:rPr>
          <w:spacing w:val="-1"/>
          <w:sz w:val="24"/>
        </w:rPr>
        <w:t xml:space="preserve"> </w:t>
      </w:r>
      <w:r>
        <w:rPr>
          <w:sz w:val="24"/>
        </w:rPr>
        <w:t>plan</w:t>
      </w:r>
      <w:r w:rsidR="00BD289C">
        <w:rPr>
          <w:sz w:val="24"/>
        </w:rPr>
        <w:t>.</w:t>
      </w:r>
    </w:p>
    <w:p w14:paraId="6A57E0C2" w14:textId="6149DF09" w:rsidR="003D00FC" w:rsidRDefault="00E45F76">
      <w:pPr>
        <w:pStyle w:val="ListParagraph"/>
        <w:numPr>
          <w:ilvl w:val="0"/>
          <w:numId w:val="6"/>
        </w:numPr>
        <w:tabs>
          <w:tab w:val="left" w:pos="840"/>
        </w:tabs>
        <w:spacing w:line="275" w:lineRule="exact"/>
        <w:ind w:hanging="361"/>
        <w:rPr>
          <w:sz w:val="24"/>
        </w:rPr>
      </w:pPr>
      <w:r>
        <w:rPr>
          <w:sz w:val="24"/>
        </w:rPr>
        <w:t>What constitutes excessive pricing for commercial health</w:t>
      </w:r>
      <w:r>
        <w:rPr>
          <w:spacing w:val="-5"/>
          <w:sz w:val="24"/>
        </w:rPr>
        <w:t xml:space="preserve"> </w:t>
      </w:r>
      <w:r>
        <w:rPr>
          <w:sz w:val="24"/>
        </w:rPr>
        <w:t>plans</w:t>
      </w:r>
      <w:r w:rsidR="00BD289C">
        <w:rPr>
          <w:sz w:val="24"/>
        </w:rPr>
        <w:t>.</w:t>
      </w:r>
    </w:p>
    <w:p w14:paraId="48566245" w14:textId="1798AE05" w:rsidR="003D00FC" w:rsidRDefault="00E45F76">
      <w:pPr>
        <w:pStyle w:val="ListParagraph"/>
        <w:numPr>
          <w:ilvl w:val="0"/>
          <w:numId w:val="6"/>
        </w:numPr>
        <w:tabs>
          <w:tab w:val="left" w:pos="840"/>
        </w:tabs>
        <w:spacing w:before="22"/>
        <w:ind w:hanging="361"/>
        <w:rPr>
          <w:sz w:val="24"/>
        </w:rPr>
      </w:pPr>
      <w:r>
        <w:rPr>
          <w:sz w:val="24"/>
        </w:rPr>
        <w:t>The calculation of administrative fees on all plans</w:t>
      </w:r>
      <w:r w:rsidR="00BD289C">
        <w:rPr>
          <w:sz w:val="24"/>
        </w:rPr>
        <w:t>.</w:t>
      </w:r>
    </w:p>
    <w:p w14:paraId="3504CB35" w14:textId="77777777" w:rsidR="003D00FC" w:rsidRDefault="00E45F76">
      <w:pPr>
        <w:pStyle w:val="ListParagraph"/>
        <w:numPr>
          <w:ilvl w:val="0"/>
          <w:numId w:val="6"/>
        </w:numPr>
        <w:tabs>
          <w:tab w:val="left" w:pos="840"/>
        </w:tabs>
        <w:spacing w:before="22"/>
        <w:ind w:hanging="361"/>
        <w:rPr>
          <w:sz w:val="24"/>
        </w:rPr>
      </w:pPr>
      <w:r>
        <w:rPr>
          <w:sz w:val="24"/>
        </w:rPr>
        <w:t>The application of the statutorily required risk adjustment factor for health</w:t>
      </w:r>
      <w:r>
        <w:rPr>
          <w:spacing w:val="-12"/>
          <w:sz w:val="24"/>
        </w:rPr>
        <w:t xml:space="preserve"> </w:t>
      </w:r>
      <w:r>
        <w:rPr>
          <w:sz w:val="24"/>
        </w:rPr>
        <w:t>plans.</w:t>
      </w:r>
    </w:p>
    <w:p w14:paraId="13F47770" w14:textId="77777777" w:rsidR="003D00FC" w:rsidRDefault="00E45F76">
      <w:pPr>
        <w:pStyle w:val="Heading1"/>
        <w:spacing w:before="187"/>
      </w:pPr>
      <w:r>
        <w:t>SECTION II.</w:t>
      </w:r>
      <w:r>
        <w:rPr>
          <w:spacing w:val="58"/>
        </w:rPr>
        <w:t xml:space="preserve"> </w:t>
      </w:r>
      <w:r>
        <w:t>Contracting</w:t>
      </w:r>
    </w:p>
    <w:p w14:paraId="2496CC98" w14:textId="77777777" w:rsidR="003D00FC" w:rsidRPr="005E3B6E" w:rsidRDefault="00E45F76">
      <w:pPr>
        <w:pStyle w:val="BodyText"/>
        <w:spacing w:before="177" w:line="276" w:lineRule="auto"/>
        <w:ind w:left="119" w:right="210"/>
      </w:pPr>
      <w:r w:rsidRPr="005E3B6E">
        <w:t>Pursuant to Title 74 O.S. § 1304.1, the Oklahoma Employees Insurance and Benefits Board (OEIBB) shall perform its oversight as follows for the purchase of benefits to be offered in addition to the State’s self-insured HealthChoice plans as part of the OEIBA Program:</w:t>
      </w:r>
    </w:p>
    <w:p w14:paraId="4833B2F1" w14:textId="77777777" w:rsidR="003D00FC" w:rsidRPr="005E3B6E" w:rsidRDefault="00E45F76">
      <w:pPr>
        <w:pStyle w:val="ListParagraph"/>
        <w:numPr>
          <w:ilvl w:val="0"/>
          <w:numId w:val="5"/>
        </w:numPr>
        <w:tabs>
          <w:tab w:val="left" w:pos="840"/>
        </w:tabs>
        <w:spacing w:before="1" w:line="276" w:lineRule="auto"/>
        <w:ind w:right="555"/>
        <w:rPr>
          <w:sz w:val="24"/>
        </w:rPr>
      </w:pPr>
      <w:r w:rsidRPr="005E3B6E">
        <w:rPr>
          <w:sz w:val="24"/>
        </w:rPr>
        <w:t>This policy incorporates the Office of Management and Enterprise Services (OMES) Central Purchasing procedures to be used to competitively bid for additional plans from commercial Health Maintenance Organizations (HMO) and dental carriers, and for those vision plans to be offered pursuant to 74</w:t>
      </w:r>
      <w:r w:rsidRPr="005E3B6E">
        <w:rPr>
          <w:spacing w:val="-1"/>
          <w:sz w:val="24"/>
        </w:rPr>
        <w:t xml:space="preserve"> </w:t>
      </w:r>
      <w:r w:rsidRPr="005E3B6E">
        <w:rPr>
          <w:sz w:val="24"/>
        </w:rPr>
        <w:t>O.S.§1374.</w:t>
      </w:r>
    </w:p>
    <w:p w14:paraId="0264AB96" w14:textId="04C1B351" w:rsidR="003D00FC" w:rsidRPr="005E3B6E" w:rsidRDefault="00E45F76">
      <w:pPr>
        <w:pStyle w:val="ListParagraph"/>
        <w:numPr>
          <w:ilvl w:val="0"/>
          <w:numId w:val="5"/>
        </w:numPr>
        <w:tabs>
          <w:tab w:val="left" w:pos="840"/>
        </w:tabs>
        <w:spacing w:line="276" w:lineRule="auto"/>
        <w:ind w:right="1184"/>
        <w:rPr>
          <w:sz w:val="24"/>
        </w:rPr>
      </w:pPr>
      <w:r w:rsidRPr="005E3B6E">
        <w:rPr>
          <w:sz w:val="24"/>
        </w:rPr>
        <w:t>At its choosing, the OEIBB may participate in the competitive bidding process</w:t>
      </w:r>
      <w:r w:rsidRPr="005E3B6E">
        <w:rPr>
          <w:spacing w:val="-22"/>
          <w:sz w:val="24"/>
        </w:rPr>
        <w:t xml:space="preserve"> </w:t>
      </w:r>
      <w:r w:rsidRPr="005E3B6E">
        <w:rPr>
          <w:sz w:val="24"/>
        </w:rPr>
        <w:t>for commercial carriers</w:t>
      </w:r>
      <w:r w:rsidR="00F10436">
        <w:rPr>
          <w:sz w:val="24"/>
        </w:rPr>
        <w:t>.</w:t>
      </w:r>
    </w:p>
    <w:p w14:paraId="6B173969" w14:textId="77777777" w:rsidR="003D00FC" w:rsidRPr="005E3B6E" w:rsidRDefault="00E45F76">
      <w:pPr>
        <w:pStyle w:val="ListParagraph"/>
        <w:numPr>
          <w:ilvl w:val="1"/>
          <w:numId w:val="5"/>
        </w:numPr>
        <w:tabs>
          <w:tab w:val="left" w:pos="1560"/>
        </w:tabs>
        <w:spacing w:line="276" w:lineRule="auto"/>
        <w:ind w:right="321"/>
        <w:rPr>
          <w:sz w:val="24"/>
        </w:rPr>
      </w:pPr>
      <w:r w:rsidRPr="005E3B6E">
        <w:rPr>
          <w:sz w:val="24"/>
        </w:rPr>
        <w:t>The OEIBB may designate up to three of its members to participate in a negotiation meeting. At no time during the negotiation meetings shall the number of OEIBB representatives constitute a quorum of the</w:t>
      </w:r>
      <w:r w:rsidRPr="005E3B6E">
        <w:rPr>
          <w:spacing w:val="-3"/>
          <w:sz w:val="24"/>
        </w:rPr>
        <w:t xml:space="preserve"> </w:t>
      </w:r>
      <w:r w:rsidRPr="005E3B6E">
        <w:rPr>
          <w:sz w:val="24"/>
        </w:rPr>
        <w:t>OEIBB.</w:t>
      </w:r>
    </w:p>
    <w:p w14:paraId="75025985" w14:textId="77777777" w:rsidR="003D00FC" w:rsidRPr="005E3B6E" w:rsidRDefault="00E45F76">
      <w:pPr>
        <w:pStyle w:val="ListParagraph"/>
        <w:numPr>
          <w:ilvl w:val="1"/>
          <w:numId w:val="5"/>
        </w:numPr>
        <w:tabs>
          <w:tab w:val="left" w:pos="1560"/>
        </w:tabs>
        <w:spacing w:line="276" w:lineRule="auto"/>
        <w:ind w:right="831"/>
        <w:rPr>
          <w:sz w:val="24"/>
        </w:rPr>
      </w:pPr>
      <w:r w:rsidRPr="005E3B6E">
        <w:rPr>
          <w:sz w:val="24"/>
        </w:rPr>
        <w:t>The OEIBB may utilize independent benefit consultants to assist with</w:t>
      </w:r>
      <w:r w:rsidRPr="005E3B6E">
        <w:rPr>
          <w:spacing w:val="-22"/>
          <w:sz w:val="24"/>
        </w:rPr>
        <w:t xml:space="preserve"> </w:t>
      </w:r>
      <w:r w:rsidRPr="005E3B6E">
        <w:rPr>
          <w:sz w:val="24"/>
        </w:rPr>
        <w:t>contract negotiations.</w:t>
      </w:r>
    </w:p>
    <w:p w14:paraId="76313521" w14:textId="77777777" w:rsidR="003D00FC" w:rsidRPr="005E3B6E" w:rsidRDefault="00E45F76">
      <w:pPr>
        <w:pStyle w:val="ListParagraph"/>
        <w:numPr>
          <w:ilvl w:val="1"/>
          <w:numId w:val="5"/>
        </w:numPr>
        <w:tabs>
          <w:tab w:val="left" w:pos="1560"/>
        </w:tabs>
        <w:spacing w:line="276" w:lineRule="auto"/>
        <w:ind w:right="407"/>
        <w:jc w:val="both"/>
        <w:rPr>
          <w:sz w:val="24"/>
        </w:rPr>
      </w:pPr>
      <w:r w:rsidRPr="005E3B6E">
        <w:rPr>
          <w:sz w:val="24"/>
        </w:rPr>
        <w:t>Participating OEIBB representatives shall be provided with relevant bid data prior to the negotiation meetings. All data received will be handled in conformance with the confidentiality requirements of OMES Central</w:t>
      </w:r>
      <w:r w:rsidRPr="005E3B6E">
        <w:rPr>
          <w:spacing w:val="-6"/>
          <w:sz w:val="24"/>
        </w:rPr>
        <w:t xml:space="preserve"> </w:t>
      </w:r>
      <w:r w:rsidRPr="005E3B6E">
        <w:rPr>
          <w:sz w:val="24"/>
        </w:rPr>
        <w:t>Purchasing.</w:t>
      </w:r>
    </w:p>
    <w:p w14:paraId="58D02FE4" w14:textId="77777777" w:rsidR="003D00FC" w:rsidRPr="005E3B6E" w:rsidRDefault="003D00FC">
      <w:pPr>
        <w:spacing w:line="276" w:lineRule="auto"/>
        <w:jc w:val="both"/>
        <w:rPr>
          <w:sz w:val="24"/>
        </w:rPr>
        <w:sectPr w:rsidR="003D00FC" w:rsidRPr="005E3B6E">
          <w:footerReference w:type="default" r:id="rId8"/>
          <w:type w:val="continuous"/>
          <w:pgSz w:w="12240" w:h="15840"/>
          <w:pgMar w:top="440" w:right="1100" w:bottom="940" w:left="1220" w:header="720" w:footer="746" w:gutter="0"/>
          <w:pgNumType w:start="1"/>
          <w:cols w:space="720"/>
        </w:sectPr>
      </w:pPr>
    </w:p>
    <w:p w14:paraId="45CA363D" w14:textId="77777777" w:rsidR="003D00FC" w:rsidRPr="005E3B6E" w:rsidRDefault="00E45F76">
      <w:pPr>
        <w:pStyle w:val="ListParagraph"/>
        <w:numPr>
          <w:ilvl w:val="1"/>
          <w:numId w:val="5"/>
        </w:numPr>
        <w:tabs>
          <w:tab w:val="left" w:pos="1560"/>
        </w:tabs>
        <w:spacing w:before="66" w:line="276" w:lineRule="auto"/>
        <w:ind w:right="273"/>
        <w:rPr>
          <w:sz w:val="24"/>
        </w:rPr>
      </w:pPr>
      <w:r w:rsidRPr="005E3B6E">
        <w:rPr>
          <w:sz w:val="24"/>
        </w:rPr>
        <w:lastRenderedPageBreak/>
        <w:t>The OEIBB representatives shall provide recommendations to the OEIBB regarding the results of the negotiation</w:t>
      </w:r>
      <w:r w:rsidRPr="005E3B6E">
        <w:rPr>
          <w:spacing w:val="-4"/>
          <w:sz w:val="24"/>
        </w:rPr>
        <w:t xml:space="preserve"> </w:t>
      </w:r>
      <w:r w:rsidRPr="005E3B6E">
        <w:rPr>
          <w:sz w:val="24"/>
        </w:rPr>
        <w:t>process.</w:t>
      </w:r>
    </w:p>
    <w:p w14:paraId="798F9806" w14:textId="77777777" w:rsidR="003D00FC" w:rsidRPr="005E3B6E" w:rsidRDefault="00E45F76">
      <w:pPr>
        <w:pStyle w:val="ListParagraph"/>
        <w:numPr>
          <w:ilvl w:val="0"/>
          <w:numId w:val="5"/>
        </w:numPr>
        <w:tabs>
          <w:tab w:val="left" w:pos="840"/>
        </w:tabs>
        <w:spacing w:line="275" w:lineRule="exact"/>
        <w:ind w:hanging="361"/>
        <w:rPr>
          <w:sz w:val="24"/>
        </w:rPr>
      </w:pPr>
      <w:bookmarkStart w:id="0" w:name="_Hlk81984412"/>
      <w:r w:rsidRPr="005E3B6E">
        <w:rPr>
          <w:sz w:val="24"/>
        </w:rPr>
        <w:t>Excessive</w:t>
      </w:r>
      <w:r w:rsidRPr="005E3B6E">
        <w:rPr>
          <w:spacing w:val="-2"/>
          <w:sz w:val="24"/>
        </w:rPr>
        <w:t xml:space="preserve"> </w:t>
      </w:r>
      <w:r w:rsidRPr="005E3B6E">
        <w:rPr>
          <w:sz w:val="24"/>
        </w:rPr>
        <w:t>Pricing</w:t>
      </w:r>
    </w:p>
    <w:p w14:paraId="14C82487" w14:textId="12FAA40C" w:rsidR="003D00FC" w:rsidRPr="005E3B6E" w:rsidRDefault="00E45F76">
      <w:pPr>
        <w:pStyle w:val="ListParagraph"/>
        <w:numPr>
          <w:ilvl w:val="1"/>
          <w:numId w:val="5"/>
        </w:numPr>
        <w:tabs>
          <w:tab w:val="left" w:pos="1560"/>
        </w:tabs>
        <w:spacing w:before="43" w:line="276" w:lineRule="auto"/>
        <w:ind w:right="354"/>
        <w:rPr>
          <w:sz w:val="24"/>
        </w:rPr>
      </w:pPr>
      <w:r w:rsidRPr="005E3B6E">
        <w:rPr>
          <w:sz w:val="24"/>
        </w:rPr>
        <w:t>As provided in 74 O.S. §1371(C) (2011) as amended, a bid response from an</w:t>
      </w:r>
      <w:r w:rsidRPr="005E3B6E">
        <w:rPr>
          <w:spacing w:val="-12"/>
          <w:sz w:val="24"/>
        </w:rPr>
        <w:t xml:space="preserve"> </w:t>
      </w:r>
      <w:r w:rsidRPr="005E3B6E">
        <w:rPr>
          <w:sz w:val="24"/>
        </w:rPr>
        <w:t>HMO may be rejected</w:t>
      </w:r>
      <w:r w:rsidR="00EB4C92" w:rsidRPr="005E3B6E">
        <w:rPr>
          <w:sz w:val="24"/>
        </w:rPr>
        <w:t xml:space="preserve"> </w:t>
      </w:r>
      <w:r w:rsidR="00DC06F7" w:rsidRPr="005A4F22">
        <w:rPr>
          <w:sz w:val="24"/>
        </w:rPr>
        <w:t>or have its enrollment restricted</w:t>
      </w:r>
      <w:r w:rsidRPr="005A4F22">
        <w:rPr>
          <w:sz w:val="24"/>
        </w:rPr>
        <w:t xml:space="preserve"> </w:t>
      </w:r>
      <w:r w:rsidR="00DC06F7" w:rsidRPr="005A4F22">
        <w:rPr>
          <w:sz w:val="24"/>
        </w:rPr>
        <w:t>due to</w:t>
      </w:r>
      <w:r w:rsidRPr="005E3B6E">
        <w:rPr>
          <w:sz w:val="24"/>
        </w:rPr>
        <w:t xml:space="preserve"> excessive pricing. For purposes of evaluation, a bid response will be automatically deemed to have excessive pricing if the HMO’s proposed premium increase is greater than the sum of the two following</w:t>
      </w:r>
      <w:r w:rsidRPr="005E3B6E">
        <w:rPr>
          <w:spacing w:val="-13"/>
          <w:sz w:val="24"/>
        </w:rPr>
        <w:t xml:space="preserve"> </w:t>
      </w:r>
      <w:r w:rsidRPr="005E3B6E">
        <w:rPr>
          <w:sz w:val="24"/>
        </w:rPr>
        <w:t>components:</w:t>
      </w:r>
    </w:p>
    <w:p w14:paraId="5D2E1CBE" w14:textId="1535677E" w:rsidR="003D00FC" w:rsidRPr="005E3B6E" w:rsidRDefault="00E45F76">
      <w:pPr>
        <w:pStyle w:val="ListParagraph"/>
        <w:numPr>
          <w:ilvl w:val="2"/>
          <w:numId w:val="5"/>
        </w:numPr>
        <w:tabs>
          <w:tab w:val="left" w:pos="2280"/>
        </w:tabs>
        <w:spacing w:line="276" w:lineRule="auto"/>
        <w:ind w:right="425"/>
        <w:jc w:val="left"/>
        <w:rPr>
          <w:sz w:val="24"/>
        </w:rPr>
      </w:pPr>
      <w:r w:rsidRPr="005E3B6E">
        <w:rPr>
          <w:sz w:val="24"/>
        </w:rPr>
        <w:t>The most current National Health Expenditure (NHE) projected health</w:t>
      </w:r>
      <w:r w:rsidRPr="005E3B6E">
        <w:rPr>
          <w:spacing w:val="-20"/>
          <w:sz w:val="24"/>
        </w:rPr>
        <w:t xml:space="preserve"> </w:t>
      </w:r>
      <w:r w:rsidRPr="005E3B6E">
        <w:rPr>
          <w:sz w:val="24"/>
        </w:rPr>
        <w:t>cost growth for the following year</w:t>
      </w:r>
      <w:r w:rsidRPr="005E3B6E">
        <w:rPr>
          <w:spacing w:val="-3"/>
          <w:sz w:val="24"/>
        </w:rPr>
        <w:t xml:space="preserve"> </w:t>
      </w:r>
      <w:r w:rsidRPr="005E3B6E">
        <w:rPr>
          <w:sz w:val="24"/>
        </w:rPr>
        <w:t>and</w:t>
      </w:r>
    </w:p>
    <w:p w14:paraId="4D118CB9" w14:textId="77777777" w:rsidR="003D00FC" w:rsidRPr="005E3B6E" w:rsidRDefault="00E45F76">
      <w:pPr>
        <w:pStyle w:val="ListParagraph"/>
        <w:numPr>
          <w:ilvl w:val="2"/>
          <w:numId w:val="5"/>
        </w:numPr>
        <w:tabs>
          <w:tab w:val="left" w:pos="2280"/>
        </w:tabs>
        <w:spacing w:line="276" w:lineRule="auto"/>
        <w:ind w:right="761" w:hanging="375"/>
        <w:jc w:val="left"/>
        <w:rPr>
          <w:sz w:val="24"/>
        </w:rPr>
      </w:pPr>
      <w:r w:rsidRPr="005E3B6E">
        <w:rPr>
          <w:sz w:val="24"/>
        </w:rPr>
        <w:t>A tiered margin based upon the previous calendar year loss ratio for the Supplier for its most recent plan</w:t>
      </w:r>
      <w:r w:rsidRPr="005E3B6E">
        <w:rPr>
          <w:spacing w:val="-2"/>
          <w:sz w:val="24"/>
        </w:rPr>
        <w:t xml:space="preserve"> </w:t>
      </w:r>
      <w:r w:rsidRPr="005E3B6E">
        <w:rPr>
          <w:sz w:val="24"/>
        </w:rPr>
        <w:t>year.</w:t>
      </w:r>
    </w:p>
    <w:p w14:paraId="7B2CA2E1" w14:textId="354C07DF" w:rsidR="00135EF2" w:rsidRPr="005A4F22" w:rsidRDefault="00A27C51">
      <w:pPr>
        <w:pStyle w:val="ListParagraph"/>
        <w:numPr>
          <w:ilvl w:val="1"/>
          <w:numId w:val="5"/>
        </w:numPr>
        <w:tabs>
          <w:tab w:val="left" w:pos="1560"/>
        </w:tabs>
        <w:spacing w:line="276" w:lineRule="auto"/>
        <w:ind w:right="410"/>
        <w:jc w:val="both"/>
        <w:rPr>
          <w:sz w:val="24"/>
        </w:rPr>
      </w:pPr>
      <w:r w:rsidRPr="005A4F22">
        <w:rPr>
          <w:sz w:val="24"/>
          <w:szCs w:val="24"/>
        </w:rPr>
        <w:t>While the overall increase is capped as</w:t>
      </w:r>
      <w:r w:rsidR="000E185B" w:rsidRPr="005A4F22">
        <w:rPr>
          <w:sz w:val="24"/>
          <w:szCs w:val="24"/>
        </w:rPr>
        <w:t xml:space="preserve"> </w:t>
      </w:r>
      <w:r w:rsidRPr="005A4F22">
        <w:rPr>
          <w:sz w:val="24"/>
          <w:szCs w:val="24"/>
        </w:rPr>
        <w:t xml:space="preserve">described in </w:t>
      </w:r>
      <w:r w:rsidR="00EB4C92" w:rsidRPr="005A4F22">
        <w:rPr>
          <w:sz w:val="24"/>
          <w:szCs w:val="24"/>
        </w:rPr>
        <w:t>S</w:t>
      </w:r>
      <w:r w:rsidRPr="005A4F22">
        <w:rPr>
          <w:sz w:val="24"/>
          <w:szCs w:val="24"/>
        </w:rPr>
        <w:t xml:space="preserve">ection 3a, this maximum </w:t>
      </w:r>
      <w:r w:rsidR="001C20BE" w:rsidRPr="005A4F22">
        <w:rPr>
          <w:sz w:val="24"/>
          <w:szCs w:val="24"/>
        </w:rPr>
        <w:t xml:space="preserve">increase </w:t>
      </w:r>
      <w:r w:rsidRPr="005A4F22">
        <w:rPr>
          <w:sz w:val="24"/>
          <w:szCs w:val="24"/>
        </w:rPr>
        <w:t xml:space="preserve">also applies to each billing unit/tier (primary, spouse, child, and children). For example, if the overall permissible increase is 10% as defined in </w:t>
      </w:r>
      <w:r w:rsidR="00EB4C92" w:rsidRPr="005A4F22">
        <w:rPr>
          <w:sz w:val="24"/>
          <w:szCs w:val="24"/>
        </w:rPr>
        <w:t>S</w:t>
      </w:r>
      <w:r w:rsidRPr="005A4F22">
        <w:rPr>
          <w:sz w:val="24"/>
          <w:szCs w:val="24"/>
        </w:rPr>
        <w:t>ection 3a, each billing unit/tier premium cannot exceed an increase greater than 10</w:t>
      </w:r>
      <w:r w:rsidR="00135EF2" w:rsidRPr="005A4F22">
        <w:rPr>
          <w:sz w:val="24"/>
          <w:szCs w:val="24"/>
        </w:rPr>
        <w:t>%.</w:t>
      </w:r>
    </w:p>
    <w:p w14:paraId="35507E08" w14:textId="2740C75B" w:rsidR="003D00FC" w:rsidRPr="005E3B6E" w:rsidRDefault="00E45F76">
      <w:pPr>
        <w:pStyle w:val="ListParagraph"/>
        <w:numPr>
          <w:ilvl w:val="1"/>
          <w:numId w:val="5"/>
        </w:numPr>
        <w:tabs>
          <w:tab w:val="left" w:pos="1560"/>
        </w:tabs>
        <w:spacing w:line="276" w:lineRule="auto"/>
        <w:ind w:right="410"/>
        <w:jc w:val="both"/>
        <w:rPr>
          <w:sz w:val="24"/>
        </w:rPr>
      </w:pPr>
      <w:r w:rsidRPr="005E3B6E">
        <w:rPr>
          <w:sz w:val="24"/>
        </w:rPr>
        <w:t>The loss ratio is defined as claims divided by premiums. The loss ratio utilized is a simplified version of the NAIC defined Medical Loss Ratio (MLR) as required for health insurance carriers under Health Care</w:t>
      </w:r>
      <w:r w:rsidRPr="005E3B6E">
        <w:rPr>
          <w:spacing w:val="-3"/>
          <w:sz w:val="24"/>
        </w:rPr>
        <w:t xml:space="preserve"> </w:t>
      </w:r>
      <w:r w:rsidRPr="005E3B6E">
        <w:rPr>
          <w:sz w:val="24"/>
        </w:rPr>
        <w:t>Reform.</w:t>
      </w:r>
    </w:p>
    <w:p w14:paraId="6BFFD72A" w14:textId="77777777" w:rsidR="003D00FC" w:rsidRPr="005E3B6E" w:rsidRDefault="00E45F76">
      <w:pPr>
        <w:pStyle w:val="ListParagraph"/>
        <w:numPr>
          <w:ilvl w:val="2"/>
          <w:numId w:val="5"/>
        </w:numPr>
        <w:tabs>
          <w:tab w:val="left" w:pos="2280"/>
        </w:tabs>
        <w:spacing w:line="274" w:lineRule="exact"/>
        <w:jc w:val="both"/>
        <w:rPr>
          <w:sz w:val="24"/>
        </w:rPr>
      </w:pPr>
      <w:r w:rsidRPr="005E3B6E">
        <w:rPr>
          <w:sz w:val="24"/>
        </w:rPr>
        <w:t>The tiered margins are as</w:t>
      </w:r>
      <w:r w:rsidRPr="005E3B6E">
        <w:rPr>
          <w:spacing w:val="1"/>
          <w:sz w:val="24"/>
        </w:rPr>
        <w:t xml:space="preserve"> </w:t>
      </w:r>
      <w:r w:rsidRPr="005E3B6E">
        <w:rPr>
          <w:sz w:val="24"/>
        </w:rPr>
        <w:t>follows:</w:t>
      </w:r>
    </w:p>
    <w:p w14:paraId="50EE536D" w14:textId="77777777" w:rsidR="003D00FC" w:rsidRPr="005E3B6E" w:rsidRDefault="003D00FC">
      <w:pPr>
        <w:pStyle w:val="BodyText"/>
        <w:ind w:left="0"/>
        <w:rPr>
          <w:sz w:val="20"/>
        </w:rPr>
      </w:pPr>
    </w:p>
    <w:p w14:paraId="62036F76" w14:textId="77777777" w:rsidR="003D00FC" w:rsidRPr="005E3B6E" w:rsidRDefault="003D00FC">
      <w:pPr>
        <w:pStyle w:val="BodyText"/>
        <w:spacing w:before="2"/>
        <w:ind w:left="0"/>
        <w:rPr>
          <w:sz w:val="29"/>
        </w:rPr>
      </w:pPr>
    </w:p>
    <w:tbl>
      <w:tblPr>
        <w:tblW w:w="0" w:type="auto"/>
        <w:tblInd w:w="29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0"/>
        <w:gridCol w:w="2088"/>
      </w:tblGrid>
      <w:tr w:rsidR="003D00FC" w:rsidRPr="005E3B6E" w14:paraId="27A60F83" w14:textId="77777777">
        <w:trPr>
          <w:trHeight w:val="457"/>
        </w:trPr>
        <w:tc>
          <w:tcPr>
            <w:tcW w:w="2340" w:type="dxa"/>
            <w:tcBorders>
              <w:right w:val="single" w:sz="4" w:space="0" w:color="000000"/>
            </w:tcBorders>
          </w:tcPr>
          <w:p w14:paraId="38D7ED2A" w14:textId="77777777" w:rsidR="003D00FC" w:rsidRPr="005E3B6E" w:rsidRDefault="00E45F76">
            <w:pPr>
              <w:pStyle w:val="TableParagraph"/>
              <w:spacing w:line="270" w:lineRule="exact"/>
              <w:ind w:left="631" w:right="620"/>
              <w:rPr>
                <w:rFonts w:ascii="Times New Roman"/>
                <w:sz w:val="24"/>
              </w:rPr>
            </w:pPr>
            <w:r w:rsidRPr="005E3B6E">
              <w:rPr>
                <w:rFonts w:ascii="Times New Roman"/>
                <w:sz w:val="24"/>
              </w:rPr>
              <w:t>Loss Ratio</w:t>
            </w:r>
          </w:p>
        </w:tc>
        <w:tc>
          <w:tcPr>
            <w:tcW w:w="2088" w:type="dxa"/>
            <w:tcBorders>
              <w:left w:val="single" w:sz="4" w:space="0" w:color="000000"/>
            </w:tcBorders>
          </w:tcPr>
          <w:p w14:paraId="4EB2424B" w14:textId="77777777" w:rsidR="003D00FC" w:rsidRPr="005E3B6E" w:rsidRDefault="00E45F76">
            <w:pPr>
              <w:pStyle w:val="TableParagraph"/>
              <w:spacing w:line="270" w:lineRule="exact"/>
              <w:ind w:left="332" w:right="308"/>
              <w:rPr>
                <w:rFonts w:ascii="Times New Roman"/>
                <w:sz w:val="24"/>
              </w:rPr>
            </w:pPr>
            <w:r w:rsidRPr="005E3B6E">
              <w:rPr>
                <w:rFonts w:ascii="Times New Roman"/>
                <w:sz w:val="24"/>
              </w:rPr>
              <w:t>Tiered Margin</w:t>
            </w:r>
          </w:p>
        </w:tc>
      </w:tr>
      <w:tr w:rsidR="003D00FC" w:rsidRPr="005E3B6E" w14:paraId="31A42CC6" w14:textId="77777777">
        <w:trPr>
          <w:trHeight w:val="457"/>
        </w:trPr>
        <w:tc>
          <w:tcPr>
            <w:tcW w:w="2340" w:type="dxa"/>
            <w:tcBorders>
              <w:right w:val="single" w:sz="4" w:space="0" w:color="000000"/>
            </w:tcBorders>
          </w:tcPr>
          <w:p w14:paraId="28ADED62" w14:textId="77777777" w:rsidR="003D00FC" w:rsidRPr="005E3B6E" w:rsidRDefault="00E45F76">
            <w:pPr>
              <w:pStyle w:val="TableParagraph"/>
              <w:spacing w:line="272" w:lineRule="exact"/>
              <w:ind w:left="631" w:right="620"/>
              <w:rPr>
                <w:rFonts w:ascii="Times New Roman"/>
                <w:sz w:val="24"/>
              </w:rPr>
            </w:pPr>
            <w:r w:rsidRPr="005E3B6E">
              <w:rPr>
                <w:rFonts w:ascii="Times New Roman"/>
                <w:sz w:val="24"/>
              </w:rPr>
              <w:t>&lt;85</w:t>
            </w:r>
          </w:p>
        </w:tc>
        <w:tc>
          <w:tcPr>
            <w:tcW w:w="2088" w:type="dxa"/>
            <w:tcBorders>
              <w:left w:val="single" w:sz="4" w:space="0" w:color="000000"/>
            </w:tcBorders>
          </w:tcPr>
          <w:p w14:paraId="33788572" w14:textId="77777777" w:rsidR="003D00FC" w:rsidRPr="005E3B6E" w:rsidRDefault="00E45F76">
            <w:pPr>
              <w:pStyle w:val="TableParagraph"/>
              <w:spacing w:line="272" w:lineRule="exact"/>
              <w:ind w:left="332" w:right="308"/>
              <w:rPr>
                <w:rFonts w:ascii="Times New Roman"/>
                <w:sz w:val="24"/>
              </w:rPr>
            </w:pPr>
            <w:r w:rsidRPr="005E3B6E">
              <w:rPr>
                <w:rFonts w:ascii="Times New Roman"/>
                <w:sz w:val="24"/>
              </w:rPr>
              <w:t>0.0%</w:t>
            </w:r>
          </w:p>
        </w:tc>
      </w:tr>
      <w:tr w:rsidR="003D00FC" w:rsidRPr="005E3B6E" w14:paraId="48A6D027" w14:textId="77777777">
        <w:trPr>
          <w:trHeight w:val="457"/>
        </w:trPr>
        <w:tc>
          <w:tcPr>
            <w:tcW w:w="2340" w:type="dxa"/>
            <w:tcBorders>
              <w:right w:val="single" w:sz="4" w:space="0" w:color="000000"/>
            </w:tcBorders>
          </w:tcPr>
          <w:p w14:paraId="025670EA" w14:textId="77777777" w:rsidR="003D00FC" w:rsidRPr="005E3B6E" w:rsidRDefault="00E45F76">
            <w:pPr>
              <w:pStyle w:val="TableParagraph"/>
              <w:spacing w:line="272" w:lineRule="exact"/>
              <w:ind w:left="631" w:right="617"/>
              <w:rPr>
                <w:rFonts w:ascii="Times New Roman"/>
                <w:sz w:val="24"/>
              </w:rPr>
            </w:pPr>
            <w:r w:rsidRPr="005E3B6E">
              <w:rPr>
                <w:rFonts w:ascii="Times New Roman"/>
                <w:sz w:val="24"/>
              </w:rPr>
              <w:t>85-90</w:t>
            </w:r>
          </w:p>
        </w:tc>
        <w:tc>
          <w:tcPr>
            <w:tcW w:w="2088" w:type="dxa"/>
            <w:tcBorders>
              <w:left w:val="single" w:sz="4" w:space="0" w:color="000000"/>
            </w:tcBorders>
          </w:tcPr>
          <w:p w14:paraId="49367156" w14:textId="77777777" w:rsidR="003D00FC" w:rsidRPr="005E3B6E" w:rsidRDefault="00E45F76">
            <w:pPr>
              <w:pStyle w:val="TableParagraph"/>
              <w:spacing w:line="272" w:lineRule="exact"/>
              <w:ind w:left="332" w:right="308"/>
              <w:rPr>
                <w:rFonts w:ascii="Times New Roman"/>
                <w:sz w:val="24"/>
              </w:rPr>
            </w:pPr>
            <w:r w:rsidRPr="005E3B6E">
              <w:rPr>
                <w:rFonts w:ascii="Times New Roman"/>
                <w:sz w:val="24"/>
              </w:rPr>
              <w:t>4.0%</w:t>
            </w:r>
          </w:p>
        </w:tc>
      </w:tr>
      <w:tr w:rsidR="003D00FC" w:rsidRPr="005E3B6E" w14:paraId="6434F2DE" w14:textId="77777777">
        <w:trPr>
          <w:trHeight w:val="460"/>
        </w:trPr>
        <w:tc>
          <w:tcPr>
            <w:tcW w:w="2340" w:type="dxa"/>
            <w:tcBorders>
              <w:right w:val="single" w:sz="4" w:space="0" w:color="000000"/>
            </w:tcBorders>
          </w:tcPr>
          <w:p w14:paraId="428C45D4" w14:textId="77777777" w:rsidR="003D00FC" w:rsidRPr="005E3B6E" w:rsidRDefault="00E45F76">
            <w:pPr>
              <w:pStyle w:val="TableParagraph"/>
              <w:spacing w:line="272" w:lineRule="exact"/>
              <w:ind w:left="631" w:right="617"/>
              <w:rPr>
                <w:rFonts w:ascii="Times New Roman"/>
                <w:sz w:val="24"/>
              </w:rPr>
            </w:pPr>
            <w:r w:rsidRPr="005E3B6E">
              <w:rPr>
                <w:rFonts w:ascii="Times New Roman"/>
                <w:sz w:val="24"/>
              </w:rPr>
              <w:t>90-95</w:t>
            </w:r>
          </w:p>
        </w:tc>
        <w:tc>
          <w:tcPr>
            <w:tcW w:w="2088" w:type="dxa"/>
            <w:tcBorders>
              <w:left w:val="single" w:sz="4" w:space="0" w:color="000000"/>
            </w:tcBorders>
          </w:tcPr>
          <w:p w14:paraId="1A5FB1CE" w14:textId="77777777" w:rsidR="003D00FC" w:rsidRPr="005E3B6E" w:rsidRDefault="00E45F76">
            <w:pPr>
              <w:pStyle w:val="TableParagraph"/>
              <w:spacing w:line="272" w:lineRule="exact"/>
              <w:ind w:left="332" w:right="308"/>
              <w:rPr>
                <w:rFonts w:ascii="Times New Roman"/>
                <w:sz w:val="24"/>
              </w:rPr>
            </w:pPr>
            <w:r w:rsidRPr="005E3B6E">
              <w:rPr>
                <w:rFonts w:ascii="Times New Roman"/>
                <w:sz w:val="24"/>
              </w:rPr>
              <w:t>7.5%</w:t>
            </w:r>
          </w:p>
        </w:tc>
      </w:tr>
      <w:tr w:rsidR="003D00FC" w:rsidRPr="005E3B6E" w14:paraId="4569DD16" w14:textId="77777777">
        <w:trPr>
          <w:trHeight w:val="457"/>
        </w:trPr>
        <w:tc>
          <w:tcPr>
            <w:tcW w:w="2340" w:type="dxa"/>
            <w:tcBorders>
              <w:right w:val="single" w:sz="4" w:space="0" w:color="000000"/>
            </w:tcBorders>
          </w:tcPr>
          <w:p w14:paraId="5E560FFB" w14:textId="77777777" w:rsidR="003D00FC" w:rsidRPr="005E3B6E" w:rsidRDefault="00E45F76">
            <w:pPr>
              <w:pStyle w:val="TableParagraph"/>
              <w:spacing w:line="270" w:lineRule="exact"/>
              <w:ind w:left="631" w:right="617"/>
              <w:rPr>
                <w:rFonts w:ascii="Times New Roman"/>
                <w:sz w:val="24"/>
              </w:rPr>
            </w:pPr>
            <w:r w:rsidRPr="005E3B6E">
              <w:rPr>
                <w:rFonts w:ascii="Times New Roman"/>
                <w:sz w:val="24"/>
              </w:rPr>
              <w:t>95-100</w:t>
            </w:r>
          </w:p>
        </w:tc>
        <w:tc>
          <w:tcPr>
            <w:tcW w:w="2088" w:type="dxa"/>
            <w:tcBorders>
              <w:left w:val="single" w:sz="4" w:space="0" w:color="000000"/>
            </w:tcBorders>
          </w:tcPr>
          <w:p w14:paraId="26AFE827" w14:textId="77777777" w:rsidR="003D00FC" w:rsidRPr="005E3B6E" w:rsidRDefault="00E45F76">
            <w:pPr>
              <w:pStyle w:val="TableParagraph"/>
              <w:spacing w:line="270" w:lineRule="exact"/>
              <w:ind w:left="332" w:right="308"/>
              <w:rPr>
                <w:rFonts w:ascii="Times New Roman"/>
                <w:sz w:val="24"/>
              </w:rPr>
            </w:pPr>
            <w:r w:rsidRPr="005E3B6E">
              <w:rPr>
                <w:rFonts w:ascii="Times New Roman"/>
                <w:sz w:val="24"/>
              </w:rPr>
              <w:t>10.5%</w:t>
            </w:r>
          </w:p>
        </w:tc>
      </w:tr>
      <w:tr w:rsidR="003D00FC" w:rsidRPr="005E3B6E" w14:paraId="2B25BF5F" w14:textId="77777777">
        <w:trPr>
          <w:trHeight w:val="457"/>
        </w:trPr>
        <w:tc>
          <w:tcPr>
            <w:tcW w:w="2340" w:type="dxa"/>
            <w:tcBorders>
              <w:right w:val="single" w:sz="4" w:space="0" w:color="000000"/>
            </w:tcBorders>
          </w:tcPr>
          <w:p w14:paraId="09536252" w14:textId="77777777" w:rsidR="003D00FC" w:rsidRPr="005E3B6E" w:rsidRDefault="00E45F76">
            <w:pPr>
              <w:pStyle w:val="TableParagraph"/>
              <w:spacing w:line="270" w:lineRule="exact"/>
              <w:ind w:left="631" w:right="620"/>
              <w:rPr>
                <w:rFonts w:ascii="Times New Roman"/>
                <w:sz w:val="24"/>
              </w:rPr>
            </w:pPr>
            <w:r w:rsidRPr="005E3B6E">
              <w:rPr>
                <w:rFonts w:ascii="Times New Roman"/>
                <w:sz w:val="24"/>
              </w:rPr>
              <w:t>&gt;100</w:t>
            </w:r>
          </w:p>
        </w:tc>
        <w:tc>
          <w:tcPr>
            <w:tcW w:w="2088" w:type="dxa"/>
            <w:tcBorders>
              <w:left w:val="single" w:sz="4" w:space="0" w:color="000000"/>
            </w:tcBorders>
          </w:tcPr>
          <w:p w14:paraId="5EEFA8A6" w14:textId="77777777" w:rsidR="003D00FC" w:rsidRPr="005E3B6E" w:rsidRDefault="00E45F76">
            <w:pPr>
              <w:pStyle w:val="TableParagraph"/>
              <w:spacing w:line="270" w:lineRule="exact"/>
              <w:ind w:left="332" w:right="308"/>
              <w:rPr>
                <w:rFonts w:ascii="Times New Roman"/>
                <w:sz w:val="24"/>
              </w:rPr>
            </w:pPr>
            <w:r w:rsidRPr="005E3B6E">
              <w:rPr>
                <w:rFonts w:ascii="Times New Roman"/>
                <w:sz w:val="24"/>
              </w:rPr>
              <w:t>13.0%</w:t>
            </w:r>
          </w:p>
        </w:tc>
      </w:tr>
    </w:tbl>
    <w:p w14:paraId="622B7BE6" w14:textId="77777777" w:rsidR="003D00FC" w:rsidRPr="005E3B6E" w:rsidRDefault="003D00FC">
      <w:pPr>
        <w:pStyle w:val="BodyText"/>
        <w:ind w:left="0"/>
        <w:rPr>
          <w:sz w:val="20"/>
        </w:rPr>
      </w:pPr>
    </w:p>
    <w:p w14:paraId="393CFEF9" w14:textId="2A9AF3A1" w:rsidR="003D00FC" w:rsidRPr="005E3B6E" w:rsidRDefault="00E45F76" w:rsidP="008C266D">
      <w:pPr>
        <w:pStyle w:val="ListParagraph"/>
        <w:numPr>
          <w:ilvl w:val="2"/>
          <w:numId w:val="5"/>
        </w:numPr>
        <w:tabs>
          <w:tab w:val="left" w:pos="2280"/>
        </w:tabs>
        <w:spacing w:before="222" w:line="276" w:lineRule="auto"/>
        <w:ind w:right="227" w:hanging="375"/>
        <w:jc w:val="left"/>
        <w:rPr>
          <w:sz w:val="24"/>
        </w:rPr>
      </w:pPr>
      <w:r w:rsidRPr="005E3B6E">
        <w:rPr>
          <w:sz w:val="24"/>
        </w:rPr>
        <w:t xml:space="preserve">Example: </w:t>
      </w:r>
      <w:r w:rsidRPr="005E3B6E">
        <w:rPr>
          <w:spacing w:val="-3"/>
          <w:sz w:val="24"/>
        </w:rPr>
        <w:t xml:space="preserve">If </w:t>
      </w:r>
      <w:r w:rsidRPr="005E3B6E">
        <w:rPr>
          <w:sz w:val="24"/>
        </w:rPr>
        <w:t xml:space="preserve">the NHE projection for the future year is 6.0%, and the loss ratio of the plan is </w:t>
      </w:r>
      <w:r w:rsidR="00BB31FA" w:rsidRPr="005E3B6E">
        <w:rPr>
          <w:sz w:val="24"/>
        </w:rPr>
        <w:t>below 85</w:t>
      </w:r>
      <w:r w:rsidR="008C266D" w:rsidRPr="005E3B6E">
        <w:rPr>
          <w:sz w:val="24"/>
        </w:rPr>
        <w:t>%,</w:t>
      </w:r>
      <w:r w:rsidR="00DC06F7" w:rsidRPr="005E3B6E">
        <w:rPr>
          <w:sz w:val="24"/>
        </w:rPr>
        <w:t xml:space="preserve"> </w:t>
      </w:r>
      <w:r w:rsidRPr="005E3B6E">
        <w:rPr>
          <w:sz w:val="24"/>
        </w:rPr>
        <w:t>an increase over 6.0% (6.0% NHE + 0.0% Margin) in premium from the previous year would be deemed excessive. For a plan with a loss ratio of 94%, the increase cannot exceed 13.5% (6.0% NHE + 7.5%</w:t>
      </w:r>
      <w:r w:rsidRPr="005E3B6E">
        <w:rPr>
          <w:spacing w:val="-4"/>
          <w:sz w:val="24"/>
        </w:rPr>
        <w:t xml:space="preserve"> </w:t>
      </w:r>
      <w:r w:rsidRPr="005E3B6E">
        <w:rPr>
          <w:sz w:val="24"/>
        </w:rPr>
        <w:t>Margin).</w:t>
      </w:r>
    </w:p>
    <w:p w14:paraId="740E56D1" w14:textId="77777777" w:rsidR="003D00FC" w:rsidRPr="005E3B6E" w:rsidRDefault="00E45F76">
      <w:pPr>
        <w:pStyle w:val="ListParagraph"/>
        <w:numPr>
          <w:ilvl w:val="2"/>
          <w:numId w:val="5"/>
        </w:numPr>
        <w:tabs>
          <w:tab w:val="left" w:pos="2280"/>
        </w:tabs>
        <w:spacing w:line="276" w:lineRule="auto"/>
        <w:ind w:right="266" w:hanging="440"/>
        <w:jc w:val="left"/>
        <w:rPr>
          <w:sz w:val="24"/>
        </w:rPr>
      </w:pPr>
      <w:r w:rsidRPr="005E3B6E">
        <w:rPr>
          <w:sz w:val="24"/>
        </w:rPr>
        <w:t>For a current Supplier that does not have a full year of claims experience with the OEIBA Program, the loss ratio will be based on the Supplier’s book of business for the most recent plan year. For a current Supplier with a full year of claims experience with the OEIBA Program, the loss ratio will be based upon OEIBA Program</w:t>
      </w:r>
      <w:r w:rsidRPr="005E3B6E">
        <w:rPr>
          <w:spacing w:val="-2"/>
          <w:sz w:val="24"/>
        </w:rPr>
        <w:t xml:space="preserve"> </w:t>
      </w:r>
      <w:r w:rsidRPr="005E3B6E">
        <w:rPr>
          <w:sz w:val="24"/>
        </w:rPr>
        <w:t>experience.</w:t>
      </w:r>
    </w:p>
    <w:p w14:paraId="65259140" w14:textId="77777777" w:rsidR="003D00FC" w:rsidRPr="005E3B6E" w:rsidRDefault="00E45F76">
      <w:pPr>
        <w:pStyle w:val="ListParagraph"/>
        <w:numPr>
          <w:ilvl w:val="2"/>
          <w:numId w:val="5"/>
        </w:numPr>
        <w:tabs>
          <w:tab w:val="left" w:pos="2280"/>
        </w:tabs>
        <w:spacing w:line="276" w:lineRule="exact"/>
        <w:ind w:hanging="429"/>
        <w:jc w:val="left"/>
        <w:rPr>
          <w:sz w:val="24"/>
        </w:rPr>
      </w:pPr>
      <w:r w:rsidRPr="005E3B6E">
        <w:rPr>
          <w:sz w:val="24"/>
        </w:rPr>
        <w:t>Calculations are based as follows:</w:t>
      </w:r>
    </w:p>
    <w:p w14:paraId="6D4231DE" w14:textId="77777777" w:rsidR="003D00FC" w:rsidRPr="005E3B6E" w:rsidRDefault="00E45F76">
      <w:pPr>
        <w:pStyle w:val="ListParagraph"/>
        <w:numPr>
          <w:ilvl w:val="3"/>
          <w:numId w:val="5"/>
        </w:numPr>
        <w:tabs>
          <w:tab w:val="left" w:pos="3000"/>
        </w:tabs>
        <w:spacing w:before="41"/>
        <w:ind w:hanging="361"/>
        <w:jc w:val="both"/>
        <w:rPr>
          <w:sz w:val="24"/>
        </w:rPr>
      </w:pPr>
      <w:r w:rsidRPr="005E3B6E">
        <w:rPr>
          <w:sz w:val="24"/>
        </w:rPr>
        <w:t>Loss Ratio = Total Claims /Total</w:t>
      </w:r>
      <w:r w:rsidRPr="005E3B6E">
        <w:rPr>
          <w:spacing w:val="-3"/>
          <w:sz w:val="24"/>
        </w:rPr>
        <w:t xml:space="preserve"> </w:t>
      </w:r>
      <w:r w:rsidRPr="005E3B6E">
        <w:rPr>
          <w:sz w:val="24"/>
        </w:rPr>
        <w:t>Premium</w:t>
      </w:r>
    </w:p>
    <w:p w14:paraId="1F8007E3" w14:textId="77777777" w:rsidR="003D00FC" w:rsidRPr="005E3B6E" w:rsidRDefault="00E45F76">
      <w:pPr>
        <w:pStyle w:val="ListParagraph"/>
        <w:numPr>
          <w:ilvl w:val="3"/>
          <w:numId w:val="5"/>
        </w:numPr>
        <w:tabs>
          <w:tab w:val="left" w:pos="3000"/>
        </w:tabs>
        <w:spacing w:before="43" w:line="276" w:lineRule="auto"/>
        <w:ind w:right="645"/>
        <w:jc w:val="both"/>
        <w:rPr>
          <w:sz w:val="24"/>
        </w:rPr>
      </w:pPr>
      <w:r w:rsidRPr="005E3B6E">
        <w:rPr>
          <w:sz w:val="24"/>
        </w:rPr>
        <w:t xml:space="preserve">Total Claims = (Incurred Medical Claims for Most Recent CY) + </w:t>
      </w:r>
      <w:r w:rsidRPr="005E3B6E">
        <w:rPr>
          <w:sz w:val="24"/>
        </w:rPr>
        <w:lastRenderedPageBreak/>
        <w:t>(Incurred Rx Claims for Most Recent CY) + (Incurred Capitation Claims for Most Recent CY) – (Pharmacy</w:t>
      </w:r>
      <w:r w:rsidRPr="005E3B6E">
        <w:rPr>
          <w:spacing w:val="-9"/>
          <w:sz w:val="24"/>
        </w:rPr>
        <w:t xml:space="preserve"> </w:t>
      </w:r>
      <w:r w:rsidRPr="005E3B6E">
        <w:rPr>
          <w:sz w:val="24"/>
        </w:rPr>
        <w:t>Rebates)</w:t>
      </w:r>
    </w:p>
    <w:p w14:paraId="0DBB5B39" w14:textId="77777777" w:rsidR="003D00FC" w:rsidRPr="005E3B6E" w:rsidRDefault="00E45F76">
      <w:pPr>
        <w:pStyle w:val="ListParagraph"/>
        <w:numPr>
          <w:ilvl w:val="3"/>
          <w:numId w:val="5"/>
        </w:numPr>
        <w:tabs>
          <w:tab w:val="left" w:pos="3000"/>
        </w:tabs>
        <w:spacing w:line="276" w:lineRule="auto"/>
        <w:ind w:right="465"/>
        <w:jc w:val="both"/>
        <w:rPr>
          <w:sz w:val="24"/>
        </w:rPr>
      </w:pPr>
      <w:r w:rsidRPr="005E3B6E">
        <w:rPr>
          <w:sz w:val="24"/>
        </w:rPr>
        <w:t>Total Premium = (Premium Collected for Most Recent CY) -</w:t>
      </w:r>
      <w:r w:rsidRPr="005E3B6E">
        <w:rPr>
          <w:spacing w:val="-18"/>
          <w:sz w:val="24"/>
        </w:rPr>
        <w:t xml:space="preserve"> </w:t>
      </w:r>
      <w:r w:rsidRPr="005E3B6E">
        <w:rPr>
          <w:sz w:val="24"/>
        </w:rPr>
        <w:t>(Risk Adjustment Payment (Credit)) – (Federal taxes and assessments) – (State Premium</w:t>
      </w:r>
      <w:r w:rsidRPr="005E3B6E">
        <w:rPr>
          <w:spacing w:val="-2"/>
          <w:sz w:val="24"/>
        </w:rPr>
        <w:t xml:space="preserve"> </w:t>
      </w:r>
      <w:r w:rsidRPr="005E3B6E">
        <w:rPr>
          <w:sz w:val="24"/>
        </w:rPr>
        <w:t>Taxes)</w:t>
      </w:r>
    </w:p>
    <w:p w14:paraId="16350DAD" w14:textId="77777777" w:rsidR="003D00FC" w:rsidRPr="005E3B6E" w:rsidRDefault="00E45F76">
      <w:pPr>
        <w:pStyle w:val="ListParagraph"/>
        <w:numPr>
          <w:ilvl w:val="1"/>
          <w:numId w:val="5"/>
        </w:numPr>
        <w:tabs>
          <w:tab w:val="left" w:pos="1560"/>
        </w:tabs>
        <w:spacing w:before="66" w:line="276" w:lineRule="auto"/>
        <w:ind w:right="346"/>
        <w:rPr>
          <w:sz w:val="24"/>
        </w:rPr>
      </w:pPr>
      <w:r w:rsidRPr="005E3B6E">
        <w:rPr>
          <w:sz w:val="24"/>
        </w:rPr>
        <w:t>The National Health Expenditures Data is found at</w:t>
      </w:r>
      <w:r w:rsidRPr="005E3B6E">
        <w:rPr>
          <w:color w:val="0562C1"/>
          <w:sz w:val="24"/>
        </w:rPr>
        <w:t xml:space="preserve"> </w:t>
      </w:r>
      <w:hyperlink r:id="rId9">
        <w:r w:rsidRPr="005E3B6E">
          <w:rPr>
            <w:color w:val="0562C1"/>
            <w:sz w:val="24"/>
            <w:u w:val="single" w:color="0562C1"/>
          </w:rPr>
          <w:t>https://www.cms.gov/Research-</w:t>
        </w:r>
      </w:hyperlink>
      <w:hyperlink r:id="rId10">
        <w:r w:rsidRPr="005E3B6E">
          <w:rPr>
            <w:color w:val="0562C1"/>
            <w:sz w:val="24"/>
            <w:u w:val="single" w:color="0562C1"/>
          </w:rPr>
          <w:t xml:space="preserve"> Statistics-Data-and-Systems/Statistics-Trends-and-</w:t>
        </w:r>
      </w:hyperlink>
    </w:p>
    <w:p w14:paraId="0C5A5402" w14:textId="10F17BE4" w:rsidR="003D00FC" w:rsidRPr="005E3B6E" w:rsidRDefault="009155D8">
      <w:pPr>
        <w:pStyle w:val="BodyText"/>
        <w:spacing w:line="275" w:lineRule="exact"/>
        <w:ind w:left="1559"/>
        <w:rPr>
          <w:color w:val="0562C1"/>
          <w:u w:val="single" w:color="0562C1"/>
        </w:rPr>
      </w:pPr>
      <w:hyperlink r:id="rId11">
        <w:r w:rsidR="00E45F76" w:rsidRPr="005E3B6E">
          <w:rPr>
            <w:color w:val="0562C1"/>
            <w:u w:val="single" w:color="0562C1"/>
          </w:rPr>
          <w:t>Reports/NationalHealthExpendData/NationalHealthAccountsHistorical.html</w:t>
        </w:r>
      </w:hyperlink>
    </w:p>
    <w:p w14:paraId="00558003" w14:textId="18B8FA3D" w:rsidR="003D00FC" w:rsidRPr="005A4F22" w:rsidRDefault="0093633F" w:rsidP="0064065B">
      <w:pPr>
        <w:pStyle w:val="BodyText"/>
        <w:numPr>
          <w:ilvl w:val="1"/>
          <w:numId w:val="5"/>
        </w:numPr>
        <w:spacing w:line="275" w:lineRule="exact"/>
        <w:rPr>
          <w:strike/>
          <w:szCs w:val="22"/>
        </w:rPr>
      </w:pPr>
      <w:r w:rsidRPr="005A4F22">
        <w:t>Stricter pricing criteria may be imposed by the OEIBB at its own discretion through the Committee that oversees the procurement process to ensure that there is equity between Suppliers</w:t>
      </w:r>
      <w:r w:rsidR="00E45F76" w:rsidRPr="005A4F22">
        <w:t>.</w:t>
      </w:r>
    </w:p>
    <w:p w14:paraId="2F414D60" w14:textId="73361A49" w:rsidR="00326681" w:rsidRPr="005A4F22" w:rsidRDefault="00326681" w:rsidP="00326681">
      <w:pPr>
        <w:pStyle w:val="ListParagraph"/>
        <w:numPr>
          <w:ilvl w:val="1"/>
          <w:numId w:val="5"/>
        </w:numPr>
        <w:tabs>
          <w:tab w:val="left" w:pos="1560"/>
        </w:tabs>
        <w:spacing w:before="43" w:line="278" w:lineRule="auto"/>
        <w:ind w:right="784"/>
        <w:rPr>
          <w:sz w:val="24"/>
        </w:rPr>
      </w:pPr>
      <w:r w:rsidRPr="005A4F22">
        <w:rPr>
          <w:sz w:val="24"/>
        </w:rPr>
        <w:t xml:space="preserve">OMES has the authority to apply the following actions as a result of not complying with </w:t>
      </w:r>
      <w:r w:rsidR="00973909" w:rsidRPr="005A4F22">
        <w:rPr>
          <w:sz w:val="24"/>
        </w:rPr>
        <w:t>S</w:t>
      </w:r>
      <w:r w:rsidRPr="005A4F22">
        <w:rPr>
          <w:sz w:val="24"/>
        </w:rPr>
        <w:t>ection 3</w:t>
      </w:r>
      <w:r w:rsidR="00F178EF" w:rsidRPr="005A4F22">
        <w:rPr>
          <w:sz w:val="24"/>
        </w:rPr>
        <w:t>:</w:t>
      </w:r>
    </w:p>
    <w:p w14:paraId="33DBA62F" w14:textId="3F1D47F0" w:rsidR="00326681" w:rsidRPr="005A4F22" w:rsidRDefault="00326681" w:rsidP="00326681">
      <w:pPr>
        <w:pStyle w:val="ListParagraph"/>
        <w:numPr>
          <w:ilvl w:val="2"/>
          <w:numId w:val="5"/>
        </w:numPr>
        <w:tabs>
          <w:tab w:val="left" w:pos="1560"/>
        </w:tabs>
        <w:spacing w:before="43" w:line="278" w:lineRule="auto"/>
        <w:ind w:right="784"/>
        <w:jc w:val="left"/>
        <w:rPr>
          <w:sz w:val="24"/>
        </w:rPr>
      </w:pPr>
      <w:r w:rsidRPr="005A4F22">
        <w:rPr>
          <w:sz w:val="24"/>
        </w:rPr>
        <w:t>Reject the bid in whole</w:t>
      </w:r>
      <w:r w:rsidR="00F178EF" w:rsidRPr="005A4F22">
        <w:rPr>
          <w:sz w:val="24"/>
        </w:rPr>
        <w:t>.</w:t>
      </w:r>
    </w:p>
    <w:p w14:paraId="7255E27E" w14:textId="615D925C" w:rsidR="00326681" w:rsidRPr="005A4F22" w:rsidRDefault="00326681" w:rsidP="00326681">
      <w:pPr>
        <w:pStyle w:val="ListParagraph"/>
        <w:numPr>
          <w:ilvl w:val="2"/>
          <w:numId w:val="5"/>
        </w:numPr>
        <w:tabs>
          <w:tab w:val="left" w:pos="1560"/>
        </w:tabs>
        <w:spacing w:before="43" w:line="278" w:lineRule="auto"/>
        <w:ind w:right="784"/>
        <w:jc w:val="left"/>
        <w:rPr>
          <w:sz w:val="24"/>
        </w:rPr>
      </w:pPr>
      <w:r w:rsidRPr="005A4F22">
        <w:rPr>
          <w:sz w:val="24"/>
        </w:rPr>
        <w:t>Reject a plan within a bid</w:t>
      </w:r>
      <w:r w:rsidR="00F178EF" w:rsidRPr="005A4F22">
        <w:rPr>
          <w:sz w:val="24"/>
        </w:rPr>
        <w:t>.</w:t>
      </w:r>
    </w:p>
    <w:p w14:paraId="385874B8" w14:textId="60275E8E" w:rsidR="00326681" w:rsidRPr="005A4F22" w:rsidRDefault="00326681" w:rsidP="00326681">
      <w:pPr>
        <w:pStyle w:val="ListParagraph"/>
        <w:numPr>
          <w:ilvl w:val="2"/>
          <w:numId w:val="5"/>
        </w:numPr>
        <w:tabs>
          <w:tab w:val="left" w:pos="1560"/>
        </w:tabs>
        <w:spacing w:before="43" w:line="278" w:lineRule="auto"/>
        <w:ind w:right="784"/>
        <w:jc w:val="left"/>
        <w:rPr>
          <w:sz w:val="24"/>
        </w:rPr>
      </w:pPr>
      <w:r w:rsidRPr="005A4F22">
        <w:rPr>
          <w:sz w:val="24"/>
        </w:rPr>
        <w:t>Restrict enrollment in whole or in part</w:t>
      </w:r>
      <w:r w:rsidR="00F178EF" w:rsidRPr="005A4F22">
        <w:rPr>
          <w:sz w:val="24"/>
        </w:rPr>
        <w:t>.</w:t>
      </w:r>
    </w:p>
    <w:p w14:paraId="4708F98F" w14:textId="61634D0B" w:rsidR="00AD7911" w:rsidRPr="005A4F22" w:rsidRDefault="00AD7911" w:rsidP="00326681">
      <w:pPr>
        <w:pStyle w:val="ListParagraph"/>
        <w:numPr>
          <w:ilvl w:val="2"/>
          <w:numId w:val="5"/>
        </w:numPr>
        <w:tabs>
          <w:tab w:val="left" w:pos="1560"/>
        </w:tabs>
        <w:spacing w:before="43" w:line="278" w:lineRule="auto"/>
        <w:ind w:right="784"/>
        <w:jc w:val="left"/>
        <w:rPr>
          <w:sz w:val="24"/>
        </w:rPr>
      </w:pPr>
      <w:r w:rsidRPr="005A4F22">
        <w:rPr>
          <w:sz w:val="24"/>
        </w:rPr>
        <w:t>Restrict Supplier from participating in future bids</w:t>
      </w:r>
      <w:r w:rsidR="00F178EF" w:rsidRPr="005A4F22">
        <w:rPr>
          <w:sz w:val="24"/>
        </w:rPr>
        <w:t>.</w:t>
      </w:r>
    </w:p>
    <w:bookmarkEnd w:id="0"/>
    <w:p w14:paraId="6B1C97CD" w14:textId="77777777" w:rsidR="003D00FC" w:rsidRPr="005E3B6E" w:rsidRDefault="00E45F76">
      <w:pPr>
        <w:pStyle w:val="Heading1"/>
        <w:spacing w:before="200"/>
      </w:pPr>
      <w:r w:rsidRPr="005E3B6E">
        <w:t>SECTION III. Administration Fee</w:t>
      </w:r>
    </w:p>
    <w:p w14:paraId="42F893D4" w14:textId="60EA8A99" w:rsidR="003D00FC" w:rsidRPr="005E3B6E" w:rsidRDefault="00E45F76">
      <w:pPr>
        <w:pStyle w:val="BodyText"/>
        <w:spacing w:before="175" w:line="259" w:lineRule="auto"/>
        <w:ind w:left="119" w:right="383"/>
      </w:pPr>
      <w:r w:rsidRPr="005E3B6E">
        <w:t xml:space="preserve">OMES is granted the authority “to assess and collect reasonable fees from contracted health maintenance organizations and </w:t>
      </w:r>
      <w:r w:rsidR="00356C07" w:rsidRPr="005E3B6E">
        <w:t>third-party</w:t>
      </w:r>
      <w:r w:rsidRPr="005E3B6E">
        <w:t xml:space="preserve"> insurance vendors to offset the costs of administration” [74 O.S. §1304.1(M)(15)]. These administrative activities include (but are not limited to) enrollment, record keeping, accounting, and employee communication functions. These functions are carried out by the OMES Employees Group Insurance Division (EGID).</w:t>
      </w:r>
    </w:p>
    <w:p w14:paraId="554BF3B9" w14:textId="77777777" w:rsidR="003D00FC" w:rsidRPr="005E3B6E" w:rsidRDefault="00E45F76">
      <w:pPr>
        <w:pStyle w:val="BodyText"/>
        <w:spacing w:before="159"/>
        <w:ind w:left="119"/>
      </w:pPr>
      <w:bookmarkStart w:id="1" w:name="_Hlk81464313"/>
      <w:r w:rsidRPr="005E3B6E">
        <w:t>The administrative fee is:</w:t>
      </w:r>
    </w:p>
    <w:p w14:paraId="5DD1D387" w14:textId="77777777" w:rsidR="003D00FC" w:rsidRPr="005E3B6E" w:rsidRDefault="00E45F76">
      <w:pPr>
        <w:pStyle w:val="ListParagraph"/>
        <w:numPr>
          <w:ilvl w:val="0"/>
          <w:numId w:val="4"/>
        </w:numPr>
        <w:tabs>
          <w:tab w:val="left" w:pos="840"/>
        </w:tabs>
        <w:spacing w:before="182"/>
        <w:ind w:hanging="361"/>
        <w:rPr>
          <w:sz w:val="24"/>
        </w:rPr>
      </w:pPr>
      <w:r w:rsidRPr="005E3B6E">
        <w:rPr>
          <w:sz w:val="24"/>
        </w:rPr>
        <w:t>Independent of the risk adjustment</w:t>
      </w:r>
      <w:r w:rsidRPr="005E3B6E">
        <w:rPr>
          <w:spacing w:val="-3"/>
          <w:sz w:val="24"/>
        </w:rPr>
        <w:t xml:space="preserve"> </w:t>
      </w:r>
      <w:r w:rsidRPr="005E3B6E">
        <w:rPr>
          <w:sz w:val="24"/>
        </w:rPr>
        <w:t>factor.</w:t>
      </w:r>
    </w:p>
    <w:p w14:paraId="55ACBB48" w14:textId="77777777" w:rsidR="003D00FC" w:rsidRPr="005E3B6E" w:rsidRDefault="00E45F76">
      <w:pPr>
        <w:pStyle w:val="ListParagraph"/>
        <w:numPr>
          <w:ilvl w:val="0"/>
          <w:numId w:val="4"/>
        </w:numPr>
        <w:tabs>
          <w:tab w:val="left" w:pos="840"/>
        </w:tabs>
        <w:spacing w:before="22"/>
        <w:ind w:hanging="361"/>
        <w:rPr>
          <w:sz w:val="24"/>
        </w:rPr>
      </w:pPr>
      <w:r w:rsidRPr="005E3B6E">
        <w:rPr>
          <w:sz w:val="24"/>
        </w:rPr>
        <w:t>Determined annually and remains constant through the plan</w:t>
      </w:r>
      <w:r w:rsidRPr="005E3B6E">
        <w:rPr>
          <w:spacing w:val="-4"/>
          <w:sz w:val="24"/>
        </w:rPr>
        <w:t xml:space="preserve"> </w:t>
      </w:r>
      <w:r w:rsidRPr="005E3B6E">
        <w:rPr>
          <w:sz w:val="24"/>
        </w:rPr>
        <w:t>year.</w:t>
      </w:r>
    </w:p>
    <w:p w14:paraId="5E999FCE" w14:textId="77777777" w:rsidR="003D00FC" w:rsidRPr="005E3B6E" w:rsidRDefault="00E45F76">
      <w:pPr>
        <w:pStyle w:val="ListParagraph"/>
        <w:numPr>
          <w:ilvl w:val="0"/>
          <w:numId w:val="4"/>
        </w:numPr>
        <w:tabs>
          <w:tab w:val="left" w:pos="840"/>
        </w:tabs>
        <w:spacing w:before="21" w:line="259" w:lineRule="auto"/>
        <w:ind w:right="885"/>
        <w:rPr>
          <w:sz w:val="24"/>
        </w:rPr>
      </w:pPr>
      <w:r w:rsidRPr="005E3B6E">
        <w:rPr>
          <w:sz w:val="24"/>
        </w:rPr>
        <w:t>Calculated on a per member per month (PMPM) basis, not a per employee per month (PEPM) basis. Each primary and every dependent is therefore assessed a</w:t>
      </w:r>
      <w:r w:rsidRPr="005E3B6E">
        <w:rPr>
          <w:spacing w:val="-13"/>
          <w:sz w:val="24"/>
        </w:rPr>
        <w:t xml:space="preserve"> </w:t>
      </w:r>
      <w:r w:rsidRPr="005E3B6E">
        <w:rPr>
          <w:sz w:val="24"/>
        </w:rPr>
        <w:t>fee.</w:t>
      </w:r>
    </w:p>
    <w:p w14:paraId="46949C32" w14:textId="3F6D7F86" w:rsidR="003D00FC" w:rsidRPr="007B3FC9" w:rsidRDefault="00E45F76">
      <w:pPr>
        <w:pStyle w:val="ListParagraph"/>
        <w:numPr>
          <w:ilvl w:val="0"/>
          <w:numId w:val="4"/>
        </w:numPr>
        <w:tabs>
          <w:tab w:val="left" w:pos="840"/>
        </w:tabs>
        <w:spacing w:before="2" w:line="259" w:lineRule="auto"/>
        <w:ind w:right="433"/>
        <w:rPr>
          <w:sz w:val="24"/>
        </w:rPr>
      </w:pPr>
      <w:r w:rsidRPr="005E3B6E">
        <w:rPr>
          <w:sz w:val="24"/>
        </w:rPr>
        <w:t>Calculated separately for each type of plan (</w:t>
      </w:r>
      <w:r w:rsidR="00F178EF" w:rsidRPr="007B3FC9">
        <w:rPr>
          <w:sz w:val="24"/>
        </w:rPr>
        <w:t xml:space="preserve">HMO/TRICARE </w:t>
      </w:r>
      <w:r w:rsidR="0064065B" w:rsidRPr="007B3FC9">
        <w:rPr>
          <w:sz w:val="24"/>
        </w:rPr>
        <w:t>Supplement</w:t>
      </w:r>
      <w:r w:rsidR="009C7320" w:rsidRPr="007B3FC9">
        <w:rPr>
          <w:sz w:val="24"/>
        </w:rPr>
        <w:t>, vision</w:t>
      </w:r>
      <w:r w:rsidR="0064065B" w:rsidRPr="007B3FC9">
        <w:rPr>
          <w:sz w:val="24"/>
        </w:rPr>
        <w:t xml:space="preserve"> </w:t>
      </w:r>
      <w:r w:rsidR="00F178EF" w:rsidRPr="007B3FC9">
        <w:rPr>
          <w:sz w:val="24"/>
        </w:rPr>
        <w:t>and dental</w:t>
      </w:r>
      <w:r w:rsidRPr="007B3FC9">
        <w:rPr>
          <w:sz w:val="24"/>
        </w:rPr>
        <w:t>). It shall be the same fee amount for all Suppliers offering similar plan types (for instance, all dental</w:t>
      </w:r>
      <w:r w:rsidRPr="007B3FC9">
        <w:rPr>
          <w:spacing w:val="-17"/>
          <w:sz w:val="24"/>
        </w:rPr>
        <w:t xml:space="preserve"> </w:t>
      </w:r>
      <w:r w:rsidRPr="007B3FC9">
        <w:rPr>
          <w:sz w:val="24"/>
        </w:rPr>
        <w:t>plans).</w:t>
      </w:r>
    </w:p>
    <w:p w14:paraId="4E38F564" w14:textId="7BDC22A5" w:rsidR="003D00FC" w:rsidRPr="005E3B6E" w:rsidRDefault="00E45F76">
      <w:pPr>
        <w:pStyle w:val="ListParagraph"/>
        <w:numPr>
          <w:ilvl w:val="0"/>
          <w:numId w:val="4"/>
        </w:numPr>
        <w:tabs>
          <w:tab w:val="left" w:pos="840"/>
        </w:tabs>
        <w:spacing w:line="252" w:lineRule="auto"/>
        <w:ind w:right="893"/>
        <w:rPr>
          <w:sz w:val="24"/>
        </w:rPr>
      </w:pPr>
      <w:r w:rsidRPr="005E3B6E">
        <w:rPr>
          <w:sz w:val="24"/>
        </w:rPr>
        <w:t>Subject to change each year. The fee may go up or down in pricing. Suppliers will be notified of any change in the assessed administrative costs no later than the May</w:t>
      </w:r>
      <w:r w:rsidR="0064065B" w:rsidRPr="005E3B6E">
        <w:rPr>
          <w:sz w:val="24"/>
        </w:rPr>
        <w:t xml:space="preserve"> 1</w:t>
      </w:r>
      <w:r w:rsidR="0064065B" w:rsidRPr="005E3B6E">
        <w:rPr>
          <w:sz w:val="24"/>
          <w:vertAlign w:val="superscript"/>
        </w:rPr>
        <w:t>st</w:t>
      </w:r>
      <w:r w:rsidR="0064065B" w:rsidRPr="005E3B6E">
        <w:rPr>
          <w:sz w:val="24"/>
        </w:rPr>
        <w:t xml:space="preserve"> </w:t>
      </w:r>
      <w:r w:rsidRPr="005E3B6E">
        <w:rPr>
          <w:sz w:val="24"/>
        </w:rPr>
        <w:t>preceding the year the fee is</w:t>
      </w:r>
      <w:r w:rsidRPr="005E3B6E">
        <w:rPr>
          <w:spacing w:val="-4"/>
          <w:sz w:val="24"/>
        </w:rPr>
        <w:t xml:space="preserve"> </w:t>
      </w:r>
      <w:r w:rsidRPr="005E3B6E">
        <w:rPr>
          <w:sz w:val="24"/>
        </w:rPr>
        <w:t>effective.</w:t>
      </w:r>
    </w:p>
    <w:p w14:paraId="7A2AE540" w14:textId="77777777" w:rsidR="003D00FC" w:rsidRPr="005E3B6E" w:rsidRDefault="00E45F76">
      <w:pPr>
        <w:pStyle w:val="ListParagraph"/>
        <w:numPr>
          <w:ilvl w:val="0"/>
          <w:numId w:val="4"/>
        </w:numPr>
        <w:tabs>
          <w:tab w:val="left" w:pos="840"/>
        </w:tabs>
        <w:spacing w:before="7" w:line="259" w:lineRule="auto"/>
        <w:ind w:right="347"/>
        <w:rPr>
          <w:sz w:val="24"/>
        </w:rPr>
      </w:pPr>
      <w:r w:rsidRPr="005E3B6E">
        <w:rPr>
          <w:sz w:val="24"/>
        </w:rPr>
        <w:t>Deducted from the received premiums prior to remittance to the individual Supplier, so the Supplier</w:t>
      </w:r>
      <w:r w:rsidRPr="005E3B6E">
        <w:rPr>
          <w:strike/>
          <w:sz w:val="24"/>
        </w:rPr>
        <w:t>’</w:t>
      </w:r>
      <w:r w:rsidRPr="005E3B6E">
        <w:rPr>
          <w:sz w:val="24"/>
        </w:rPr>
        <w:t>s should have the administrative fee built into its final proposed premium</w:t>
      </w:r>
      <w:r w:rsidRPr="005E3B6E">
        <w:rPr>
          <w:spacing w:val="-16"/>
          <w:sz w:val="24"/>
        </w:rPr>
        <w:t xml:space="preserve"> </w:t>
      </w:r>
      <w:r w:rsidRPr="005E3B6E">
        <w:rPr>
          <w:sz w:val="24"/>
        </w:rPr>
        <w:t>rates</w:t>
      </w:r>
      <w:bookmarkEnd w:id="1"/>
      <w:r w:rsidRPr="005E3B6E">
        <w:rPr>
          <w:sz w:val="24"/>
        </w:rPr>
        <w:t>.</w:t>
      </w:r>
    </w:p>
    <w:p w14:paraId="5AA9C5FA" w14:textId="77777777" w:rsidR="003D00FC" w:rsidRPr="005E3B6E" w:rsidRDefault="00E45F76">
      <w:pPr>
        <w:pStyle w:val="BodyText"/>
        <w:spacing w:before="160"/>
        <w:ind w:left="119"/>
      </w:pPr>
      <w:r w:rsidRPr="005E3B6E">
        <w:t>Example of HMO administrative fee:</w:t>
      </w:r>
    </w:p>
    <w:p w14:paraId="799EAD4C" w14:textId="3CCB3425" w:rsidR="003D00FC" w:rsidRPr="00180BA0" w:rsidRDefault="00A744B1" w:rsidP="001D7E48">
      <w:pPr>
        <w:pStyle w:val="BodyText"/>
        <w:numPr>
          <w:ilvl w:val="0"/>
          <w:numId w:val="9"/>
        </w:numPr>
        <w:spacing w:line="259" w:lineRule="auto"/>
        <w:ind w:right="383"/>
      </w:pPr>
      <w:r w:rsidRPr="00F10436">
        <w:t>Plan Year</w:t>
      </w:r>
      <w:r w:rsidR="0064065B" w:rsidRPr="00F10436">
        <w:t xml:space="preserve"> </w:t>
      </w:r>
      <w:r w:rsidRPr="005A4F22">
        <w:t>2022 HMO</w:t>
      </w:r>
      <w:r w:rsidRPr="00F10436">
        <w:t xml:space="preserve"> PMPM is</w:t>
      </w:r>
      <w:r w:rsidR="0064065B" w:rsidRPr="00F10436">
        <w:t xml:space="preserve"> </w:t>
      </w:r>
      <w:r w:rsidRPr="005A4F22">
        <w:t>$4.477</w:t>
      </w:r>
      <w:r w:rsidRPr="00F10436">
        <w:t xml:space="preserve"> collected by EGID. A family plan with member, spouse and five children would be assessed</w:t>
      </w:r>
      <w:r w:rsidR="0087138B" w:rsidRPr="00F10436">
        <w:t xml:space="preserve"> </w:t>
      </w:r>
      <w:r w:rsidRPr="005A4F22">
        <w:t>$31.339</w:t>
      </w:r>
      <w:r w:rsidRPr="00F10436">
        <w:t xml:space="preserve"> per month for this plan.</w:t>
      </w:r>
    </w:p>
    <w:p w14:paraId="04B97336" w14:textId="5619DE8A" w:rsidR="001D7E48" w:rsidRPr="005E3B6E" w:rsidRDefault="0087138B" w:rsidP="001D7E48">
      <w:pPr>
        <w:pStyle w:val="BodyText"/>
        <w:numPr>
          <w:ilvl w:val="1"/>
          <w:numId w:val="9"/>
        </w:numPr>
        <w:spacing w:line="259" w:lineRule="auto"/>
        <w:ind w:right="383"/>
      </w:pPr>
      <w:r w:rsidRPr="00F10436">
        <w:t xml:space="preserve"> </w:t>
      </w:r>
      <w:r w:rsidR="001D7E48" w:rsidRPr="005A4F22">
        <w:t>$4.477</w:t>
      </w:r>
      <w:r w:rsidR="001D7E48" w:rsidRPr="00F10436">
        <w:t xml:space="preserve"> * 7 </w:t>
      </w:r>
      <w:r w:rsidR="005A4F22" w:rsidRPr="00F10436">
        <w:t>= $</w:t>
      </w:r>
      <w:r w:rsidR="001D7E48" w:rsidRPr="005A4F22">
        <w:t>31.339</w:t>
      </w:r>
    </w:p>
    <w:p w14:paraId="576B42F4" w14:textId="77777777" w:rsidR="003D00FC" w:rsidRPr="005E3B6E" w:rsidRDefault="00E45F76">
      <w:pPr>
        <w:pStyle w:val="BodyText"/>
        <w:spacing w:before="183" w:line="259" w:lineRule="auto"/>
        <w:ind w:left="119" w:right="323"/>
        <w:jc w:val="both"/>
      </w:pPr>
      <w:r w:rsidRPr="005E3B6E">
        <w:t>The OEIBB will require a report on an annual basis indicating the methodology, any changes</w:t>
      </w:r>
      <w:r w:rsidRPr="005E3B6E">
        <w:rPr>
          <w:spacing w:val="-25"/>
        </w:rPr>
        <w:t xml:space="preserve"> </w:t>
      </w:r>
      <w:r w:rsidRPr="005E3B6E">
        <w:t>from the previous year, and a review of appropriateness by the actuarial consultants employed by EGID for purposes of negotiating commercial benefit</w:t>
      </w:r>
      <w:r w:rsidRPr="005E3B6E">
        <w:rPr>
          <w:spacing w:val="-6"/>
        </w:rPr>
        <w:t xml:space="preserve"> </w:t>
      </w:r>
      <w:r w:rsidRPr="005E3B6E">
        <w:t>contracts.</w:t>
      </w:r>
    </w:p>
    <w:p w14:paraId="48F47EB4" w14:textId="77777777" w:rsidR="003D00FC" w:rsidRPr="005E3B6E" w:rsidRDefault="00E45F76">
      <w:pPr>
        <w:pStyle w:val="BodyText"/>
        <w:spacing w:before="159" w:line="259" w:lineRule="auto"/>
        <w:ind w:left="119" w:right="1150"/>
      </w:pPr>
      <w:r w:rsidRPr="005E3B6E">
        <w:lastRenderedPageBreak/>
        <w:t>At least once every five years, EGID staff is requested to have an independent study of its administrative costs performed. The purpose of this is</w:t>
      </w:r>
      <w:r w:rsidRPr="005E3B6E">
        <w:rPr>
          <w:spacing w:val="-5"/>
        </w:rPr>
        <w:t xml:space="preserve"> </w:t>
      </w:r>
      <w:r w:rsidRPr="005E3B6E">
        <w:t>to:</w:t>
      </w:r>
    </w:p>
    <w:p w14:paraId="16224F90" w14:textId="77777777" w:rsidR="001D7E48" w:rsidRPr="005E3B6E" w:rsidRDefault="001D7E48" w:rsidP="001D7E48">
      <w:pPr>
        <w:pStyle w:val="ListParagraph"/>
        <w:tabs>
          <w:tab w:val="left" w:pos="840"/>
        </w:tabs>
        <w:spacing w:line="275" w:lineRule="exact"/>
        <w:ind w:firstLine="0"/>
        <w:rPr>
          <w:sz w:val="24"/>
        </w:rPr>
      </w:pPr>
    </w:p>
    <w:p w14:paraId="66ADA717" w14:textId="2C9353EB" w:rsidR="003D00FC" w:rsidRPr="005E3B6E" w:rsidRDefault="00E45F76">
      <w:pPr>
        <w:pStyle w:val="ListParagraph"/>
        <w:numPr>
          <w:ilvl w:val="0"/>
          <w:numId w:val="3"/>
        </w:numPr>
        <w:tabs>
          <w:tab w:val="left" w:pos="840"/>
        </w:tabs>
        <w:spacing w:line="275" w:lineRule="exact"/>
        <w:ind w:hanging="361"/>
        <w:rPr>
          <w:sz w:val="24"/>
        </w:rPr>
      </w:pPr>
      <w:r w:rsidRPr="005E3B6E">
        <w:rPr>
          <w:sz w:val="24"/>
        </w:rPr>
        <w:t>Determine EGID’s administrative expense on a PMPM</w:t>
      </w:r>
      <w:r w:rsidRPr="005E3B6E">
        <w:rPr>
          <w:spacing w:val="-4"/>
          <w:sz w:val="24"/>
        </w:rPr>
        <w:t xml:space="preserve"> </w:t>
      </w:r>
      <w:r w:rsidRPr="005E3B6E">
        <w:rPr>
          <w:sz w:val="24"/>
        </w:rPr>
        <w:t>basis</w:t>
      </w:r>
      <w:r w:rsidR="00356C07" w:rsidRPr="005E3B6E">
        <w:rPr>
          <w:sz w:val="24"/>
        </w:rPr>
        <w:t>.</w:t>
      </w:r>
    </w:p>
    <w:p w14:paraId="2EF0062E" w14:textId="4B85DEBE" w:rsidR="003D00FC" w:rsidRPr="005E3B6E" w:rsidRDefault="00E45F76">
      <w:pPr>
        <w:pStyle w:val="ListParagraph"/>
        <w:numPr>
          <w:ilvl w:val="0"/>
          <w:numId w:val="3"/>
        </w:numPr>
        <w:tabs>
          <w:tab w:val="left" w:pos="840"/>
        </w:tabs>
        <w:spacing w:before="22"/>
        <w:ind w:hanging="361"/>
        <w:rPr>
          <w:sz w:val="24"/>
        </w:rPr>
      </w:pPr>
      <w:r w:rsidRPr="005E3B6E">
        <w:rPr>
          <w:sz w:val="24"/>
        </w:rPr>
        <w:t>Serve as the basis of administration fee allocation</w:t>
      </w:r>
      <w:r w:rsidR="00356C07" w:rsidRPr="005E3B6E">
        <w:rPr>
          <w:sz w:val="24"/>
        </w:rPr>
        <w:t>.</w:t>
      </w:r>
    </w:p>
    <w:p w14:paraId="4929F0F8" w14:textId="77777777" w:rsidR="003D00FC" w:rsidRPr="005E3B6E" w:rsidRDefault="00E45F76">
      <w:pPr>
        <w:pStyle w:val="ListParagraph"/>
        <w:numPr>
          <w:ilvl w:val="0"/>
          <w:numId w:val="3"/>
        </w:numPr>
        <w:tabs>
          <w:tab w:val="left" w:pos="840"/>
        </w:tabs>
        <w:spacing w:before="22" w:line="259" w:lineRule="auto"/>
        <w:ind w:right="455"/>
        <w:rPr>
          <w:sz w:val="24"/>
        </w:rPr>
      </w:pPr>
      <w:r w:rsidRPr="005E3B6E">
        <w:rPr>
          <w:sz w:val="24"/>
        </w:rPr>
        <w:t>Compare EGID to industry peers engaged in similar lines of business which are similar</w:t>
      </w:r>
      <w:r w:rsidRPr="005E3B6E">
        <w:rPr>
          <w:spacing w:val="-24"/>
          <w:sz w:val="24"/>
        </w:rPr>
        <w:t xml:space="preserve"> </w:t>
      </w:r>
      <w:r w:rsidRPr="005E3B6E">
        <w:rPr>
          <w:sz w:val="24"/>
        </w:rPr>
        <w:t>in scope of</w:t>
      </w:r>
      <w:r w:rsidRPr="005E3B6E">
        <w:rPr>
          <w:spacing w:val="-3"/>
          <w:sz w:val="24"/>
        </w:rPr>
        <w:t xml:space="preserve"> </w:t>
      </w:r>
      <w:r w:rsidRPr="005E3B6E">
        <w:rPr>
          <w:sz w:val="24"/>
        </w:rPr>
        <w:t>business.</w:t>
      </w:r>
    </w:p>
    <w:p w14:paraId="690E4743" w14:textId="77777777" w:rsidR="003D00FC" w:rsidRPr="005E3B6E" w:rsidRDefault="003D00FC">
      <w:pPr>
        <w:pStyle w:val="BodyText"/>
        <w:ind w:left="0"/>
        <w:rPr>
          <w:sz w:val="26"/>
        </w:rPr>
      </w:pPr>
    </w:p>
    <w:p w14:paraId="274AEB06" w14:textId="77777777" w:rsidR="003D00FC" w:rsidRPr="005E3B6E" w:rsidRDefault="00E45F76">
      <w:pPr>
        <w:pStyle w:val="Heading1"/>
        <w:jc w:val="both"/>
      </w:pPr>
      <w:r w:rsidRPr="005E3B6E">
        <w:t>SECTION IV. Risk Adjustment</w:t>
      </w:r>
    </w:p>
    <w:p w14:paraId="3E6D772D" w14:textId="32D7D6C4" w:rsidR="003D00FC" w:rsidRPr="005E3B6E" w:rsidRDefault="00E45F76" w:rsidP="00557EF6">
      <w:pPr>
        <w:pStyle w:val="BodyText"/>
        <w:spacing w:before="182" w:line="259" w:lineRule="auto"/>
        <w:ind w:left="119" w:right="381"/>
        <w:jc w:val="both"/>
      </w:pPr>
      <w:r w:rsidRPr="005E3B6E">
        <w:t>In order to provide for an equitable distribution of risk to be assumed by all contracted health plan carriers offered to the participants in this program, the OEIBB shall provide for a risk adjustment</w:t>
      </w:r>
      <w:r w:rsidR="00557EF6" w:rsidRPr="005E3B6E">
        <w:t xml:space="preserve"> </w:t>
      </w:r>
      <w:r w:rsidRPr="005E3B6E">
        <w:t>process between all health plan carriers that employs the use of sound actuarial principles. [74 O.S.</w:t>
      </w:r>
    </w:p>
    <w:p w14:paraId="0881BBF6" w14:textId="77777777" w:rsidR="003D00FC" w:rsidRPr="005E3B6E" w:rsidRDefault="00E45F76">
      <w:pPr>
        <w:pStyle w:val="BodyText"/>
        <w:spacing w:before="22"/>
        <w:ind w:left="119"/>
      </w:pPr>
      <w:r w:rsidRPr="005E3B6E">
        <w:t>§1371 (H)]</w:t>
      </w:r>
    </w:p>
    <w:p w14:paraId="74149233" w14:textId="77777777" w:rsidR="003D00FC" w:rsidRPr="005E3B6E" w:rsidRDefault="00E45F76">
      <w:pPr>
        <w:pStyle w:val="BodyText"/>
        <w:spacing w:before="182" w:line="259" w:lineRule="auto"/>
        <w:ind w:left="119" w:right="496" w:firstLine="60"/>
      </w:pPr>
      <w:r w:rsidRPr="005E3B6E">
        <w:t>The risk adjustment amounts are calculated by EGID’s actuarial consultants using the following steps:</w:t>
      </w:r>
    </w:p>
    <w:p w14:paraId="54399374" w14:textId="77777777" w:rsidR="003D00FC" w:rsidRPr="005E3B6E" w:rsidRDefault="00E45F76" w:rsidP="001D7E48">
      <w:pPr>
        <w:pStyle w:val="ListParagraph"/>
        <w:numPr>
          <w:ilvl w:val="0"/>
          <w:numId w:val="8"/>
        </w:numPr>
        <w:tabs>
          <w:tab w:val="left" w:pos="839"/>
          <w:tab w:val="left" w:pos="840"/>
        </w:tabs>
        <w:spacing w:before="160" w:line="259" w:lineRule="auto"/>
        <w:ind w:right="443"/>
        <w:rPr>
          <w:sz w:val="24"/>
        </w:rPr>
      </w:pPr>
      <w:r w:rsidRPr="005E3B6E">
        <w:rPr>
          <w:sz w:val="24"/>
        </w:rPr>
        <w:t>Take the program’s entire fully insured and self-funded non-Medicare covered</w:t>
      </w:r>
      <w:r w:rsidRPr="005E3B6E">
        <w:rPr>
          <w:spacing w:val="-18"/>
          <w:sz w:val="24"/>
        </w:rPr>
        <w:t xml:space="preserve"> </w:t>
      </w:r>
      <w:r w:rsidRPr="005E3B6E">
        <w:rPr>
          <w:sz w:val="24"/>
        </w:rPr>
        <w:t>population (primaries and dependents) and apply an age/gender factor to each member utilizing the Society of Actuaries age and gender risk factors. [Yamamoto, Dale. Health Care Costs – From Birth to Death: Society of Actuaries</w:t>
      </w:r>
      <w:r w:rsidRPr="005E3B6E">
        <w:rPr>
          <w:spacing w:val="-7"/>
          <w:sz w:val="24"/>
        </w:rPr>
        <w:t xml:space="preserve"> </w:t>
      </w:r>
      <w:r w:rsidRPr="005E3B6E">
        <w:rPr>
          <w:sz w:val="24"/>
        </w:rPr>
        <w:t>(2013)]</w:t>
      </w:r>
    </w:p>
    <w:p w14:paraId="3FDABCC1" w14:textId="77777777" w:rsidR="003D00FC" w:rsidRPr="005E3B6E" w:rsidRDefault="00E45F76" w:rsidP="001D7E48">
      <w:pPr>
        <w:pStyle w:val="ListParagraph"/>
        <w:numPr>
          <w:ilvl w:val="0"/>
          <w:numId w:val="8"/>
        </w:numPr>
        <w:tabs>
          <w:tab w:val="left" w:pos="839"/>
          <w:tab w:val="left" w:pos="840"/>
        </w:tabs>
        <w:spacing w:line="290" w:lineRule="exact"/>
        <w:rPr>
          <w:sz w:val="24"/>
        </w:rPr>
      </w:pPr>
      <w:r w:rsidRPr="005E3B6E">
        <w:rPr>
          <w:sz w:val="24"/>
        </w:rPr>
        <w:t>Normalize the factors to the overall population so that the average is 1.0 across the</w:t>
      </w:r>
      <w:r w:rsidRPr="005E3B6E">
        <w:rPr>
          <w:spacing w:val="-16"/>
          <w:sz w:val="24"/>
        </w:rPr>
        <w:t xml:space="preserve"> </w:t>
      </w:r>
      <w:r w:rsidRPr="005E3B6E">
        <w:rPr>
          <w:sz w:val="24"/>
        </w:rPr>
        <w:t>carriers.</w:t>
      </w:r>
    </w:p>
    <w:p w14:paraId="45881C5E" w14:textId="77777777" w:rsidR="003D00FC" w:rsidRPr="005E3B6E" w:rsidRDefault="00E45F76" w:rsidP="001D7E48">
      <w:pPr>
        <w:pStyle w:val="ListParagraph"/>
        <w:numPr>
          <w:ilvl w:val="0"/>
          <w:numId w:val="8"/>
        </w:numPr>
        <w:tabs>
          <w:tab w:val="left" w:pos="839"/>
          <w:tab w:val="left" w:pos="840"/>
        </w:tabs>
        <w:spacing w:before="22" w:line="259" w:lineRule="auto"/>
        <w:ind w:right="433"/>
        <w:rPr>
          <w:sz w:val="24"/>
        </w:rPr>
      </w:pPr>
      <w:r w:rsidRPr="005E3B6E">
        <w:rPr>
          <w:sz w:val="24"/>
        </w:rPr>
        <w:t>Calculate the premium volume (initial premiums multiplied by headcounts) by carrier and apply the normalized risk factor. The total balance to be reallocated among the carriers is the sum of all carriers’ differences between the risk adjusted premium and the initial premium.</w:t>
      </w:r>
    </w:p>
    <w:p w14:paraId="11B51D57" w14:textId="77777777" w:rsidR="003D00FC" w:rsidRPr="005E3B6E" w:rsidRDefault="00E45F76" w:rsidP="001D7E48">
      <w:pPr>
        <w:pStyle w:val="ListParagraph"/>
        <w:numPr>
          <w:ilvl w:val="0"/>
          <w:numId w:val="8"/>
        </w:numPr>
        <w:tabs>
          <w:tab w:val="left" w:pos="839"/>
          <w:tab w:val="left" w:pos="840"/>
        </w:tabs>
        <w:spacing w:line="256" w:lineRule="auto"/>
        <w:ind w:right="241"/>
        <w:rPr>
          <w:sz w:val="24"/>
        </w:rPr>
      </w:pPr>
      <w:r w:rsidRPr="005E3B6E">
        <w:rPr>
          <w:sz w:val="24"/>
        </w:rPr>
        <w:t>The sum of each carrier’s balance and allocated balance equals the risk adjustment based on each carrier’s risk factor. The risk adjustment is applied in the form of a payment or withholding (as appropriate) to each</w:t>
      </w:r>
      <w:r w:rsidRPr="005E3B6E">
        <w:rPr>
          <w:spacing w:val="-5"/>
          <w:sz w:val="24"/>
        </w:rPr>
        <w:t xml:space="preserve"> </w:t>
      </w:r>
      <w:r w:rsidRPr="005E3B6E">
        <w:rPr>
          <w:sz w:val="24"/>
        </w:rPr>
        <w:t>carrier.</w:t>
      </w:r>
    </w:p>
    <w:p w14:paraId="6C334840" w14:textId="040975F7" w:rsidR="003D00FC" w:rsidRPr="005E3B6E" w:rsidRDefault="00E45F76" w:rsidP="001D7E48">
      <w:pPr>
        <w:pStyle w:val="BodyText"/>
        <w:numPr>
          <w:ilvl w:val="1"/>
          <w:numId w:val="8"/>
        </w:numPr>
        <w:spacing w:before="3" w:line="249" w:lineRule="auto"/>
        <w:ind w:right="330"/>
      </w:pPr>
      <w:r w:rsidRPr="005E3B6E">
        <w:t>The overall net effect is zero, such that there is fairness across the carriers with no one carrier observing all of the healthy risk, while another carrier observes the poor risk and where that might be happening this helps to offset that.</w:t>
      </w:r>
    </w:p>
    <w:p w14:paraId="0667C18E" w14:textId="77777777" w:rsidR="003D00FC" w:rsidRPr="005E3B6E" w:rsidRDefault="00E45F76">
      <w:pPr>
        <w:pStyle w:val="BodyText"/>
        <w:spacing w:before="160"/>
        <w:ind w:left="119"/>
      </w:pPr>
      <w:r w:rsidRPr="005E3B6E">
        <w:t>Risk Adjustment Allocation Example (Refer also to Attachment A):</w:t>
      </w:r>
    </w:p>
    <w:p w14:paraId="55791344" w14:textId="77777777" w:rsidR="003D00FC" w:rsidRPr="005E3B6E" w:rsidRDefault="00E45F76">
      <w:pPr>
        <w:pStyle w:val="BodyText"/>
        <w:spacing w:before="183" w:line="259" w:lineRule="auto"/>
        <w:ind w:left="119" w:right="390"/>
      </w:pPr>
      <w:r w:rsidRPr="005E3B6E">
        <w:t>Carrier A has a risk score of 1.022, which is 2.2% riskier than the average of the overall population, which indicates that a payment to Carrier A will be made to help offset their exposure to a riskier population than the average.</w:t>
      </w:r>
    </w:p>
    <w:p w14:paraId="20E4F7C3" w14:textId="77777777" w:rsidR="003D00FC" w:rsidRPr="005E3B6E" w:rsidRDefault="00E45F76">
      <w:pPr>
        <w:pStyle w:val="ListParagraph"/>
        <w:numPr>
          <w:ilvl w:val="0"/>
          <w:numId w:val="1"/>
        </w:numPr>
        <w:tabs>
          <w:tab w:val="left" w:pos="840"/>
        </w:tabs>
        <w:spacing w:before="159"/>
        <w:ind w:right="681"/>
        <w:jc w:val="both"/>
        <w:rPr>
          <w:sz w:val="24"/>
        </w:rPr>
      </w:pPr>
      <w:r w:rsidRPr="005E3B6E">
        <w:rPr>
          <w:sz w:val="24"/>
        </w:rPr>
        <w:t>Initial Premiums – The final negotiated premiums for the plan year under consideration applied to membership (primaries and</w:t>
      </w:r>
      <w:r w:rsidRPr="005E3B6E">
        <w:rPr>
          <w:spacing w:val="-1"/>
          <w:sz w:val="24"/>
        </w:rPr>
        <w:t xml:space="preserve"> </w:t>
      </w:r>
      <w:r w:rsidRPr="005E3B6E">
        <w:rPr>
          <w:sz w:val="24"/>
        </w:rPr>
        <w:t>dependents).</w:t>
      </w:r>
    </w:p>
    <w:p w14:paraId="0B01C870" w14:textId="5A72F51D" w:rsidR="003D00FC" w:rsidRPr="005E3B6E" w:rsidRDefault="00E45F76">
      <w:pPr>
        <w:pStyle w:val="ListParagraph"/>
        <w:numPr>
          <w:ilvl w:val="0"/>
          <w:numId w:val="1"/>
        </w:numPr>
        <w:tabs>
          <w:tab w:val="left" w:pos="840"/>
        </w:tabs>
        <w:ind w:right="388"/>
        <w:jc w:val="both"/>
        <w:rPr>
          <w:sz w:val="24"/>
        </w:rPr>
      </w:pPr>
      <w:r w:rsidRPr="005E3B6E">
        <w:rPr>
          <w:sz w:val="24"/>
        </w:rPr>
        <w:t>Risk Adjusted Premium - Using Carrier A as an example, its initial premium of $5 million is adjusted to reflect its underlying risk relative to the overall program covered population. In the instance of Carrier</w:t>
      </w:r>
      <w:r w:rsidR="00356C07" w:rsidRPr="005E3B6E">
        <w:rPr>
          <w:sz w:val="24"/>
        </w:rPr>
        <w:t xml:space="preserve"> </w:t>
      </w:r>
      <w:r w:rsidRPr="005E3B6E">
        <w:rPr>
          <w:sz w:val="24"/>
        </w:rPr>
        <w:t>A, this is a 2.2% increase for total risk-adjusted premium of $5.1 million.</w:t>
      </w:r>
    </w:p>
    <w:p w14:paraId="5E7326EF" w14:textId="77777777" w:rsidR="003D00FC" w:rsidRPr="005E3B6E" w:rsidRDefault="00E45F76">
      <w:pPr>
        <w:pStyle w:val="ListParagraph"/>
        <w:numPr>
          <w:ilvl w:val="0"/>
          <w:numId w:val="1"/>
        </w:numPr>
        <w:tabs>
          <w:tab w:val="left" w:pos="840"/>
        </w:tabs>
        <w:ind w:right="461"/>
        <w:rPr>
          <w:sz w:val="24"/>
        </w:rPr>
      </w:pPr>
      <w:r w:rsidRPr="005E3B6E">
        <w:rPr>
          <w:sz w:val="24"/>
        </w:rPr>
        <w:t>Balance - The 2.2% adjustment for Carrier A is an increase or a balance of $110,000. The total adjustments across all carriers are summed, so in this example the total balance equates to</w:t>
      </w:r>
      <w:r w:rsidRPr="005E3B6E">
        <w:rPr>
          <w:spacing w:val="-1"/>
          <w:sz w:val="24"/>
        </w:rPr>
        <w:t xml:space="preserve"> </w:t>
      </w:r>
      <w:r w:rsidRPr="005E3B6E">
        <w:rPr>
          <w:sz w:val="24"/>
        </w:rPr>
        <w:t>$855,000.</w:t>
      </w:r>
    </w:p>
    <w:p w14:paraId="02A98C26" w14:textId="77777777" w:rsidR="003D00FC" w:rsidRPr="005E3B6E" w:rsidRDefault="00E45F76">
      <w:pPr>
        <w:pStyle w:val="ListParagraph"/>
        <w:numPr>
          <w:ilvl w:val="0"/>
          <w:numId w:val="1"/>
        </w:numPr>
        <w:tabs>
          <w:tab w:val="left" w:pos="840"/>
        </w:tabs>
        <w:spacing w:before="1"/>
        <w:ind w:right="549"/>
        <w:rPr>
          <w:sz w:val="24"/>
        </w:rPr>
      </w:pPr>
      <w:r w:rsidRPr="005E3B6E">
        <w:rPr>
          <w:sz w:val="24"/>
        </w:rPr>
        <w:t xml:space="preserve">Allocated Balance - The allocated balance is a function of the carrier’s risk adjusted premium volume relative to the total risk adjusted premium. </w:t>
      </w:r>
      <w:r w:rsidRPr="005E3B6E">
        <w:rPr>
          <w:spacing w:val="-3"/>
          <w:sz w:val="24"/>
        </w:rPr>
        <w:t xml:space="preserve">In </w:t>
      </w:r>
      <w:r w:rsidRPr="005E3B6E">
        <w:rPr>
          <w:sz w:val="24"/>
        </w:rPr>
        <w:t xml:space="preserve">the instance of </w:t>
      </w:r>
      <w:proofErr w:type="gramStart"/>
      <w:r w:rsidRPr="005E3B6E">
        <w:rPr>
          <w:sz w:val="24"/>
        </w:rPr>
        <w:t>Carrier</w:t>
      </w:r>
      <w:proofErr w:type="gramEnd"/>
      <w:r w:rsidRPr="005E3B6E">
        <w:rPr>
          <w:sz w:val="24"/>
        </w:rPr>
        <w:t xml:space="preserve"> A, they represent about 8.6% of the total risk adjusted premium volume ($5.1 million/$59.1 </w:t>
      </w:r>
      <w:r w:rsidRPr="005E3B6E">
        <w:rPr>
          <w:sz w:val="24"/>
        </w:rPr>
        <w:lastRenderedPageBreak/>
        <w:t>million). Therefore, the amount allocated back is ~8.6% of the total balance, which</w:t>
      </w:r>
      <w:r w:rsidRPr="005E3B6E">
        <w:rPr>
          <w:spacing w:val="-13"/>
          <w:sz w:val="24"/>
        </w:rPr>
        <w:t xml:space="preserve"> </w:t>
      </w:r>
      <w:r w:rsidRPr="005E3B6E">
        <w:rPr>
          <w:sz w:val="24"/>
        </w:rPr>
        <w:t>is</w:t>
      </w:r>
    </w:p>
    <w:p w14:paraId="3D7241CE" w14:textId="77777777" w:rsidR="003D00FC" w:rsidRPr="005E3B6E" w:rsidRDefault="00E45F76">
      <w:pPr>
        <w:pStyle w:val="BodyText"/>
        <w:spacing w:line="274" w:lineRule="exact"/>
      </w:pPr>
      <w:r w:rsidRPr="005E3B6E">
        <w:t>$73,870 for Carrier A.</w:t>
      </w:r>
    </w:p>
    <w:p w14:paraId="635357EC" w14:textId="77777777" w:rsidR="003D00FC" w:rsidRPr="005E3B6E" w:rsidRDefault="00E45F76">
      <w:pPr>
        <w:pStyle w:val="ListParagraph"/>
        <w:numPr>
          <w:ilvl w:val="0"/>
          <w:numId w:val="1"/>
        </w:numPr>
        <w:tabs>
          <w:tab w:val="left" w:pos="840"/>
        </w:tabs>
        <w:spacing w:line="259" w:lineRule="auto"/>
        <w:ind w:right="381"/>
        <w:rPr>
          <w:sz w:val="24"/>
        </w:rPr>
      </w:pPr>
      <w:r w:rsidRPr="005E3B6E">
        <w:rPr>
          <w:sz w:val="24"/>
        </w:rPr>
        <w:t>Risk Adjustment - The resulting payment is then the sum of the carrier’s balance and its allocated balance. In the example, this results in $183,870 paid to Carrier A. Carriers with risk scores above 1.0 will receive additional funds, while those with risk scores below 1.0 will have funds withheld. The sum of the risk adjustments across all carriers is a net zero impact.</w:t>
      </w:r>
    </w:p>
    <w:p w14:paraId="0F60F2A5" w14:textId="77777777" w:rsidR="003D00FC" w:rsidRDefault="003D00FC">
      <w:pPr>
        <w:spacing w:line="259" w:lineRule="auto"/>
        <w:rPr>
          <w:sz w:val="24"/>
        </w:rPr>
        <w:sectPr w:rsidR="003D00FC">
          <w:pgSz w:w="12240" w:h="15840"/>
          <w:pgMar w:top="360" w:right="1100" w:bottom="940" w:left="1220" w:header="0" w:footer="746" w:gutter="0"/>
          <w:cols w:space="720"/>
        </w:sectPr>
      </w:pPr>
    </w:p>
    <w:p w14:paraId="15496BBA" w14:textId="50113D2E" w:rsidR="003D00FC" w:rsidRDefault="00D904A1">
      <w:pPr>
        <w:spacing w:before="63"/>
        <w:ind w:left="6580" w:right="6591"/>
        <w:jc w:val="center"/>
        <w:rPr>
          <w:b/>
          <w:sz w:val="28"/>
        </w:rPr>
      </w:pPr>
      <w:r>
        <w:rPr>
          <w:noProof/>
        </w:rPr>
        <w:lastRenderedPageBreak/>
        <mc:AlternateContent>
          <mc:Choice Requires="wps">
            <w:drawing>
              <wp:anchor distT="0" distB="0" distL="114300" distR="114300" simplePos="0" relativeHeight="251227136" behindDoc="1" locked="0" layoutInCell="1" allowOverlap="1" wp14:anchorId="3EFE9EFA" wp14:editId="7BB0FE1B">
                <wp:simplePos x="0" y="0"/>
                <wp:positionH relativeFrom="page">
                  <wp:posOffset>462915</wp:posOffset>
                </wp:positionH>
                <wp:positionV relativeFrom="paragraph">
                  <wp:posOffset>1351915</wp:posOffset>
                </wp:positionV>
                <wp:extent cx="9315450" cy="1797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797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3DAFF" id="Rectangle 4" o:spid="_x0000_s1026" style="position:absolute;margin-left:36.45pt;margin-top:106.45pt;width:733.5pt;height:14.15pt;z-index:-25208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" fillcolor="#f1f1f1" stroked="f">
                <w10:wrap anchorx="page"/>
              </v:rect>
            </w:pict>
          </mc:Fallback>
        </mc:AlternateContent>
      </w:r>
      <w:r>
        <w:rPr>
          <w:noProof/>
        </w:rPr>
        <mc:AlternateContent>
          <mc:Choice Requires="wps">
            <w:drawing>
              <wp:anchor distT="0" distB="0" distL="114300" distR="114300" simplePos="0" relativeHeight="251228160" behindDoc="1" locked="0" layoutInCell="1" allowOverlap="1" wp14:anchorId="4925B8E8" wp14:editId="1B426281">
                <wp:simplePos x="0" y="0"/>
                <wp:positionH relativeFrom="page">
                  <wp:posOffset>462915</wp:posOffset>
                </wp:positionH>
                <wp:positionV relativeFrom="page">
                  <wp:posOffset>2296795</wp:posOffset>
                </wp:positionV>
                <wp:extent cx="9315450" cy="17970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797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A471A" id="Rectangle 3" o:spid="_x0000_s1026" style="position:absolute;margin-left:36.45pt;margin-top:180.85pt;width:733.5pt;height:14.1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" fillcolor="#f1f1f1" stroked="f">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47337F30" wp14:editId="376DEB8A">
                <wp:simplePos x="0" y="0"/>
                <wp:positionH relativeFrom="page">
                  <wp:posOffset>457200</wp:posOffset>
                </wp:positionH>
                <wp:positionV relativeFrom="paragraph">
                  <wp:posOffset>655955</wp:posOffset>
                </wp:positionV>
                <wp:extent cx="932116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2116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1721"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1.65pt" to="769.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" strokeweight="0">
                <w10:wrap anchorx="page"/>
              </v:line>
            </w:pict>
          </mc:Fallback>
        </mc:AlternateContent>
      </w:r>
      <w:r w:rsidR="00E45F76">
        <w:rPr>
          <w:b/>
          <w:sz w:val="28"/>
        </w:rPr>
        <w:t>Attachment A</w:t>
      </w:r>
    </w:p>
    <w:p w14:paraId="3CB6727F" w14:textId="77777777" w:rsidR="003D00FC" w:rsidRDefault="003D00FC">
      <w:pPr>
        <w:pStyle w:val="BodyText"/>
        <w:ind w:left="0"/>
        <w:rPr>
          <w:b/>
          <w:sz w:val="20"/>
        </w:rPr>
      </w:pPr>
    </w:p>
    <w:p w14:paraId="3E534741" w14:textId="77777777" w:rsidR="003D00FC" w:rsidRDefault="003D00FC">
      <w:pPr>
        <w:pStyle w:val="BodyText"/>
        <w:ind w:left="0"/>
        <w:rPr>
          <w:b/>
          <w:sz w:val="20"/>
        </w:rPr>
      </w:pPr>
    </w:p>
    <w:p w14:paraId="1BE16FA4" w14:textId="77777777" w:rsidR="003D00FC" w:rsidRDefault="003D00FC">
      <w:pPr>
        <w:pStyle w:val="BodyText"/>
        <w:spacing w:before="4"/>
        <w:ind w:left="0"/>
        <w:rPr>
          <w:b/>
          <w:sz w:val="16"/>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4"/>
        <w:gridCol w:w="1729"/>
        <w:gridCol w:w="1729"/>
        <w:gridCol w:w="1811"/>
        <w:gridCol w:w="1811"/>
        <w:gridCol w:w="1811"/>
        <w:gridCol w:w="2095"/>
      </w:tblGrid>
      <w:tr w:rsidR="003D00FC" w14:paraId="286F4AB6" w14:textId="77777777">
        <w:trPr>
          <w:trHeight w:val="263"/>
        </w:trPr>
        <w:tc>
          <w:tcPr>
            <w:tcW w:w="14660" w:type="dxa"/>
            <w:gridSpan w:val="7"/>
            <w:tcBorders>
              <w:left w:val="nil"/>
            </w:tcBorders>
            <w:shd w:val="clear" w:color="auto" w:fill="BEBEBE"/>
          </w:tcPr>
          <w:p w14:paraId="3284B70D" w14:textId="77777777" w:rsidR="003D00FC" w:rsidRDefault="00E45F76">
            <w:pPr>
              <w:pStyle w:val="TableParagraph"/>
              <w:spacing w:before="9" w:line="234" w:lineRule="exact"/>
              <w:ind w:left="6293" w:right="6277"/>
              <w:rPr>
                <w:b/>
                <w:sz w:val="21"/>
              </w:rPr>
            </w:pPr>
            <w:r>
              <w:rPr>
                <w:b/>
                <w:sz w:val="21"/>
              </w:rPr>
              <w:t>2019 Premium Transfer</w:t>
            </w:r>
          </w:p>
        </w:tc>
      </w:tr>
      <w:tr w:rsidR="003D00FC" w14:paraId="10B5F980" w14:textId="77777777">
        <w:trPr>
          <w:trHeight w:val="263"/>
        </w:trPr>
        <w:tc>
          <w:tcPr>
            <w:tcW w:w="3674" w:type="dxa"/>
            <w:tcBorders>
              <w:left w:val="nil"/>
            </w:tcBorders>
            <w:shd w:val="clear" w:color="auto" w:fill="BEBEBE"/>
          </w:tcPr>
          <w:p w14:paraId="5091EB8D" w14:textId="77777777" w:rsidR="003D00FC" w:rsidRDefault="003D00FC">
            <w:pPr>
              <w:pStyle w:val="TableParagraph"/>
              <w:jc w:val="left"/>
              <w:rPr>
                <w:rFonts w:ascii="Times New Roman"/>
                <w:sz w:val="18"/>
              </w:rPr>
            </w:pPr>
          </w:p>
        </w:tc>
        <w:tc>
          <w:tcPr>
            <w:tcW w:w="1729" w:type="dxa"/>
            <w:shd w:val="clear" w:color="auto" w:fill="BEBEBE"/>
          </w:tcPr>
          <w:p w14:paraId="09066C59" w14:textId="77777777" w:rsidR="003D00FC" w:rsidRDefault="00E45F76">
            <w:pPr>
              <w:pStyle w:val="TableParagraph"/>
              <w:spacing w:before="9" w:line="234" w:lineRule="exact"/>
              <w:ind w:left="299" w:right="290"/>
              <w:rPr>
                <w:b/>
                <w:sz w:val="21"/>
              </w:rPr>
            </w:pPr>
            <w:r>
              <w:rPr>
                <w:b/>
                <w:sz w:val="21"/>
              </w:rPr>
              <w:t>Carrier A</w:t>
            </w:r>
          </w:p>
        </w:tc>
        <w:tc>
          <w:tcPr>
            <w:tcW w:w="1729" w:type="dxa"/>
            <w:shd w:val="clear" w:color="auto" w:fill="BEBEBE"/>
          </w:tcPr>
          <w:p w14:paraId="567749EE" w14:textId="77777777" w:rsidR="003D00FC" w:rsidRDefault="00E45F76">
            <w:pPr>
              <w:pStyle w:val="TableParagraph"/>
              <w:spacing w:before="9" w:line="234" w:lineRule="exact"/>
              <w:ind w:left="303" w:right="284"/>
              <w:rPr>
                <w:b/>
                <w:sz w:val="21"/>
              </w:rPr>
            </w:pPr>
            <w:r>
              <w:rPr>
                <w:b/>
                <w:sz w:val="21"/>
              </w:rPr>
              <w:t>Carrier B</w:t>
            </w:r>
          </w:p>
        </w:tc>
        <w:tc>
          <w:tcPr>
            <w:tcW w:w="1811" w:type="dxa"/>
            <w:shd w:val="clear" w:color="auto" w:fill="BEBEBE"/>
          </w:tcPr>
          <w:p w14:paraId="395C00C2" w14:textId="77777777" w:rsidR="003D00FC" w:rsidRDefault="00E45F76">
            <w:pPr>
              <w:pStyle w:val="TableParagraph"/>
              <w:spacing w:before="9" w:line="234" w:lineRule="exact"/>
              <w:ind w:left="536"/>
              <w:jc w:val="left"/>
              <w:rPr>
                <w:b/>
                <w:sz w:val="21"/>
              </w:rPr>
            </w:pPr>
            <w:r>
              <w:rPr>
                <w:b/>
                <w:sz w:val="21"/>
              </w:rPr>
              <w:t>Carrier C</w:t>
            </w:r>
          </w:p>
        </w:tc>
        <w:tc>
          <w:tcPr>
            <w:tcW w:w="1811" w:type="dxa"/>
            <w:shd w:val="clear" w:color="auto" w:fill="BEBEBE"/>
          </w:tcPr>
          <w:p w14:paraId="1995EF64" w14:textId="77777777" w:rsidR="003D00FC" w:rsidRDefault="00E45F76">
            <w:pPr>
              <w:pStyle w:val="TableParagraph"/>
              <w:spacing w:before="9" w:line="234" w:lineRule="exact"/>
              <w:ind w:left="343" w:right="333"/>
              <w:rPr>
                <w:b/>
                <w:sz w:val="21"/>
              </w:rPr>
            </w:pPr>
            <w:r>
              <w:rPr>
                <w:b/>
                <w:sz w:val="21"/>
              </w:rPr>
              <w:t>Carrier D</w:t>
            </w:r>
          </w:p>
        </w:tc>
        <w:tc>
          <w:tcPr>
            <w:tcW w:w="1811" w:type="dxa"/>
            <w:shd w:val="clear" w:color="auto" w:fill="BEBEBE"/>
          </w:tcPr>
          <w:p w14:paraId="280D8BCC" w14:textId="77777777" w:rsidR="003D00FC" w:rsidRDefault="00E45F76">
            <w:pPr>
              <w:pStyle w:val="TableParagraph"/>
              <w:spacing w:before="9" w:line="234" w:lineRule="exact"/>
              <w:ind w:left="351" w:right="333"/>
              <w:rPr>
                <w:b/>
                <w:sz w:val="21"/>
              </w:rPr>
            </w:pPr>
            <w:r>
              <w:rPr>
                <w:b/>
                <w:sz w:val="21"/>
              </w:rPr>
              <w:t>Carrier E</w:t>
            </w:r>
          </w:p>
        </w:tc>
        <w:tc>
          <w:tcPr>
            <w:tcW w:w="2095" w:type="dxa"/>
            <w:shd w:val="clear" w:color="auto" w:fill="BEBEBE"/>
          </w:tcPr>
          <w:p w14:paraId="2AB8DAFE" w14:textId="77777777" w:rsidR="003D00FC" w:rsidRDefault="00E45F76">
            <w:pPr>
              <w:pStyle w:val="TableParagraph"/>
              <w:spacing w:before="9" w:line="234" w:lineRule="exact"/>
              <w:ind w:left="485" w:right="470"/>
              <w:rPr>
                <w:b/>
                <w:sz w:val="21"/>
              </w:rPr>
            </w:pPr>
            <w:r>
              <w:rPr>
                <w:b/>
                <w:sz w:val="21"/>
              </w:rPr>
              <w:t>Total</w:t>
            </w:r>
          </w:p>
        </w:tc>
      </w:tr>
      <w:tr w:rsidR="003D00FC" w14:paraId="76FAE2CD" w14:textId="77777777">
        <w:trPr>
          <w:trHeight w:val="263"/>
        </w:trPr>
        <w:tc>
          <w:tcPr>
            <w:tcW w:w="3674" w:type="dxa"/>
            <w:tcBorders>
              <w:left w:val="nil"/>
            </w:tcBorders>
          </w:tcPr>
          <w:p w14:paraId="303151F5" w14:textId="77777777" w:rsidR="003D00FC" w:rsidRDefault="00E45F76">
            <w:pPr>
              <w:pStyle w:val="TableParagraph"/>
              <w:spacing w:before="9" w:line="234" w:lineRule="exact"/>
              <w:ind w:left="31"/>
              <w:jc w:val="left"/>
              <w:rPr>
                <w:b/>
                <w:sz w:val="21"/>
              </w:rPr>
            </w:pPr>
            <w:r>
              <w:rPr>
                <w:b/>
                <w:sz w:val="21"/>
              </w:rPr>
              <w:t>Member Months</w:t>
            </w:r>
          </w:p>
        </w:tc>
        <w:tc>
          <w:tcPr>
            <w:tcW w:w="1729" w:type="dxa"/>
          </w:tcPr>
          <w:p w14:paraId="6F21EF28" w14:textId="77777777" w:rsidR="003D00FC" w:rsidRDefault="00E45F76">
            <w:pPr>
              <w:pStyle w:val="TableParagraph"/>
              <w:spacing w:before="9" w:line="234" w:lineRule="exact"/>
              <w:ind w:left="300" w:right="290"/>
              <w:rPr>
                <w:b/>
                <w:sz w:val="21"/>
              </w:rPr>
            </w:pPr>
            <w:r>
              <w:rPr>
                <w:b/>
                <w:sz w:val="21"/>
              </w:rPr>
              <w:t>10,000</w:t>
            </w:r>
          </w:p>
        </w:tc>
        <w:tc>
          <w:tcPr>
            <w:tcW w:w="1729" w:type="dxa"/>
          </w:tcPr>
          <w:p w14:paraId="03E0B27E" w14:textId="77777777" w:rsidR="003D00FC" w:rsidRDefault="00E45F76">
            <w:pPr>
              <w:pStyle w:val="TableParagraph"/>
              <w:spacing w:before="9" w:line="234" w:lineRule="exact"/>
              <w:ind w:left="301" w:right="290"/>
              <w:rPr>
                <w:b/>
                <w:sz w:val="21"/>
              </w:rPr>
            </w:pPr>
            <w:r>
              <w:rPr>
                <w:b/>
                <w:sz w:val="21"/>
              </w:rPr>
              <w:t>10,000</w:t>
            </w:r>
          </w:p>
        </w:tc>
        <w:tc>
          <w:tcPr>
            <w:tcW w:w="1811" w:type="dxa"/>
          </w:tcPr>
          <w:p w14:paraId="5E2C410C" w14:textId="77777777" w:rsidR="003D00FC" w:rsidRDefault="00E45F76">
            <w:pPr>
              <w:pStyle w:val="TableParagraph"/>
              <w:spacing w:before="9" w:line="234" w:lineRule="exact"/>
              <w:ind w:left="609"/>
              <w:jc w:val="left"/>
              <w:rPr>
                <w:b/>
                <w:sz w:val="21"/>
              </w:rPr>
            </w:pPr>
            <w:r>
              <w:rPr>
                <w:b/>
                <w:sz w:val="21"/>
              </w:rPr>
              <w:t>10,000</w:t>
            </w:r>
          </w:p>
        </w:tc>
        <w:tc>
          <w:tcPr>
            <w:tcW w:w="1811" w:type="dxa"/>
          </w:tcPr>
          <w:p w14:paraId="62C848D1" w14:textId="77777777" w:rsidR="003D00FC" w:rsidRDefault="00E45F76">
            <w:pPr>
              <w:pStyle w:val="TableParagraph"/>
              <w:spacing w:before="9" w:line="234" w:lineRule="exact"/>
              <w:ind w:left="357" w:right="333"/>
              <w:rPr>
                <w:b/>
                <w:sz w:val="21"/>
              </w:rPr>
            </w:pPr>
            <w:r>
              <w:rPr>
                <w:b/>
                <w:sz w:val="21"/>
              </w:rPr>
              <w:t>10,000</w:t>
            </w:r>
          </w:p>
        </w:tc>
        <w:tc>
          <w:tcPr>
            <w:tcW w:w="1811" w:type="dxa"/>
          </w:tcPr>
          <w:p w14:paraId="389E6380" w14:textId="77777777" w:rsidR="003D00FC" w:rsidRDefault="00E45F76">
            <w:pPr>
              <w:pStyle w:val="TableParagraph"/>
              <w:spacing w:before="9" w:line="234" w:lineRule="exact"/>
              <w:ind w:left="359" w:right="333"/>
              <w:rPr>
                <w:b/>
                <w:sz w:val="21"/>
              </w:rPr>
            </w:pPr>
            <w:r>
              <w:rPr>
                <w:b/>
                <w:sz w:val="21"/>
              </w:rPr>
              <w:t>10,000</w:t>
            </w:r>
          </w:p>
        </w:tc>
        <w:tc>
          <w:tcPr>
            <w:tcW w:w="2095" w:type="dxa"/>
          </w:tcPr>
          <w:p w14:paraId="2F5BFCB8" w14:textId="77777777" w:rsidR="003D00FC" w:rsidRDefault="00E45F76">
            <w:pPr>
              <w:pStyle w:val="TableParagraph"/>
              <w:spacing w:before="9" w:line="234" w:lineRule="exact"/>
              <w:ind w:left="489" w:right="470"/>
              <w:rPr>
                <w:b/>
                <w:sz w:val="21"/>
              </w:rPr>
            </w:pPr>
            <w:r>
              <w:rPr>
                <w:b/>
                <w:sz w:val="21"/>
              </w:rPr>
              <w:t>50,000</w:t>
            </w:r>
          </w:p>
        </w:tc>
      </w:tr>
      <w:tr w:rsidR="003D00FC" w14:paraId="78C34885" w14:textId="77777777">
        <w:trPr>
          <w:trHeight w:val="1360"/>
        </w:trPr>
        <w:tc>
          <w:tcPr>
            <w:tcW w:w="3674" w:type="dxa"/>
            <w:tcBorders>
              <w:left w:val="nil"/>
              <w:bottom w:val="nil"/>
            </w:tcBorders>
          </w:tcPr>
          <w:p w14:paraId="11DBC903" w14:textId="77777777" w:rsidR="003D00FC" w:rsidRDefault="003D00FC">
            <w:pPr>
              <w:pStyle w:val="TableParagraph"/>
              <w:spacing w:before="7"/>
              <w:jc w:val="left"/>
              <w:rPr>
                <w:rFonts w:ascii="Times New Roman"/>
                <w:b/>
                <w:sz w:val="24"/>
              </w:rPr>
            </w:pPr>
          </w:p>
          <w:p w14:paraId="37BB395A" w14:textId="77777777" w:rsidR="003D00FC" w:rsidRDefault="00E45F76">
            <w:pPr>
              <w:pStyle w:val="TableParagraph"/>
              <w:ind w:left="32"/>
              <w:jc w:val="left"/>
              <w:rPr>
                <w:sz w:val="21"/>
              </w:rPr>
            </w:pPr>
            <w:r>
              <w:rPr>
                <w:sz w:val="21"/>
              </w:rPr>
              <w:t>Initial Premiums (Primary &amp; Dependents)</w:t>
            </w:r>
          </w:p>
          <w:p w14:paraId="2494138E" w14:textId="77777777" w:rsidR="003D00FC" w:rsidRDefault="00E45F76">
            <w:pPr>
              <w:pStyle w:val="TableParagraph"/>
              <w:spacing w:before="18"/>
              <w:ind w:left="32"/>
              <w:jc w:val="left"/>
              <w:rPr>
                <w:b/>
                <w:sz w:val="21"/>
              </w:rPr>
            </w:pPr>
            <w:r>
              <w:rPr>
                <w:b/>
                <w:sz w:val="21"/>
              </w:rPr>
              <w:t>Factor</w:t>
            </w:r>
          </w:p>
          <w:p w14:paraId="5FBEEA9A" w14:textId="77777777" w:rsidR="003D00FC" w:rsidRDefault="00E45F76">
            <w:pPr>
              <w:pStyle w:val="TableParagraph"/>
              <w:spacing w:before="17"/>
              <w:ind w:left="32"/>
              <w:jc w:val="left"/>
              <w:rPr>
                <w:sz w:val="21"/>
              </w:rPr>
            </w:pPr>
            <w:r>
              <w:rPr>
                <w:sz w:val="21"/>
              </w:rPr>
              <w:t>Risk Adj Premiums</w:t>
            </w:r>
          </w:p>
          <w:p w14:paraId="3A3B02BE" w14:textId="77777777" w:rsidR="003D00FC" w:rsidRDefault="00E45F76">
            <w:pPr>
              <w:pStyle w:val="TableParagraph"/>
              <w:spacing w:before="18" w:line="235" w:lineRule="exact"/>
              <w:ind w:left="32"/>
              <w:jc w:val="left"/>
              <w:rPr>
                <w:sz w:val="21"/>
              </w:rPr>
            </w:pPr>
            <w:r>
              <w:rPr>
                <w:sz w:val="21"/>
              </w:rPr>
              <w:t>(a) Balance</w:t>
            </w:r>
          </w:p>
        </w:tc>
        <w:tc>
          <w:tcPr>
            <w:tcW w:w="1729" w:type="dxa"/>
            <w:tcBorders>
              <w:bottom w:val="nil"/>
            </w:tcBorders>
          </w:tcPr>
          <w:p w14:paraId="04E502FA" w14:textId="77777777" w:rsidR="003D00FC" w:rsidRDefault="003D00FC">
            <w:pPr>
              <w:pStyle w:val="TableParagraph"/>
              <w:spacing w:before="7"/>
              <w:jc w:val="left"/>
              <w:rPr>
                <w:rFonts w:ascii="Times New Roman"/>
                <w:b/>
                <w:sz w:val="24"/>
              </w:rPr>
            </w:pPr>
          </w:p>
          <w:p w14:paraId="60AFDD07" w14:textId="77777777" w:rsidR="003D00FC" w:rsidRDefault="00E45F76">
            <w:pPr>
              <w:pStyle w:val="TableParagraph"/>
              <w:ind w:left="300" w:right="290"/>
              <w:rPr>
                <w:sz w:val="21"/>
              </w:rPr>
            </w:pPr>
            <w:r>
              <w:rPr>
                <w:sz w:val="21"/>
              </w:rPr>
              <w:t>$5,000,000</w:t>
            </w:r>
          </w:p>
          <w:p w14:paraId="55BF35D3" w14:textId="77777777" w:rsidR="003D00FC" w:rsidRDefault="00E45F76">
            <w:pPr>
              <w:pStyle w:val="TableParagraph"/>
              <w:spacing w:before="18"/>
              <w:ind w:left="301" w:right="290"/>
              <w:rPr>
                <w:b/>
                <w:sz w:val="21"/>
              </w:rPr>
            </w:pPr>
            <w:r>
              <w:rPr>
                <w:b/>
                <w:sz w:val="21"/>
              </w:rPr>
              <w:t>1.022</w:t>
            </w:r>
          </w:p>
          <w:p w14:paraId="2380C927" w14:textId="77777777" w:rsidR="003D00FC" w:rsidRDefault="00E45F76">
            <w:pPr>
              <w:pStyle w:val="TableParagraph"/>
              <w:spacing w:before="17"/>
              <w:ind w:left="301" w:right="290"/>
              <w:rPr>
                <w:sz w:val="21"/>
              </w:rPr>
            </w:pPr>
            <w:r>
              <w:rPr>
                <w:sz w:val="21"/>
              </w:rPr>
              <w:t>$5,110,000</w:t>
            </w:r>
          </w:p>
          <w:p w14:paraId="1EB1AD6B" w14:textId="77777777" w:rsidR="003D00FC" w:rsidRDefault="00E45F76">
            <w:pPr>
              <w:pStyle w:val="TableParagraph"/>
              <w:spacing w:before="18" w:line="235" w:lineRule="exact"/>
              <w:ind w:left="302" w:right="290"/>
              <w:rPr>
                <w:sz w:val="21"/>
              </w:rPr>
            </w:pPr>
            <w:r>
              <w:rPr>
                <w:sz w:val="21"/>
              </w:rPr>
              <w:t>$110,000</w:t>
            </w:r>
          </w:p>
        </w:tc>
        <w:tc>
          <w:tcPr>
            <w:tcW w:w="1729" w:type="dxa"/>
            <w:tcBorders>
              <w:bottom w:val="nil"/>
            </w:tcBorders>
          </w:tcPr>
          <w:p w14:paraId="2156A9F4" w14:textId="77777777" w:rsidR="003D00FC" w:rsidRDefault="003D00FC">
            <w:pPr>
              <w:pStyle w:val="TableParagraph"/>
              <w:spacing w:before="7"/>
              <w:jc w:val="left"/>
              <w:rPr>
                <w:rFonts w:ascii="Times New Roman"/>
                <w:b/>
                <w:sz w:val="24"/>
              </w:rPr>
            </w:pPr>
          </w:p>
          <w:p w14:paraId="14C2C571" w14:textId="77777777" w:rsidR="003D00FC" w:rsidRDefault="00E45F76">
            <w:pPr>
              <w:pStyle w:val="TableParagraph"/>
              <w:ind w:left="302" w:right="290"/>
              <w:rPr>
                <w:sz w:val="21"/>
              </w:rPr>
            </w:pPr>
            <w:r>
              <w:rPr>
                <w:sz w:val="21"/>
              </w:rPr>
              <w:t>$20,000,000</w:t>
            </w:r>
          </w:p>
          <w:p w14:paraId="0F1D44B0" w14:textId="77777777" w:rsidR="003D00FC" w:rsidRDefault="00E45F76">
            <w:pPr>
              <w:pStyle w:val="TableParagraph"/>
              <w:spacing w:before="18"/>
              <w:ind w:left="302" w:right="290"/>
              <w:rPr>
                <w:b/>
                <w:sz w:val="21"/>
              </w:rPr>
            </w:pPr>
            <w:r>
              <w:rPr>
                <w:b/>
                <w:sz w:val="21"/>
              </w:rPr>
              <w:t>0.905</w:t>
            </w:r>
          </w:p>
          <w:p w14:paraId="70E0D619" w14:textId="77777777" w:rsidR="003D00FC" w:rsidRDefault="00E45F76">
            <w:pPr>
              <w:pStyle w:val="TableParagraph"/>
              <w:spacing w:before="17"/>
              <w:ind w:left="303" w:right="290"/>
              <w:rPr>
                <w:sz w:val="21"/>
              </w:rPr>
            </w:pPr>
            <w:r>
              <w:rPr>
                <w:spacing w:val="2"/>
                <w:sz w:val="21"/>
              </w:rPr>
              <w:t>$18,100,000</w:t>
            </w:r>
          </w:p>
          <w:p w14:paraId="7C8265D4" w14:textId="77777777" w:rsidR="003D00FC" w:rsidRDefault="00E45F76">
            <w:pPr>
              <w:pStyle w:val="TableParagraph"/>
              <w:spacing w:before="18" w:line="235" w:lineRule="exact"/>
              <w:ind w:left="303" w:right="281"/>
              <w:rPr>
                <w:sz w:val="21"/>
              </w:rPr>
            </w:pPr>
            <w:r>
              <w:rPr>
                <w:spacing w:val="2"/>
                <w:sz w:val="21"/>
              </w:rPr>
              <w:t>-$1,900,000</w:t>
            </w:r>
          </w:p>
        </w:tc>
        <w:tc>
          <w:tcPr>
            <w:tcW w:w="1811" w:type="dxa"/>
            <w:tcBorders>
              <w:bottom w:val="nil"/>
            </w:tcBorders>
          </w:tcPr>
          <w:p w14:paraId="318973D2" w14:textId="77777777" w:rsidR="003D00FC" w:rsidRDefault="003D00FC">
            <w:pPr>
              <w:pStyle w:val="TableParagraph"/>
              <w:spacing w:before="7"/>
              <w:jc w:val="left"/>
              <w:rPr>
                <w:rFonts w:ascii="Times New Roman"/>
                <w:b/>
                <w:sz w:val="24"/>
              </w:rPr>
            </w:pPr>
          </w:p>
          <w:p w14:paraId="012D183C" w14:textId="77777777" w:rsidR="003D00FC" w:rsidRDefault="00E45F76">
            <w:pPr>
              <w:pStyle w:val="TableParagraph"/>
              <w:ind w:left="356" w:right="333"/>
              <w:rPr>
                <w:sz w:val="21"/>
              </w:rPr>
            </w:pPr>
            <w:r>
              <w:rPr>
                <w:sz w:val="21"/>
              </w:rPr>
              <w:t>$10,000,000</w:t>
            </w:r>
          </w:p>
          <w:p w14:paraId="3A075A36" w14:textId="77777777" w:rsidR="003D00FC" w:rsidRDefault="00E45F76">
            <w:pPr>
              <w:pStyle w:val="TableParagraph"/>
              <w:spacing w:before="18"/>
              <w:ind w:left="356" w:right="333"/>
              <w:rPr>
                <w:b/>
                <w:sz w:val="21"/>
              </w:rPr>
            </w:pPr>
            <w:r>
              <w:rPr>
                <w:b/>
                <w:sz w:val="21"/>
              </w:rPr>
              <w:t>1.302</w:t>
            </w:r>
          </w:p>
          <w:p w14:paraId="471CAE19" w14:textId="77777777" w:rsidR="003D00FC" w:rsidRDefault="00E45F76">
            <w:pPr>
              <w:pStyle w:val="TableParagraph"/>
              <w:spacing w:before="17"/>
              <w:ind w:left="357" w:right="333"/>
              <w:rPr>
                <w:sz w:val="21"/>
              </w:rPr>
            </w:pPr>
            <w:r>
              <w:rPr>
                <w:sz w:val="21"/>
              </w:rPr>
              <w:t>$13,020,000</w:t>
            </w:r>
          </w:p>
          <w:p w14:paraId="324FCA47" w14:textId="77777777" w:rsidR="003D00FC" w:rsidRDefault="00E45F76">
            <w:pPr>
              <w:pStyle w:val="TableParagraph"/>
              <w:spacing w:before="18" w:line="235" w:lineRule="exact"/>
              <w:ind w:left="357" w:right="333"/>
              <w:rPr>
                <w:sz w:val="21"/>
              </w:rPr>
            </w:pPr>
            <w:r>
              <w:rPr>
                <w:sz w:val="21"/>
              </w:rPr>
              <w:t>$3,020,000</w:t>
            </w:r>
          </w:p>
        </w:tc>
        <w:tc>
          <w:tcPr>
            <w:tcW w:w="1811" w:type="dxa"/>
            <w:tcBorders>
              <w:bottom w:val="nil"/>
            </w:tcBorders>
          </w:tcPr>
          <w:p w14:paraId="3A0FCD6D" w14:textId="77777777" w:rsidR="003D00FC" w:rsidRDefault="003D00FC">
            <w:pPr>
              <w:pStyle w:val="TableParagraph"/>
              <w:spacing w:before="7"/>
              <w:jc w:val="left"/>
              <w:rPr>
                <w:rFonts w:ascii="Times New Roman"/>
                <w:b/>
                <w:sz w:val="24"/>
              </w:rPr>
            </w:pPr>
          </w:p>
          <w:p w14:paraId="0B489AF4" w14:textId="77777777" w:rsidR="003D00FC" w:rsidRDefault="00E45F76">
            <w:pPr>
              <w:pStyle w:val="TableParagraph"/>
              <w:ind w:left="358" w:right="333"/>
              <w:rPr>
                <w:sz w:val="21"/>
              </w:rPr>
            </w:pPr>
            <w:r>
              <w:rPr>
                <w:sz w:val="21"/>
              </w:rPr>
              <w:t>$15,000,000</w:t>
            </w:r>
          </w:p>
          <w:p w14:paraId="7B6D39A2" w14:textId="77777777" w:rsidR="003D00FC" w:rsidRDefault="00E45F76">
            <w:pPr>
              <w:pStyle w:val="TableParagraph"/>
              <w:spacing w:before="18"/>
              <w:ind w:left="358" w:right="333"/>
              <w:rPr>
                <w:b/>
                <w:sz w:val="21"/>
              </w:rPr>
            </w:pPr>
            <w:r>
              <w:rPr>
                <w:b/>
                <w:sz w:val="21"/>
              </w:rPr>
              <w:t>1.041</w:t>
            </w:r>
          </w:p>
          <w:p w14:paraId="2849087E" w14:textId="77777777" w:rsidR="003D00FC" w:rsidRDefault="00E45F76">
            <w:pPr>
              <w:pStyle w:val="TableParagraph"/>
              <w:spacing w:before="17"/>
              <w:ind w:left="359" w:right="333"/>
              <w:rPr>
                <w:sz w:val="21"/>
              </w:rPr>
            </w:pPr>
            <w:r>
              <w:rPr>
                <w:sz w:val="21"/>
              </w:rPr>
              <w:t>$15,615,000</w:t>
            </w:r>
          </w:p>
          <w:p w14:paraId="14D7A15E" w14:textId="77777777" w:rsidR="003D00FC" w:rsidRDefault="00E45F76">
            <w:pPr>
              <w:pStyle w:val="TableParagraph"/>
              <w:spacing w:before="18" w:line="235" w:lineRule="exact"/>
              <w:ind w:left="359" w:right="333"/>
              <w:rPr>
                <w:sz w:val="21"/>
              </w:rPr>
            </w:pPr>
            <w:r>
              <w:rPr>
                <w:sz w:val="21"/>
              </w:rPr>
              <w:t>$615,000</w:t>
            </w:r>
          </w:p>
        </w:tc>
        <w:tc>
          <w:tcPr>
            <w:tcW w:w="1811" w:type="dxa"/>
            <w:tcBorders>
              <w:bottom w:val="nil"/>
            </w:tcBorders>
          </w:tcPr>
          <w:p w14:paraId="2F565397" w14:textId="77777777" w:rsidR="003D00FC" w:rsidRDefault="003D00FC">
            <w:pPr>
              <w:pStyle w:val="TableParagraph"/>
              <w:spacing w:before="7"/>
              <w:jc w:val="left"/>
              <w:rPr>
                <w:rFonts w:ascii="Times New Roman"/>
                <w:b/>
                <w:sz w:val="24"/>
              </w:rPr>
            </w:pPr>
          </w:p>
          <w:p w14:paraId="1DD1836D" w14:textId="77777777" w:rsidR="003D00FC" w:rsidRDefault="00E45F76">
            <w:pPr>
              <w:pStyle w:val="TableParagraph"/>
              <w:ind w:left="360" w:right="333"/>
              <w:rPr>
                <w:sz w:val="21"/>
              </w:rPr>
            </w:pPr>
            <w:r>
              <w:rPr>
                <w:sz w:val="21"/>
              </w:rPr>
              <w:t>$10,000,000</w:t>
            </w:r>
          </w:p>
          <w:p w14:paraId="09ABAF96" w14:textId="77777777" w:rsidR="003D00FC" w:rsidRDefault="00E45F76">
            <w:pPr>
              <w:pStyle w:val="TableParagraph"/>
              <w:spacing w:before="18"/>
              <w:ind w:left="360" w:right="333"/>
              <w:rPr>
                <w:b/>
                <w:sz w:val="21"/>
              </w:rPr>
            </w:pPr>
            <w:r>
              <w:rPr>
                <w:b/>
                <w:sz w:val="21"/>
              </w:rPr>
              <w:t>0.730</w:t>
            </w:r>
          </w:p>
          <w:p w14:paraId="1A7BCFCE" w14:textId="77777777" w:rsidR="003D00FC" w:rsidRDefault="00E45F76">
            <w:pPr>
              <w:pStyle w:val="TableParagraph"/>
              <w:spacing w:before="17"/>
              <w:ind w:left="360" w:right="332"/>
              <w:rPr>
                <w:sz w:val="21"/>
              </w:rPr>
            </w:pPr>
            <w:r>
              <w:rPr>
                <w:spacing w:val="2"/>
                <w:sz w:val="21"/>
              </w:rPr>
              <w:t>$7,300,000</w:t>
            </w:r>
          </w:p>
          <w:p w14:paraId="1ADFE229" w14:textId="77777777" w:rsidR="003D00FC" w:rsidRDefault="00E45F76">
            <w:pPr>
              <w:pStyle w:val="TableParagraph"/>
              <w:spacing w:before="18" w:line="235" w:lineRule="exact"/>
              <w:ind w:left="351" w:right="333"/>
              <w:rPr>
                <w:sz w:val="21"/>
              </w:rPr>
            </w:pPr>
            <w:r>
              <w:rPr>
                <w:spacing w:val="2"/>
                <w:sz w:val="21"/>
              </w:rPr>
              <w:t>-$2,700,000</w:t>
            </w:r>
          </w:p>
        </w:tc>
        <w:tc>
          <w:tcPr>
            <w:tcW w:w="2095" w:type="dxa"/>
            <w:tcBorders>
              <w:bottom w:val="nil"/>
            </w:tcBorders>
          </w:tcPr>
          <w:p w14:paraId="19F40DF2" w14:textId="77777777" w:rsidR="003D00FC" w:rsidRDefault="003D00FC">
            <w:pPr>
              <w:pStyle w:val="TableParagraph"/>
              <w:spacing w:before="7"/>
              <w:jc w:val="left"/>
              <w:rPr>
                <w:rFonts w:ascii="Times New Roman"/>
                <w:b/>
                <w:sz w:val="24"/>
              </w:rPr>
            </w:pPr>
          </w:p>
          <w:p w14:paraId="42C7C897" w14:textId="77777777" w:rsidR="003D00FC" w:rsidRDefault="00E45F76">
            <w:pPr>
              <w:pStyle w:val="TableParagraph"/>
              <w:ind w:left="489" w:right="470"/>
              <w:rPr>
                <w:sz w:val="21"/>
              </w:rPr>
            </w:pPr>
            <w:r>
              <w:rPr>
                <w:spacing w:val="2"/>
                <w:sz w:val="21"/>
              </w:rPr>
              <w:t>$60,000,000</w:t>
            </w:r>
          </w:p>
          <w:p w14:paraId="0567343B" w14:textId="77777777" w:rsidR="003D00FC" w:rsidRDefault="003D00FC">
            <w:pPr>
              <w:pStyle w:val="TableParagraph"/>
              <w:spacing w:before="4"/>
              <w:jc w:val="left"/>
              <w:rPr>
                <w:rFonts w:ascii="Times New Roman"/>
                <w:b/>
                <w:sz w:val="25"/>
              </w:rPr>
            </w:pPr>
          </w:p>
          <w:p w14:paraId="634B7A12" w14:textId="77777777" w:rsidR="003D00FC" w:rsidRDefault="00E45F76">
            <w:pPr>
              <w:pStyle w:val="TableParagraph"/>
              <w:ind w:left="489" w:right="469"/>
              <w:rPr>
                <w:sz w:val="21"/>
              </w:rPr>
            </w:pPr>
            <w:r>
              <w:rPr>
                <w:spacing w:val="2"/>
                <w:sz w:val="21"/>
              </w:rPr>
              <w:t>$59,145,000</w:t>
            </w:r>
          </w:p>
          <w:p w14:paraId="6196FF0C" w14:textId="77777777" w:rsidR="003D00FC" w:rsidRDefault="00E45F76">
            <w:pPr>
              <w:pStyle w:val="TableParagraph"/>
              <w:spacing w:before="18" w:line="235" w:lineRule="exact"/>
              <w:ind w:left="489" w:right="460"/>
              <w:rPr>
                <w:sz w:val="21"/>
              </w:rPr>
            </w:pPr>
            <w:r>
              <w:rPr>
                <w:sz w:val="21"/>
              </w:rPr>
              <w:t>-$855,000</w:t>
            </w:r>
          </w:p>
        </w:tc>
      </w:tr>
      <w:tr w:rsidR="003D00FC" w14:paraId="2E90C461" w14:textId="77777777">
        <w:trPr>
          <w:trHeight w:val="273"/>
        </w:trPr>
        <w:tc>
          <w:tcPr>
            <w:tcW w:w="3674" w:type="dxa"/>
            <w:tcBorders>
              <w:top w:val="nil"/>
              <w:left w:val="nil"/>
            </w:tcBorders>
            <w:shd w:val="clear" w:color="auto" w:fill="F1F1F1"/>
          </w:tcPr>
          <w:p w14:paraId="76C21C5C" w14:textId="77777777" w:rsidR="003D00FC" w:rsidRDefault="00E45F76">
            <w:pPr>
              <w:pStyle w:val="TableParagraph"/>
              <w:spacing w:before="19" w:line="235" w:lineRule="exact"/>
              <w:ind w:left="32"/>
              <w:jc w:val="left"/>
              <w:rPr>
                <w:sz w:val="21"/>
              </w:rPr>
            </w:pPr>
            <w:r>
              <w:rPr>
                <w:sz w:val="21"/>
              </w:rPr>
              <w:t>(b) Allocated Balance</w:t>
            </w:r>
          </w:p>
        </w:tc>
        <w:tc>
          <w:tcPr>
            <w:tcW w:w="1729" w:type="dxa"/>
            <w:tcBorders>
              <w:top w:val="nil"/>
            </w:tcBorders>
            <w:shd w:val="clear" w:color="auto" w:fill="F1F1F1"/>
          </w:tcPr>
          <w:p w14:paraId="0FC6F3FB" w14:textId="77777777" w:rsidR="003D00FC" w:rsidRDefault="00E45F76">
            <w:pPr>
              <w:pStyle w:val="TableParagraph"/>
              <w:spacing w:before="19" w:line="235" w:lineRule="exact"/>
              <w:ind w:left="302" w:right="290"/>
              <w:rPr>
                <w:sz w:val="21"/>
              </w:rPr>
            </w:pPr>
            <w:r>
              <w:rPr>
                <w:sz w:val="21"/>
              </w:rPr>
              <w:t>$73,870</w:t>
            </w:r>
          </w:p>
        </w:tc>
        <w:tc>
          <w:tcPr>
            <w:tcW w:w="1729" w:type="dxa"/>
            <w:tcBorders>
              <w:top w:val="nil"/>
            </w:tcBorders>
            <w:shd w:val="clear" w:color="auto" w:fill="F1F1F1"/>
          </w:tcPr>
          <w:p w14:paraId="5E8A8FB7" w14:textId="77777777" w:rsidR="003D00FC" w:rsidRDefault="00E45F76">
            <w:pPr>
              <w:pStyle w:val="TableParagraph"/>
              <w:spacing w:before="19" w:line="235" w:lineRule="exact"/>
              <w:ind w:left="303" w:right="290"/>
              <w:rPr>
                <w:sz w:val="21"/>
              </w:rPr>
            </w:pPr>
            <w:r>
              <w:rPr>
                <w:sz w:val="21"/>
              </w:rPr>
              <w:t>$261,654</w:t>
            </w:r>
          </w:p>
        </w:tc>
        <w:tc>
          <w:tcPr>
            <w:tcW w:w="1811" w:type="dxa"/>
            <w:tcBorders>
              <w:top w:val="nil"/>
            </w:tcBorders>
            <w:shd w:val="clear" w:color="auto" w:fill="F1F1F1"/>
          </w:tcPr>
          <w:p w14:paraId="04B84DC7" w14:textId="77777777" w:rsidR="003D00FC" w:rsidRDefault="00E45F76">
            <w:pPr>
              <w:pStyle w:val="TableParagraph"/>
              <w:spacing w:before="19" w:line="235" w:lineRule="exact"/>
              <w:ind w:left="500"/>
              <w:jc w:val="left"/>
              <w:rPr>
                <w:sz w:val="21"/>
              </w:rPr>
            </w:pPr>
            <w:r>
              <w:rPr>
                <w:sz w:val="21"/>
              </w:rPr>
              <w:t>$188,217</w:t>
            </w:r>
          </w:p>
        </w:tc>
        <w:tc>
          <w:tcPr>
            <w:tcW w:w="1811" w:type="dxa"/>
            <w:tcBorders>
              <w:top w:val="nil"/>
            </w:tcBorders>
            <w:shd w:val="clear" w:color="auto" w:fill="F1F1F1"/>
          </w:tcPr>
          <w:p w14:paraId="2D8C8D28" w14:textId="77777777" w:rsidR="003D00FC" w:rsidRDefault="00E45F76">
            <w:pPr>
              <w:pStyle w:val="TableParagraph"/>
              <w:spacing w:before="19" w:line="235" w:lineRule="exact"/>
              <w:ind w:left="359" w:right="333"/>
              <w:rPr>
                <w:sz w:val="21"/>
              </w:rPr>
            </w:pPr>
            <w:r>
              <w:rPr>
                <w:sz w:val="21"/>
              </w:rPr>
              <w:t>$225,730</w:t>
            </w:r>
          </w:p>
        </w:tc>
        <w:tc>
          <w:tcPr>
            <w:tcW w:w="1811" w:type="dxa"/>
            <w:tcBorders>
              <w:top w:val="nil"/>
            </w:tcBorders>
            <w:shd w:val="clear" w:color="auto" w:fill="F1F1F1"/>
          </w:tcPr>
          <w:p w14:paraId="04100469" w14:textId="77777777" w:rsidR="003D00FC" w:rsidRDefault="00E45F76">
            <w:pPr>
              <w:pStyle w:val="TableParagraph"/>
              <w:spacing w:before="19" w:line="235" w:lineRule="exact"/>
              <w:ind w:left="360" w:right="332"/>
              <w:rPr>
                <w:sz w:val="21"/>
              </w:rPr>
            </w:pPr>
            <w:r>
              <w:rPr>
                <w:sz w:val="21"/>
              </w:rPr>
              <w:t>$105,529</w:t>
            </w:r>
          </w:p>
        </w:tc>
        <w:tc>
          <w:tcPr>
            <w:tcW w:w="2095" w:type="dxa"/>
            <w:tcBorders>
              <w:top w:val="nil"/>
            </w:tcBorders>
            <w:shd w:val="clear" w:color="auto" w:fill="F1F1F1"/>
          </w:tcPr>
          <w:p w14:paraId="7585F18E" w14:textId="77777777" w:rsidR="003D00FC" w:rsidRDefault="00E45F76">
            <w:pPr>
              <w:pStyle w:val="TableParagraph"/>
              <w:spacing w:before="19" w:line="235" w:lineRule="exact"/>
              <w:ind w:left="489" w:right="468"/>
              <w:rPr>
                <w:sz w:val="21"/>
              </w:rPr>
            </w:pPr>
            <w:r>
              <w:rPr>
                <w:sz w:val="21"/>
              </w:rPr>
              <w:t>$855,000</w:t>
            </w:r>
          </w:p>
        </w:tc>
      </w:tr>
      <w:tr w:rsidR="00B878F6" w14:paraId="5EDA1E89" w14:textId="77777777">
        <w:trPr>
          <w:trHeight w:val="263"/>
        </w:trPr>
        <w:tc>
          <w:tcPr>
            <w:tcW w:w="3674" w:type="dxa"/>
          </w:tcPr>
          <w:p w14:paraId="02CA9762" w14:textId="77777777" w:rsidR="003D00FC" w:rsidRDefault="00E45F76">
            <w:pPr>
              <w:pStyle w:val="TableParagraph"/>
              <w:spacing w:before="9" w:line="234" w:lineRule="exact"/>
              <w:ind w:left="32"/>
              <w:jc w:val="left"/>
              <w:rPr>
                <w:sz w:val="21"/>
              </w:rPr>
            </w:pPr>
            <w:r>
              <w:rPr>
                <w:sz w:val="21"/>
              </w:rPr>
              <w:t>Risk Adjustment</w:t>
            </w:r>
          </w:p>
        </w:tc>
        <w:tc>
          <w:tcPr>
            <w:tcW w:w="1729" w:type="dxa"/>
          </w:tcPr>
          <w:p w14:paraId="311E2B6C" w14:textId="77777777" w:rsidR="003D00FC" w:rsidRDefault="00E45F76">
            <w:pPr>
              <w:pStyle w:val="TableParagraph"/>
              <w:spacing w:before="9" w:line="234" w:lineRule="exact"/>
              <w:ind w:left="302" w:right="290"/>
              <w:rPr>
                <w:sz w:val="21"/>
              </w:rPr>
            </w:pPr>
            <w:r>
              <w:rPr>
                <w:sz w:val="21"/>
              </w:rPr>
              <w:t>$183,870</w:t>
            </w:r>
          </w:p>
        </w:tc>
        <w:tc>
          <w:tcPr>
            <w:tcW w:w="1729" w:type="dxa"/>
          </w:tcPr>
          <w:p w14:paraId="6D749724" w14:textId="77777777" w:rsidR="003D00FC" w:rsidRDefault="00E45F76">
            <w:pPr>
              <w:pStyle w:val="TableParagraph"/>
              <w:spacing w:before="9" w:line="234" w:lineRule="exact"/>
              <w:ind w:left="303" w:right="281"/>
              <w:rPr>
                <w:sz w:val="21"/>
              </w:rPr>
            </w:pPr>
            <w:r>
              <w:rPr>
                <w:sz w:val="21"/>
              </w:rPr>
              <w:t>-$1,638,346</w:t>
            </w:r>
          </w:p>
        </w:tc>
        <w:tc>
          <w:tcPr>
            <w:tcW w:w="1811" w:type="dxa"/>
          </w:tcPr>
          <w:p w14:paraId="2CD726CE" w14:textId="77777777" w:rsidR="003D00FC" w:rsidRDefault="00E45F76">
            <w:pPr>
              <w:pStyle w:val="TableParagraph"/>
              <w:spacing w:before="9" w:line="234" w:lineRule="exact"/>
              <w:ind w:left="418"/>
              <w:jc w:val="left"/>
              <w:rPr>
                <w:sz w:val="21"/>
              </w:rPr>
            </w:pPr>
            <w:r>
              <w:rPr>
                <w:sz w:val="21"/>
              </w:rPr>
              <w:t>$3,208,217</w:t>
            </w:r>
          </w:p>
        </w:tc>
        <w:tc>
          <w:tcPr>
            <w:tcW w:w="1811" w:type="dxa"/>
          </w:tcPr>
          <w:p w14:paraId="54F887DF" w14:textId="77777777" w:rsidR="003D00FC" w:rsidRDefault="00E45F76">
            <w:pPr>
              <w:pStyle w:val="TableParagraph"/>
              <w:spacing w:before="9" w:line="234" w:lineRule="exact"/>
              <w:ind w:left="359" w:right="333"/>
              <w:rPr>
                <w:sz w:val="21"/>
              </w:rPr>
            </w:pPr>
            <w:r>
              <w:rPr>
                <w:sz w:val="21"/>
              </w:rPr>
              <w:t>$840,730</w:t>
            </w:r>
          </w:p>
        </w:tc>
        <w:tc>
          <w:tcPr>
            <w:tcW w:w="1811" w:type="dxa"/>
          </w:tcPr>
          <w:p w14:paraId="5D816A73" w14:textId="77777777" w:rsidR="003D00FC" w:rsidRDefault="00E45F76">
            <w:pPr>
              <w:pStyle w:val="TableParagraph"/>
              <w:spacing w:before="9" w:line="234" w:lineRule="exact"/>
              <w:ind w:left="352" w:right="333"/>
              <w:rPr>
                <w:sz w:val="21"/>
              </w:rPr>
            </w:pPr>
            <w:r>
              <w:rPr>
                <w:sz w:val="21"/>
              </w:rPr>
              <w:t>-$2,594,471</w:t>
            </w:r>
          </w:p>
        </w:tc>
        <w:tc>
          <w:tcPr>
            <w:tcW w:w="2095" w:type="dxa"/>
          </w:tcPr>
          <w:p w14:paraId="48DDA1F5" w14:textId="77777777" w:rsidR="003D00FC" w:rsidRDefault="00E45F76">
            <w:pPr>
              <w:pStyle w:val="TableParagraph"/>
              <w:spacing w:before="9" w:line="234" w:lineRule="exact"/>
              <w:ind w:left="489" w:right="469"/>
              <w:rPr>
                <w:sz w:val="21"/>
              </w:rPr>
            </w:pPr>
            <w:r>
              <w:rPr>
                <w:sz w:val="21"/>
              </w:rPr>
              <w:t>$0</w:t>
            </w:r>
          </w:p>
        </w:tc>
      </w:tr>
      <w:tr w:rsidR="00B878F6" w14:paraId="52C66728" w14:textId="77777777">
        <w:trPr>
          <w:trHeight w:val="262"/>
        </w:trPr>
        <w:tc>
          <w:tcPr>
            <w:tcW w:w="3674" w:type="dxa"/>
            <w:shd w:val="clear" w:color="auto" w:fill="F1F1F1"/>
          </w:tcPr>
          <w:p w14:paraId="4B9752D7" w14:textId="77777777" w:rsidR="003D00FC" w:rsidRDefault="00E45F76">
            <w:pPr>
              <w:pStyle w:val="TableParagraph"/>
              <w:spacing w:before="8" w:line="234" w:lineRule="exact"/>
              <w:ind w:left="32"/>
              <w:jc w:val="left"/>
              <w:rPr>
                <w:b/>
                <w:sz w:val="21"/>
              </w:rPr>
            </w:pPr>
            <w:r>
              <w:rPr>
                <w:b/>
                <w:sz w:val="21"/>
              </w:rPr>
              <w:t>Total Risk Adj Premium</w:t>
            </w:r>
          </w:p>
        </w:tc>
        <w:tc>
          <w:tcPr>
            <w:tcW w:w="1729" w:type="dxa"/>
            <w:shd w:val="clear" w:color="auto" w:fill="F1F1F1"/>
          </w:tcPr>
          <w:p w14:paraId="0751DDBF" w14:textId="77777777" w:rsidR="003D00FC" w:rsidRDefault="00E45F76">
            <w:pPr>
              <w:pStyle w:val="TableParagraph"/>
              <w:spacing w:before="8" w:line="234" w:lineRule="exact"/>
              <w:ind w:left="302" w:right="290"/>
              <w:rPr>
                <w:b/>
                <w:sz w:val="21"/>
              </w:rPr>
            </w:pPr>
            <w:r>
              <w:rPr>
                <w:b/>
                <w:sz w:val="21"/>
              </w:rPr>
              <w:t>$5,183,870</w:t>
            </w:r>
          </w:p>
        </w:tc>
        <w:tc>
          <w:tcPr>
            <w:tcW w:w="1729" w:type="dxa"/>
            <w:shd w:val="clear" w:color="auto" w:fill="F1F1F1"/>
          </w:tcPr>
          <w:p w14:paraId="6AB4A17B" w14:textId="77777777" w:rsidR="003D00FC" w:rsidRDefault="00E45F76">
            <w:pPr>
              <w:pStyle w:val="TableParagraph"/>
              <w:spacing w:before="8" w:line="234" w:lineRule="exact"/>
              <w:ind w:left="303" w:right="289"/>
              <w:rPr>
                <w:b/>
                <w:sz w:val="21"/>
              </w:rPr>
            </w:pPr>
            <w:r>
              <w:rPr>
                <w:b/>
                <w:sz w:val="21"/>
              </w:rPr>
              <w:t>$18,361,654</w:t>
            </w:r>
          </w:p>
        </w:tc>
        <w:tc>
          <w:tcPr>
            <w:tcW w:w="1811" w:type="dxa"/>
            <w:shd w:val="clear" w:color="auto" w:fill="F1F1F1"/>
          </w:tcPr>
          <w:p w14:paraId="2EA3D542" w14:textId="77777777" w:rsidR="003D00FC" w:rsidRDefault="00E45F76">
            <w:pPr>
              <w:pStyle w:val="TableParagraph"/>
              <w:spacing w:before="8" w:line="234" w:lineRule="exact"/>
              <w:ind w:left="363"/>
              <w:jc w:val="left"/>
              <w:rPr>
                <w:b/>
                <w:sz w:val="21"/>
              </w:rPr>
            </w:pPr>
            <w:r>
              <w:rPr>
                <w:b/>
                <w:sz w:val="21"/>
              </w:rPr>
              <w:t>$13,208,217</w:t>
            </w:r>
          </w:p>
        </w:tc>
        <w:tc>
          <w:tcPr>
            <w:tcW w:w="1811" w:type="dxa"/>
            <w:shd w:val="clear" w:color="auto" w:fill="F1F1F1"/>
          </w:tcPr>
          <w:p w14:paraId="5E391C31" w14:textId="77777777" w:rsidR="003D00FC" w:rsidRDefault="00E45F76">
            <w:pPr>
              <w:pStyle w:val="TableParagraph"/>
              <w:spacing w:before="8" w:line="234" w:lineRule="exact"/>
              <w:ind w:left="360" w:right="333"/>
              <w:rPr>
                <w:b/>
                <w:sz w:val="21"/>
              </w:rPr>
            </w:pPr>
            <w:r>
              <w:rPr>
                <w:b/>
                <w:sz w:val="21"/>
              </w:rPr>
              <w:t>$15,840,730</w:t>
            </w:r>
          </w:p>
        </w:tc>
        <w:tc>
          <w:tcPr>
            <w:tcW w:w="1811" w:type="dxa"/>
            <w:shd w:val="clear" w:color="auto" w:fill="F1F1F1"/>
          </w:tcPr>
          <w:p w14:paraId="4FFB6E20" w14:textId="77777777" w:rsidR="003D00FC" w:rsidRDefault="00E45F76">
            <w:pPr>
              <w:pStyle w:val="TableParagraph"/>
              <w:spacing w:before="8" w:line="234" w:lineRule="exact"/>
              <w:ind w:left="360" w:right="331"/>
              <w:rPr>
                <w:b/>
                <w:sz w:val="21"/>
              </w:rPr>
            </w:pPr>
            <w:r>
              <w:rPr>
                <w:b/>
                <w:sz w:val="21"/>
              </w:rPr>
              <w:t>$7,405,529</w:t>
            </w:r>
          </w:p>
        </w:tc>
        <w:tc>
          <w:tcPr>
            <w:tcW w:w="2095" w:type="dxa"/>
            <w:shd w:val="clear" w:color="auto" w:fill="F1F1F1"/>
          </w:tcPr>
          <w:p w14:paraId="7BBC91CC" w14:textId="77777777" w:rsidR="003D00FC" w:rsidRDefault="00E45F76">
            <w:pPr>
              <w:pStyle w:val="TableParagraph"/>
              <w:spacing w:before="8" w:line="234" w:lineRule="exact"/>
              <w:ind w:left="489" w:right="468"/>
              <w:rPr>
                <w:b/>
                <w:sz w:val="21"/>
              </w:rPr>
            </w:pPr>
            <w:r>
              <w:rPr>
                <w:b/>
                <w:sz w:val="21"/>
              </w:rPr>
              <w:t>$60,000,000</w:t>
            </w:r>
          </w:p>
        </w:tc>
      </w:tr>
      <w:tr w:rsidR="00B878F6" w14:paraId="0DB8A67B" w14:textId="77777777">
        <w:trPr>
          <w:trHeight w:val="263"/>
        </w:trPr>
        <w:tc>
          <w:tcPr>
            <w:tcW w:w="3674" w:type="dxa"/>
          </w:tcPr>
          <w:p w14:paraId="7AFF1C7C" w14:textId="77777777" w:rsidR="003D00FC" w:rsidRDefault="00E45F76">
            <w:pPr>
              <w:pStyle w:val="TableParagraph"/>
              <w:spacing w:before="8" w:line="235" w:lineRule="exact"/>
              <w:ind w:right="17"/>
              <w:jc w:val="right"/>
              <w:rPr>
                <w:sz w:val="21"/>
              </w:rPr>
            </w:pPr>
            <w:r>
              <w:rPr>
                <w:sz w:val="21"/>
              </w:rPr>
              <w:t>Average Age:</w:t>
            </w:r>
          </w:p>
        </w:tc>
        <w:tc>
          <w:tcPr>
            <w:tcW w:w="1729" w:type="dxa"/>
          </w:tcPr>
          <w:p w14:paraId="27F4B2A4" w14:textId="77777777" w:rsidR="003D00FC" w:rsidRDefault="00E45F76">
            <w:pPr>
              <w:pStyle w:val="TableParagraph"/>
              <w:spacing w:before="8" w:line="235" w:lineRule="exact"/>
              <w:ind w:left="303" w:right="290"/>
              <w:rPr>
                <w:sz w:val="21"/>
              </w:rPr>
            </w:pPr>
            <w:r>
              <w:rPr>
                <w:sz w:val="21"/>
              </w:rPr>
              <w:t>40</w:t>
            </w:r>
          </w:p>
        </w:tc>
        <w:tc>
          <w:tcPr>
            <w:tcW w:w="1729" w:type="dxa"/>
          </w:tcPr>
          <w:p w14:paraId="7175FF23" w14:textId="77777777" w:rsidR="003D00FC" w:rsidRDefault="00E45F76">
            <w:pPr>
              <w:pStyle w:val="TableParagraph"/>
              <w:spacing w:before="8" w:line="235" w:lineRule="exact"/>
              <w:ind w:left="303" w:right="289"/>
              <w:rPr>
                <w:sz w:val="21"/>
              </w:rPr>
            </w:pPr>
            <w:r>
              <w:rPr>
                <w:sz w:val="21"/>
              </w:rPr>
              <w:t>38</w:t>
            </w:r>
          </w:p>
        </w:tc>
        <w:tc>
          <w:tcPr>
            <w:tcW w:w="1811" w:type="dxa"/>
          </w:tcPr>
          <w:p w14:paraId="56C9DF72" w14:textId="77777777" w:rsidR="003D00FC" w:rsidRDefault="00E45F76">
            <w:pPr>
              <w:pStyle w:val="TableParagraph"/>
              <w:spacing w:before="8" w:line="235" w:lineRule="exact"/>
              <w:ind w:left="358" w:right="333"/>
              <w:rPr>
                <w:sz w:val="21"/>
              </w:rPr>
            </w:pPr>
            <w:r>
              <w:rPr>
                <w:sz w:val="21"/>
              </w:rPr>
              <w:t>48</w:t>
            </w:r>
          </w:p>
        </w:tc>
        <w:tc>
          <w:tcPr>
            <w:tcW w:w="1811" w:type="dxa"/>
          </w:tcPr>
          <w:p w14:paraId="198DEA77" w14:textId="77777777" w:rsidR="003D00FC" w:rsidRDefault="00E45F76">
            <w:pPr>
              <w:pStyle w:val="TableParagraph"/>
              <w:spacing w:before="8" w:line="235" w:lineRule="exact"/>
              <w:ind w:left="360" w:right="333"/>
              <w:rPr>
                <w:sz w:val="21"/>
              </w:rPr>
            </w:pPr>
            <w:r>
              <w:rPr>
                <w:sz w:val="21"/>
              </w:rPr>
              <w:t>41</w:t>
            </w:r>
          </w:p>
        </w:tc>
        <w:tc>
          <w:tcPr>
            <w:tcW w:w="1811" w:type="dxa"/>
          </w:tcPr>
          <w:p w14:paraId="746886BB" w14:textId="77777777" w:rsidR="003D00FC" w:rsidRDefault="00E45F76">
            <w:pPr>
              <w:pStyle w:val="TableParagraph"/>
              <w:spacing w:before="8" w:line="235" w:lineRule="exact"/>
              <w:ind w:left="360" w:right="331"/>
              <w:rPr>
                <w:sz w:val="21"/>
              </w:rPr>
            </w:pPr>
            <w:r>
              <w:rPr>
                <w:sz w:val="21"/>
              </w:rPr>
              <w:t>35</w:t>
            </w:r>
          </w:p>
        </w:tc>
        <w:tc>
          <w:tcPr>
            <w:tcW w:w="2095" w:type="dxa"/>
          </w:tcPr>
          <w:p w14:paraId="6905BA47" w14:textId="77777777" w:rsidR="003D00FC" w:rsidRDefault="003D00FC">
            <w:pPr>
              <w:pStyle w:val="TableParagraph"/>
              <w:jc w:val="left"/>
              <w:rPr>
                <w:rFonts w:ascii="Times New Roman"/>
                <w:sz w:val="18"/>
              </w:rPr>
            </w:pPr>
          </w:p>
        </w:tc>
      </w:tr>
    </w:tbl>
    <w:p w14:paraId="68FA9E42" w14:textId="77777777" w:rsidR="00920274" w:rsidRDefault="00920274"/>
    <w:sectPr w:rsidR="00920274">
      <w:footerReference w:type="default" r:id="rId12"/>
      <w:pgSz w:w="15840" w:h="12240" w:orient="landscape"/>
      <w:pgMar w:top="940" w:right="320" w:bottom="940" w:left="6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1CCE" w14:textId="77777777" w:rsidR="00CF35B3" w:rsidRDefault="00CF35B3">
      <w:r>
        <w:separator/>
      </w:r>
    </w:p>
  </w:endnote>
  <w:endnote w:type="continuationSeparator" w:id="0">
    <w:p w14:paraId="4099112D" w14:textId="77777777" w:rsidR="00CF35B3" w:rsidRDefault="00CF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E31E" w14:textId="03A7E761" w:rsidR="003D00FC" w:rsidRDefault="00D904A1">
    <w:pPr>
      <w:pStyle w:val="BodyText"/>
      <w:spacing w:line="14" w:lineRule="auto"/>
      <w:ind w:left="0"/>
      <w:rPr>
        <w:sz w:val="20"/>
      </w:rPr>
    </w:pPr>
    <w:r>
      <w:rPr>
        <w:noProof/>
      </w:rPr>
      <mc:AlternateContent>
        <mc:Choice Requires="wps">
          <w:drawing>
            <wp:anchor distT="0" distB="0" distL="114300" distR="114300" simplePos="0" relativeHeight="251657216" behindDoc="1" locked="0" layoutInCell="1" allowOverlap="1" wp14:anchorId="68985534" wp14:editId="28A95829">
              <wp:simplePos x="0" y="0"/>
              <wp:positionH relativeFrom="page">
                <wp:posOffset>837565</wp:posOffset>
              </wp:positionH>
              <wp:positionV relativeFrom="page">
                <wp:posOffset>9444990</wp:posOffset>
              </wp:positionV>
              <wp:extent cx="191008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D6351" w14:textId="77777777" w:rsidR="003D00FC" w:rsidRDefault="00E45F76">
                          <w:pPr>
                            <w:spacing w:line="245" w:lineRule="exact"/>
                            <w:ind w:left="20"/>
                            <w:rPr>
                              <w:rFonts w:ascii="Calibri"/>
                              <w:b/>
                            </w:rPr>
                          </w:pPr>
                          <w:r>
                            <w:rPr>
                              <w:rFonts w:ascii="Calibri"/>
                              <w:b/>
                            </w:rPr>
                            <w:t>OEIBB Commercial Carrier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85534" id="_x0000_t202" coordsize="21600,21600" o:spt="202" path="m,l,21600r21600,l21600,xe">
              <v:stroke joinstyle="miter"/>
              <v:path gradientshapeok="t" o:connecttype="rect"/>
            </v:shapetype>
            <v:shape id="Text Box 4" o:spid="_x0000_s1026" type="#_x0000_t202" style="position:absolute;margin-left:65.95pt;margin-top:743.7pt;width:150.4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" filled="f" stroked="f">
              <v:textbox inset="0,0,0,0">
                <w:txbxContent>
                  <w:p w14:paraId="0CFD6351" w14:textId="77777777" w:rsidR="003D00FC" w:rsidRDefault="00E45F76">
                    <w:pPr>
                      <w:spacing w:line="245" w:lineRule="exact"/>
                      <w:ind w:left="20"/>
                      <w:rPr>
                        <w:rFonts w:ascii="Calibri"/>
                        <w:b/>
                      </w:rPr>
                    </w:pPr>
                    <w:r>
                      <w:rPr>
                        <w:rFonts w:ascii="Calibri"/>
                        <w:b/>
                      </w:rPr>
                      <w:t>OEIBB Commercial Carrier Policy</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37098CC6" wp14:editId="3F220EC2">
              <wp:simplePos x="0" y="0"/>
              <wp:positionH relativeFrom="page">
                <wp:posOffset>6282690</wp:posOffset>
              </wp:positionH>
              <wp:positionV relativeFrom="page">
                <wp:posOffset>9444990</wp:posOffset>
              </wp:positionV>
              <wp:extent cx="66230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E6813" w14:textId="77777777" w:rsidR="003D00FC" w:rsidRDefault="00E45F76">
                          <w:pPr>
                            <w:spacing w:line="245" w:lineRule="exact"/>
                            <w:ind w:left="20"/>
                            <w:rPr>
                              <w:rFonts w:ascii="Calibri"/>
                              <w:b/>
                            </w:rPr>
                          </w:pPr>
                          <w:r>
                            <w:rPr>
                              <w:rFonts w:ascii="Calibri"/>
                              <w:b/>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98CC6" id="Text Box 3" o:spid="_x0000_s1027" type="#_x0000_t202" style="position:absolute;margin-left:494.7pt;margin-top:743.7pt;width:52.1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" filled="f" stroked="f">
              <v:textbox inset="0,0,0,0">
                <w:txbxContent>
                  <w:p w14:paraId="450E6813" w14:textId="77777777" w:rsidR="003D00FC" w:rsidRDefault="00E45F76">
                    <w:pPr>
                      <w:spacing w:line="245" w:lineRule="exact"/>
                      <w:ind w:left="20"/>
                      <w:rPr>
                        <w:rFonts w:ascii="Calibri"/>
                        <w:b/>
                      </w:rPr>
                    </w:pPr>
                    <w:r>
                      <w:rPr>
                        <w:rFonts w:ascii="Calibri"/>
                        <w:b/>
                      </w:rPr>
                      <w:t xml:space="preserve">Page </w:t>
                    </w:r>
                    <w:r>
                      <w:fldChar w:fldCharType="begin"/>
                    </w:r>
                    <w:r>
                      <w:rPr>
                        <w:rFonts w:ascii="Calibri"/>
                        <w:b/>
                      </w:rPr>
                      <w:instrText xml:space="preserve"> PAGE </w:instrText>
                    </w:r>
                    <w:r>
                      <w:fldChar w:fldCharType="separate"/>
                    </w:r>
                    <w:r>
                      <w:t>1</w:t>
                    </w:r>
                    <w:r>
                      <w:fldChar w:fldCharType="end"/>
                    </w:r>
                    <w:r>
                      <w:rPr>
                        <w:rFonts w:ascii="Calibri"/>
                        <w:b/>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80D4" w14:textId="153F6326" w:rsidR="003D00FC" w:rsidRDefault="00D904A1">
    <w:pPr>
      <w:pStyle w:val="BodyText"/>
      <w:spacing w:line="14" w:lineRule="auto"/>
      <w:ind w:left="0"/>
      <w:rPr>
        <w:sz w:val="20"/>
      </w:rPr>
    </w:pPr>
    <w:r>
      <w:rPr>
        <w:noProof/>
      </w:rPr>
      <mc:AlternateContent>
        <mc:Choice Requires="wps">
          <w:drawing>
            <wp:anchor distT="0" distB="0" distL="114300" distR="114300" simplePos="0" relativeHeight="251228160" behindDoc="1" locked="0" layoutInCell="1" allowOverlap="1" wp14:anchorId="046A5C74" wp14:editId="43AB1487">
              <wp:simplePos x="0" y="0"/>
              <wp:positionH relativeFrom="page">
                <wp:posOffset>444500</wp:posOffset>
              </wp:positionH>
              <wp:positionV relativeFrom="page">
                <wp:posOffset>7158990</wp:posOffset>
              </wp:positionV>
              <wp:extent cx="191008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CB9AA" w14:textId="77777777" w:rsidR="003D00FC" w:rsidRDefault="00E45F76">
                          <w:pPr>
                            <w:spacing w:line="245" w:lineRule="exact"/>
                            <w:ind w:left="20"/>
                            <w:rPr>
                              <w:rFonts w:ascii="Calibri"/>
                              <w:b/>
                            </w:rPr>
                          </w:pPr>
                          <w:r>
                            <w:rPr>
                              <w:rFonts w:ascii="Calibri"/>
                              <w:b/>
                            </w:rPr>
                            <w:t>OEIBB Commercial Carrier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A5C74" id="_x0000_t202" coordsize="21600,21600" o:spt="202" path="m,l,21600r21600,l21600,xe">
              <v:stroke joinstyle="miter"/>
              <v:path gradientshapeok="t" o:connecttype="rect"/>
            </v:shapetype>
            <v:shape id="Text Box 2" o:spid="_x0000_s1028" type="#_x0000_t202" style="position:absolute;margin-left:35pt;margin-top:563.7pt;width:150.4pt;height:13.05pt;z-index:-25208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" filled="f" stroked="f">
              <v:textbox inset="0,0,0,0">
                <w:txbxContent>
                  <w:p w14:paraId="34DCB9AA" w14:textId="77777777" w:rsidR="003D00FC" w:rsidRDefault="00E45F76">
                    <w:pPr>
                      <w:spacing w:line="245" w:lineRule="exact"/>
                      <w:ind w:left="20"/>
                      <w:rPr>
                        <w:rFonts w:ascii="Calibri"/>
                        <w:b/>
                      </w:rPr>
                    </w:pPr>
                    <w:r>
                      <w:rPr>
                        <w:rFonts w:ascii="Calibri"/>
                        <w:b/>
                      </w:rPr>
                      <w:t>OEIBB Commercial Carrier Policy</w:t>
                    </w:r>
                  </w:p>
                </w:txbxContent>
              </v:textbox>
              <w10:wrap anchorx="page" anchory="page"/>
            </v:shape>
          </w:pict>
        </mc:Fallback>
      </mc:AlternateContent>
    </w:r>
    <w:r>
      <w:rPr>
        <w:noProof/>
      </w:rPr>
      <mc:AlternateContent>
        <mc:Choice Requires="wps">
          <w:drawing>
            <wp:anchor distT="0" distB="0" distL="114300" distR="114300" simplePos="0" relativeHeight="251229184" behindDoc="1" locked="0" layoutInCell="1" allowOverlap="1" wp14:anchorId="7F697D6B" wp14:editId="137A5672">
              <wp:simplePos x="0" y="0"/>
              <wp:positionH relativeFrom="page">
                <wp:posOffset>9135745</wp:posOffset>
              </wp:positionH>
              <wp:positionV relativeFrom="page">
                <wp:posOffset>7158990</wp:posOffset>
              </wp:positionV>
              <wp:extent cx="6623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EE3E5" w14:textId="77777777" w:rsidR="003D00FC" w:rsidRDefault="00E45F76">
                          <w:pPr>
                            <w:spacing w:line="245" w:lineRule="exact"/>
                            <w:ind w:left="20"/>
                            <w:rPr>
                              <w:rFonts w:ascii="Calibri"/>
                              <w:b/>
                            </w:rPr>
                          </w:pPr>
                          <w:r>
                            <w:rPr>
                              <w:rFonts w:ascii="Calibri"/>
                              <w:b/>
                            </w:rPr>
                            <w:t>Page 5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97D6B" id="Text Box 1" o:spid="_x0000_s1029" type="#_x0000_t202" style="position:absolute;margin-left:719.35pt;margin-top:563.7pt;width:52.15pt;height:13.05pt;z-index:-25208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" filled="f" stroked="f">
              <v:textbox inset="0,0,0,0">
                <w:txbxContent>
                  <w:p w14:paraId="258EE3E5" w14:textId="77777777" w:rsidR="003D00FC" w:rsidRDefault="00E45F76">
                    <w:pPr>
                      <w:spacing w:line="245" w:lineRule="exact"/>
                      <w:ind w:left="20"/>
                      <w:rPr>
                        <w:rFonts w:ascii="Calibri"/>
                        <w:b/>
                      </w:rPr>
                    </w:pPr>
                    <w:r>
                      <w:rPr>
                        <w:rFonts w:ascii="Calibri"/>
                        <w:b/>
                      </w:rPr>
                      <w:t>Page 5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DE93" w14:textId="77777777" w:rsidR="00CF35B3" w:rsidRDefault="00CF35B3">
      <w:r>
        <w:separator/>
      </w:r>
    </w:p>
  </w:footnote>
  <w:footnote w:type="continuationSeparator" w:id="0">
    <w:p w14:paraId="782734B3" w14:textId="77777777" w:rsidR="00CF35B3" w:rsidRDefault="00CF3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A9A"/>
    <w:multiLevelType w:val="hybridMultilevel"/>
    <w:tmpl w:val="971219F6"/>
    <w:lvl w:ilvl="0" w:tplc="385A2FE0">
      <w:start w:val="1"/>
      <w:numFmt w:val="decimal"/>
      <w:lvlText w:val="%1."/>
      <w:lvlJc w:val="left"/>
      <w:pPr>
        <w:ind w:left="839" w:hanging="360"/>
      </w:pPr>
      <w:rPr>
        <w:rFonts w:ascii="Times New Roman" w:eastAsia="Times New Roman" w:hAnsi="Times New Roman" w:cs="Times New Roman" w:hint="default"/>
        <w:spacing w:val="-4"/>
        <w:w w:val="100"/>
        <w:sz w:val="24"/>
        <w:szCs w:val="24"/>
        <w:lang w:val="en-US" w:eastAsia="en-US" w:bidi="en-US"/>
      </w:rPr>
    </w:lvl>
    <w:lvl w:ilvl="1" w:tplc="EA38F756">
      <w:numFmt w:val="bullet"/>
      <w:lvlText w:val="•"/>
      <w:lvlJc w:val="left"/>
      <w:pPr>
        <w:ind w:left="1748" w:hanging="360"/>
      </w:pPr>
      <w:rPr>
        <w:rFonts w:hint="default"/>
        <w:lang w:val="en-US" w:eastAsia="en-US" w:bidi="en-US"/>
      </w:rPr>
    </w:lvl>
    <w:lvl w:ilvl="2" w:tplc="5F6628F0">
      <w:numFmt w:val="bullet"/>
      <w:lvlText w:val="•"/>
      <w:lvlJc w:val="left"/>
      <w:pPr>
        <w:ind w:left="2656" w:hanging="360"/>
      </w:pPr>
      <w:rPr>
        <w:rFonts w:hint="default"/>
        <w:lang w:val="en-US" w:eastAsia="en-US" w:bidi="en-US"/>
      </w:rPr>
    </w:lvl>
    <w:lvl w:ilvl="3" w:tplc="DBA6FE52">
      <w:numFmt w:val="bullet"/>
      <w:lvlText w:val="•"/>
      <w:lvlJc w:val="left"/>
      <w:pPr>
        <w:ind w:left="3564" w:hanging="360"/>
      </w:pPr>
      <w:rPr>
        <w:rFonts w:hint="default"/>
        <w:lang w:val="en-US" w:eastAsia="en-US" w:bidi="en-US"/>
      </w:rPr>
    </w:lvl>
    <w:lvl w:ilvl="4" w:tplc="53DC9784">
      <w:numFmt w:val="bullet"/>
      <w:lvlText w:val="•"/>
      <w:lvlJc w:val="left"/>
      <w:pPr>
        <w:ind w:left="4472" w:hanging="360"/>
      </w:pPr>
      <w:rPr>
        <w:rFonts w:hint="default"/>
        <w:lang w:val="en-US" w:eastAsia="en-US" w:bidi="en-US"/>
      </w:rPr>
    </w:lvl>
    <w:lvl w:ilvl="5" w:tplc="18C45F36">
      <w:numFmt w:val="bullet"/>
      <w:lvlText w:val="•"/>
      <w:lvlJc w:val="left"/>
      <w:pPr>
        <w:ind w:left="5380" w:hanging="360"/>
      </w:pPr>
      <w:rPr>
        <w:rFonts w:hint="default"/>
        <w:lang w:val="en-US" w:eastAsia="en-US" w:bidi="en-US"/>
      </w:rPr>
    </w:lvl>
    <w:lvl w:ilvl="6" w:tplc="37C2952C">
      <w:numFmt w:val="bullet"/>
      <w:lvlText w:val="•"/>
      <w:lvlJc w:val="left"/>
      <w:pPr>
        <w:ind w:left="6288" w:hanging="360"/>
      </w:pPr>
      <w:rPr>
        <w:rFonts w:hint="default"/>
        <w:lang w:val="en-US" w:eastAsia="en-US" w:bidi="en-US"/>
      </w:rPr>
    </w:lvl>
    <w:lvl w:ilvl="7" w:tplc="3BCED7B2">
      <w:numFmt w:val="bullet"/>
      <w:lvlText w:val="•"/>
      <w:lvlJc w:val="left"/>
      <w:pPr>
        <w:ind w:left="7196" w:hanging="360"/>
      </w:pPr>
      <w:rPr>
        <w:rFonts w:hint="default"/>
        <w:lang w:val="en-US" w:eastAsia="en-US" w:bidi="en-US"/>
      </w:rPr>
    </w:lvl>
    <w:lvl w:ilvl="8" w:tplc="76F290DC">
      <w:numFmt w:val="bullet"/>
      <w:lvlText w:val="•"/>
      <w:lvlJc w:val="left"/>
      <w:pPr>
        <w:ind w:left="8104" w:hanging="360"/>
      </w:pPr>
      <w:rPr>
        <w:rFonts w:hint="default"/>
        <w:lang w:val="en-US" w:eastAsia="en-US" w:bidi="en-US"/>
      </w:rPr>
    </w:lvl>
  </w:abstractNum>
  <w:abstractNum w:abstractNumId="1" w15:restartNumberingAfterBreak="0">
    <w:nsid w:val="212965E2"/>
    <w:multiLevelType w:val="hybridMultilevel"/>
    <w:tmpl w:val="C6B6E598"/>
    <w:lvl w:ilvl="0" w:tplc="7A0A409E">
      <w:numFmt w:val="bullet"/>
      <w:lvlText w:val=""/>
      <w:lvlJc w:val="left"/>
      <w:pPr>
        <w:ind w:left="839" w:hanging="360"/>
      </w:pPr>
      <w:rPr>
        <w:rFonts w:ascii="Symbol" w:eastAsia="Symbol" w:hAnsi="Symbol" w:cs="Symbol" w:hint="default"/>
        <w:w w:val="100"/>
        <w:sz w:val="24"/>
        <w:szCs w:val="24"/>
        <w:lang w:val="en-US" w:eastAsia="en-US" w:bidi="en-US"/>
      </w:rPr>
    </w:lvl>
    <w:lvl w:ilvl="1" w:tplc="3F3E8B46">
      <w:numFmt w:val="bullet"/>
      <w:lvlText w:val="•"/>
      <w:lvlJc w:val="left"/>
      <w:pPr>
        <w:ind w:left="1560" w:hanging="360"/>
      </w:pPr>
      <w:rPr>
        <w:rFonts w:hint="default"/>
        <w:lang w:val="en-US" w:eastAsia="en-US" w:bidi="en-US"/>
      </w:rPr>
    </w:lvl>
    <w:lvl w:ilvl="2" w:tplc="72B4E5AA">
      <w:numFmt w:val="bullet"/>
      <w:lvlText w:val="•"/>
      <w:lvlJc w:val="left"/>
      <w:pPr>
        <w:ind w:left="2488" w:hanging="360"/>
      </w:pPr>
      <w:rPr>
        <w:rFonts w:hint="default"/>
        <w:lang w:val="en-US" w:eastAsia="en-US" w:bidi="en-US"/>
      </w:rPr>
    </w:lvl>
    <w:lvl w:ilvl="3" w:tplc="5000789A">
      <w:numFmt w:val="bullet"/>
      <w:lvlText w:val="•"/>
      <w:lvlJc w:val="left"/>
      <w:pPr>
        <w:ind w:left="3417" w:hanging="360"/>
      </w:pPr>
      <w:rPr>
        <w:rFonts w:hint="default"/>
        <w:lang w:val="en-US" w:eastAsia="en-US" w:bidi="en-US"/>
      </w:rPr>
    </w:lvl>
    <w:lvl w:ilvl="4" w:tplc="35E60CCA">
      <w:numFmt w:val="bullet"/>
      <w:lvlText w:val="•"/>
      <w:lvlJc w:val="left"/>
      <w:pPr>
        <w:ind w:left="4346" w:hanging="360"/>
      </w:pPr>
      <w:rPr>
        <w:rFonts w:hint="default"/>
        <w:lang w:val="en-US" w:eastAsia="en-US" w:bidi="en-US"/>
      </w:rPr>
    </w:lvl>
    <w:lvl w:ilvl="5" w:tplc="2088887E">
      <w:numFmt w:val="bullet"/>
      <w:lvlText w:val="•"/>
      <w:lvlJc w:val="left"/>
      <w:pPr>
        <w:ind w:left="5275" w:hanging="360"/>
      </w:pPr>
      <w:rPr>
        <w:rFonts w:hint="default"/>
        <w:lang w:val="en-US" w:eastAsia="en-US" w:bidi="en-US"/>
      </w:rPr>
    </w:lvl>
    <w:lvl w:ilvl="6" w:tplc="AEA8DDA2">
      <w:numFmt w:val="bullet"/>
      <w:lvlText w:val="•"/>
      <w:lvlJc w:val="left"/>
      <w:pPr>
        <w:ind w:left="6204" w:hanging="360"/>
      </w:pPr>
      <w:rPr>
        <w:rFonts w:hint="default"/>
        <w:lang w:val="en-US" w:eastAsia="en-US" w:bidi="en-US"/>
      </w:rPr>
    </w:lvl>
    <w:lvl w:ilvl="7" w:tplc="343066DC">
      <w:numFmt w:val="bullet"/>
      <w:lvlText w:val="•"/>
      <w:lvlJc w:val="left"/>
      <w:pPr>
        <w:ind w:left="7133" w:hanging="360"/>
      </w:pPr>
      <w:rPr>
        <w:rFonts w:hint="default"/>
        <w:lang w:val="en-US" w:eastAsia="en-US" w:bidi="en-US"/>
      </w:rPr>
    </w:lvl>
    <w:lvl w:ilvl="8" w:tplc="68761146">
      <w:numFmt w:val="bullet"/>
      <w:lvlText w:val="•"/>
      <w:lvlJc w:val="left"/>
      <w:pPr>
        <w:ind w:left="8062" w:hanging="360"/>
      </w:pPr>
      <w:rPr>
        <w:rFonts w:hint="default"/>
        <w:lang w:val="en-US" w:eastAsia="en-US" w:bidi="en-US"/>
      </w:rPr>
    </w:lvl>
  </w:abstractNum>
  <w:abstractNum w:abstractNumId="2" w15:restartNumberingAfterBreak="0">
    <w:nsid w:val="2BC2616B"/>
    <w:multiLevelType w:val="hybridMultilevel"/>
    <w:tmpl w:val="5C1027E6"/>
    <w:lvl w:ilvl="0" w:tplc="7360B9F4">
      <w:start w:val="1"/>
      <w:numFmt w:val="decimal"/>
      <w:lvlText w:val="%1."/>
      <w:lvlJc w:val="left"/>
      <w:pPr>
        <w:ind w:left="839" w:hanging="360"/>
      </w:pPr>
      <w:rPr>
        <w:rFonts w:ascii="Times New Roman" w:eastAsia="Times New Roman" w:hAnsi="Times New Roman" w:cs="Times New Roman" w:hint="default"/>
        <w:spacing w:val="-5"/>
        <w:w w:val="100"/>
        <w:sz w:val="24"/>
        <w:szCs w:val="24"/>
        <w:lang w:val="en-US" w:eastAsia="en-US" w:bidi="en-US"/>
      </w:rPr>
    </w:lvl>
    <w:lvl w:ilvl="1" w:tplc="1542F682">
      <w:start w:val="1"/>
      <w:numFmt w:val="lowerLetter"/>
      <w:lvlText w:val="%2."/>
      <w:lvlJc w:val="left"/>
      <w:pPr>
        <w:ind w:left="1559" w:hanging="360"/>
      </w:pPr>
      <w:rPr>
        <w:rFonts w:ascii="Times New Roman" w:eastAsia="Times New Roman" w:hAnsi="Times New Roman" w:cs="Times New Roman" w:hint="default"/>
        <w:strike w:val="0"/>
        <w:spacing w:val="-5"/>
        <w:w w:val="100"/>
        <w:sz w:val="24"/>
        <w:szCs w:val="24"/>
        <w:lang w:val="en-US" w:eastAsia="en-US" w:bidi="en-US"/>
      </w:rPr>
    </w:lvl>
    <w:lvl w:ilvl="2" w:tplc="D96EE556">
      <w:start w:val="1"/>
      <w:numFmt w:val="lowerRoman"/>
      <w:lvlText w:val="%3."/>
      <w:lvlJc w:val="left"/>
      <w:pPr>
        <w:ind w:left="2279" w:hanging="308"/>
        <w:jc w:val="right"/>
      </w:pPr>
      <w:rPr>
        <w:rFonts w:ascii="Times New Roman" w:eastAsia="Times New Roman" w:hAnsi="Times New Roman" w:cs="Times New Roman" w:hint="default"/>
        <w:spacing w:val="-5"/>
        <w:w w:val="100"/>
        <w:sz w:val="24"/>
        <w:szCs w:val="24"/>
        <w:lang w:val="en-US" w:eastAsia="en-US" w:bidi="en-US"/>
      </w:rPr>
    </w:lvl>
    <w:lvl w:ilvl="3" w:tplc="98440098">
      <w:start w:val="1"/>
      <w:numFmt w:val="decimal"/>
      <w:lvlText w:val="%4."/>
      <w:lvlJc w:val="left"/>
      <w:pPr>
        <w:ind w:left="2999" w:hanging="360"/>
      </w:pPr>
      <w:rPr>
        <w:rFonts w:ascii="Times New Roman" w:eastAsia="Times New Roman" w:hAnsi="Times New Roman" w:cs="Times New Roman" w:hint="default"/>
        <w:spacing w:val="-3"/>
        <w:w w:val="100"/>
        <w:sz w:val="24"/>
        <w:szCs w:val="24"/>
        <w:lang w:val="en-US" w:eastAsia="en-US" w:bidi="en-US"/>
      </w:rPr>
    </w:lvl>
    <w:lvl w:ilvl="4" w:tplc="3D740544">
      <w:numFmt w:val="bullet"/>
      <w:lvlText w:val="•"/>
      <w:lvlJc w:val="left"/>
      <w:pPr>
        <w:ind w:left="3988" w:hanging="360"/>
      </w:pPr>
      <w:rPr>
        <w:rFonts w:hint="default"/>
        <w:lang w:val="en-US" w:eastAsia="en-US" w:bidi="en-US"/>
      </w:rPr>
    </w:lvl>
    <w:lvl w:ilvl="5" w:tplc="8570BD98">
      <w:numFmt w:val="bullet"/>
      <w:lvlText w:val="•"/>
      <w:lvlJc w:val="left"/>
      <w:pPr>
        <w:ind w:left="4977" w:hanging="360"/>
      </w:pPr>
      <w:rPr>
        <w:rFonts w:hint="default"/>
        <w:lang w:val="en-US" w:eastAsia="en-US" w:bidi="en-US"/>
      </w:rPr>
    </w:lvl>
    <w:lvl w:ilvl="6" w:tplc="0A3A9028">
      <w:numFmt w:val="bullet"/>
      <w:lvlText w:val="•"/>
      <w:lvlJc w:val="left"/>
      <w:pPr>
        <w:ind w:left="5965" w:hanging="360"/>
      </w:pPr>
      <w:rPr>
        <w:rFonts w:hint="default"/>
        <w:lang w:val="en-US" w:eastAsia="en-US" w:bidi="en-US"/>
      </w:rPr>
    </w:lvl>
    <w:lvl w:ilvl="7" w:tplc="DEF84C74">
      <w:numFmt w:val="bullet"/>
      <w:lvlText w:val="•"/>
      <w:lvlJc w:val="left"/>
      <w:pPr>
        <w:ind w:left="6954" w:hanging="360"/>
      </w:pPr>
      <w:rPr>
        <w:rFonts w:hint="default"/>
        <w:lang w:val="en-US" w:eastAsia="en-US" w:bidi="en-US"/>
      </w:rPr>
    </w:lvl>
    <w:lvl w:ilvl="8" w:tplc="7554B8E4">
      <w:numFmt w:val="bullet"/>
      <w:lvlText w:val="•"/>
      <w:lvlJc w:val="left"/>
      <w:pPr>
        <w:ind w:left="7942" w:hanging="360"/>
      </w:pPr>
      <w:rPr>
        <w:rFonts w:hint="default"/>
        <w:lang w:val="en-US" w:eastAsia="en-US" w:bidi="en-US"/>
      </w:rPr>
    </w:lvl>
  </w:abstractNum>
  <w:abstractNum w:abstractNumId="3" w15:restartNumberingAfterBreak="0">
    <w:nsid w:val="403D250E"/>
    <w:multiLevelType w:val="hybridMultilevel"/>
    <w:tmpl w:val="969C544A"/>
    <w:lvl w:ilvl="0" w:tplc="1C74F9CC">
      <w:start w:val="1"/>
      <w:numFmt w:val="decimal"/>
      <w:lvlText w:val="%1."/>
      <w:lvlJc w:val="left"/>
      <w:pPr>
        <w:ind w:left="839" w:hanging="360"/>
      </w:pPr>
      <w:rPr>
        <w:rFonts w:ascii="Times New Roman" w:eastAsia="Times New Roman" w:hAnsi="Times New Roman" w:cs="Times New Roman" w:hint="default"/>
        <w:spacing w:val="-6"/>
        <w:w w:val="100"/>
        <w:sz w:val="24"/>
        <w:szCs w:val="24"/>
        <w:lang w:val="en-US" w:eastAsia="en-US" w:bidi="en-US"/>
      </w:rPr>
    </w:lvl>
    <w:lvl w:ilvl="1" w:tplc="B39AA77A">
      <w:numFmt w:val="bullet"/>
      <w:lvlText w:val="•"/>
      <w:lvlJc w:val="left"/>
      <w:pPr>
        <w:ind w:left="1748" w:hanging="360"/>
      </w:pPr>
      <w:rPr>
        <w:rFonts w:hint="default"/>
        <w:lang w:val="en-US" w:eastAsia="en-US" w:bidi="en-US"/>
      </w:rPr>
    </w:lvl>
    <w:lvl w:ilvl="2" w:tplc="713698FC">
      <w:numFmt w:val="bullet"/>
      <w:lvlText w:val="•"/>
      <w:lvlJc w:val="left"/>
      <w:pPr>
        <w:ind w:left="2656" w:hanging="360"/>
      </w:pPr>
      <w:rPr>
        <w:rFonts w:hint="default"/>
        <w:lang w:val="en-US" w:eastAsia="en-US" w:bidi="en-US"/>
      </w:rPr>
    </w:lvl>
    <w:lvl w:ilvl="3" w:tplc="8B1C1A7E">
      <w:numFmt w:val="bullet"/>
      <w:lvlText w:val="•"/>
      <w:lvlJc w:val="left"/>
      <w:pPr>
        <w:ind w:left="3564" w:hanging="360"/>
      </w:pPr>
      <w:rPr>
        <w:rFonts w:hint="default"/>
        <w:lang w:val="en-US" w:eastAsia="en-US" w:bidi="en-US"/>
      </w:rPr>
    </w:lvl>
    <w:lvl w:ilvl="4" w:tplc="D3C4A1F8">
      <w:numFmt w:val="bullet"/>
      <w:lvlText w:val="•"/>
      <w:lvlJc w:val="left"/>
      <w:pPr>
        <w:ind w:left="4472" w:hanging="360"/>
      </w:pPr>
      <w:rPr>
        <w:rFonts w:hint="default"/>
        <w:lang w:val="en-US" w:eastAsia="en-US" w:bidi="en-US"/>
      </w:rPr>
    </w:lvl>
    <w:lvl w:ilvl="5" w:tplc="4F48D36C">
      <w:numFmt w:val="bullet"/>
      <w:lvlText w:val="•"/>
      <w:lvlJc w:val="left"/>
      <w:pPr>
        <w:ind w:left="5380" w:hanging="360"/>
      </w:pPr>
      <w:rPr>
        <w:rFonts w:hint="default"/>
        <w:lang w:val="en-US" w:eastAsia="en-US" w:bidi="en-US"/>
      </w:rPr>
    </w:lvl>
    <w:lvl w:ilvl="6" w:tplc="839807F4">
      <w:numFmt w:val="bullet"/>
      <w:lvlText w:val="•"/>
      <w:lvlJc w:val="left"/>
      <w:pPr>
        <w:ind w:left="6288" w:hanging="360"/>
      </w:pPr>
      <w:rPr>
        <w:rFonts w:hint="default"/>
        <w:lang w:val="en-US" w:eastAsia="en-US" w:bidi="en-US"/>
      </w:rPr>
    </w:lvl>
    <w:lvl w:ilvl="7" w:tplc="908000E2">
      <w:numFmt w:val="bullet"/>
      <w:lvlText w:val="•"/>
      <w:lvlJc w:val="left"/>
      <w:pPr>
        <w:ind w:left="7196" w:hanging="360"/>
      </w:pPr>
      <w:rPr>
        <w:rFonts w:hint="default"/>
        <w:lang w:val="en-US" w:eastAsia="en-US" w:bidi="en-US"/>
      </w:rPr>
    </w:lvl>
    <w:lvl w:ilvl="8" w:tplc="55865410">
      <w:numFmt w:val="bullet"/>
      <w:lvlText w:val="•"/>
      <w:lvlJc w:val="left"/>
      <w:pPr>
        <w:ind w:left="8104" w:hanging="360"/>
      </w:pPr>
      <w:rPr>
        <w:rFonts w:hint="default"/>
        <w:lang w:val="en-US" w:eastAsia="en-US" w:bidi="en-US"/>
      </w:rPr>
    </w:lvl>
  </w:abstractNum>
  <w:abstractNum w:abstractNumId="4" w15:restartNumberingAfterBreak="0">
    <w:nsid w:val="52A54038"/>
    <w:multiLevelType w:val="hybridMultilevel"/>
    <w:tmpl w:val="BB2613A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F3845"/>
    <w:multiLevelType w:val="hybridMultilevel"/>
    <w:tmpl w:val="A64C4BF4"/>
    <w:lvl w:ilvl="0" w:tplc="E89641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42CCAD2">
      <w:start w:val="1"/>
      <w:numFmt w:val="lowerRoman"/>
      <w:lvlText w:val="%3."/>
      <w:lvlJc w:val="right"/>
      <w:pPr>
        <w:ind w:left="2160" w:hanging="180"/>
      </w:pPr>
      <w:rPr>
        <w:sz w:val="24"/>
        <w:szCs w:val="24"/>
      </w:rPr>
    </w:lvl>
    <w:lvl w:ilvl="3" w:tplc="52D05D0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35D96"/>
    <w:multiLevelType w:val="hybridMultilevel"/>
    <w:tmpl w:val="07661898"/>
    <w:lvl w:ilvl="0" w:tplc="EE84BBEC">
      <w:start w:val="1"/>
      <w:numFmt w:val="decimal"/>
      <w:lvlText w:val="%1."/>
      <w:lvlJc w:val="left"/>
      <w:pPr>
        <w:ind w:left="839" w:hanging="360"/>
      </w:pPr>
      <w:rPr>
        <w:rFonts w:ascii="Times New Roman" w:eastAsia="Times New Roman" w:hAnsi="Times New Roman" w:cs="Times New Roman" w:hint="default"/>
        <w:spacing w:val="-5"/>
        <w:w w:val="100"/>
        <w:sz w:val="24"/>
        <w:szCs w:val="24"/>
        <w:lang w:val="en-US" w:eastAsia="en-US" w:bidi="en-US"/>
      </w:rPr>
    </w:lvl>
    <w:lvl w:ilvl="1" w:tplc="C4C2FEEE">
      <w:numFmt w:val="bullet"/>
      <w:lvlText w:val="•"/>
      <w:lvlJc w:val="left"/>
      <w:pPr>
        <w:ind w:left="1748" w:hanging="360"/>
      </w:pPr>
      <w:rPr>
        <w:rFonts w:hint="default"/>
        <w:lang w:val="en-US" w:eastAsia="en-US" w:bidi="en-US"/>
      </w:rPr>
    </w:lvl>
    <w:lvl w:ilvl="2" w:tplc="8512A380">
      <w:numFmt w:val="bullet"/>
      <w:lvlText w:val="•"/>
      <w:lvlJc w:val="left"/>
      <w:pPr>
        <w:ind w:left="2656" w:hanging="360"/>
      </w:pPr>
      <w:rPr>
        <w:rFonts w:hint="default"/>
        <w:lang w:val="en-US" w:eastAsia="en-US" w:bidi="en-US"/>
      </w:rPr>
    </w:lvl>
    <w:lvl w:ilvl="3" w:tplc="F13E69AA">
      <w:numFmt w:val="bullet"/>
      <w:lvlText w:val="•"/>
      <w:lvlJc w:val="left"/>
      <w:pPr>
        <w:ind w:left="3564" w:hanging="360"/>
      </w:pPr>
      <w:rPr>
        <w:rFonts w:hint="default"/>
        <w:lang w:val="en-US" w:eastAsia="en-US" w:bidi="en-US"/>
      </w:rPr>
    </w:lvl>
    <w:lvl w:ilvl="4" w:tplc="FF90C998">
      <w:numFmt w:val="bullet"/>
      <w:lvlText w:val="•"/>
      <w:lvlJc w:val="left"/>
      <w:pPr>
        <w:ind w:left="4472" w:hanging="360"/>
      </w:pPr>
      <w:rPr>
        <w:rFonts w:hint="default"/>
        <w:lang w:val="en-US" w:eastAsia="en-US" w:bidi="en-US"/>
      </w:rPr>
    </w:lvl>
    <w:lvl w:ilvl="5" w:tplc="621EA0AC">
      <w:numFmt w:val="bullet"/>
      <w:lvlText w:val="•"/>
      <w:lvlJc w:val="left"/>
      <w:pPr>
        <w:ind w:left="5380" w:hanging="360"/>
      </w:pPr>
      <w:rPr>
        <w:rFonts w:hint="default"/>
        <w:lang w:val="en-US" w:eastAsia="en-US" w:bidi="en-US"/>
      </w:rPr>
    </w:lvl>
    <w:lvl w:ilvl="6" w:tplc="72942DA2">
      <w:numFmt w:val="bullet"/>
      <w:lvlText w:val="•"/>
      <w:lvlJc w:val="left"/>
      <w:pPr>
        <w:ind w:left="6288" w:hanging="360"/>
      </w:pPr>
      <w:rPr>
        <w:rFonts w:hint="default"/>
        <w:lang w:val="en-US" w:eastAsia="en-US" w:bidi="en-US"/>
      </w:rPr>
    </w:lvl>
    <w:lvl w:ilvl="7" w:tplc="09FAF70E">
      <w:numFmt w:val="bullet"/>
      <w:lvlText w:val="•"/>
      <w:lvlJc w:val="left"/>
      <w:pPr>
        <w:ind w:left="7196" w:hanging="360"/>
      </w:pPr>
      <w:rPr>
        <w:rFonts w:hint="default"/>
        <w:lang w:val="en-US" w:eastAsia="en-US" w:bidi="en-US"/>
      </w:rPr>
    </w:lvl>
    <w:lvl w:ilvl="8" w:tplc="5E287704">
      <w:numFmt w:val="bullet"/>
      <w:lvlText w:val="•"/>
      <w:lvlJc w:val="left"/>
      <w:pPr>
        <w:ind w:left="8104" w:hanging="360"/>
      </w:pPr>
      <w:rPr>
        <w:rFonts w:hint="default"/>
        <w:lang w:val="en-US" w:eastAsia="en-US" w:bidi="en-US"/>
      </w:rPr>
    </w:lvl>
  </w:abstractNum>
  <w:abstractNum w:abstractNumId="7" w15:restartNumberingAfterBreak="0">
    <w:nsid w:val="70B638DD"/>
    <w:multiLevelType w:val="hybridMultilevel"/>
    <w:tmpl w:val="51BC082C"/>
    <w:lvl w:ilvl="0" w:tplc="C4A6B224">
      <w:start w:val="1"/>
      <w:numFmt w:val="decimal"/>
      <w:lvlText w:val="%1."/>
      <w:lvlJc w:val="left"/>
      <w:pPr>
        <w:ind w:left="839" w:hanging="360"/>
      </w:pPr>
      <w:rPr>
        <w:rFonts w:ascii="Times New Roman" w:eastAsia="Times New Roman" w:hAnsi="Times New Roman" w:cs="Times New Roman" w:hint="default"/>
        <w:spacing w:val="-4"/>
        <w:w w:val="100"/>
        <w:sz w:val="24"/>
        <w:szCs w:val="24"/>
        <w:lang w:val="en-US" w:eastAsia="en-US" w:bidi="en-US"/>
      </w:rPr>
    </w:lvl>
    <w:lvl w:ilvl="1" w:tplc="93BCFF78">
      <w:numFmt w:val="bullet"/>
      <w:lvlText w:val="•"/>
      <w:lvlJc w:val="left"/>
      <w:pPr>
        <w:ind w:left="1748" w:hanging="360"/>
      </w:pPr>
      <w:rPr>
        <w:rFonts w:hint="default"/>
        <w:lang w:val="en-US" w:eastAsia="en-US" w:bidi="en-US"/>
      </w:rPr>
    </w:lvl>
    <w:lvl w:ilvl="2" w:tplc="35A0CCCC">
      <w:numFmt w:val="bullet"/>
      <w:lvlText w:val="•"/>
      <w:lvlJc w:val="left"/>
      <w:pPr>
        <w:ind w:left="2656" w:hanging="360"/>
      </w:pPr>
      <w:rPr>
        <w:rFonts w:hint="default"/>
        <w:lang w:val="en-US" w:eastAsia="en-US" w:bidi="en-US"/>
      </w:rPr>
    </w:lvl>
    <w:lvl w:ilvl="3" w:tplc="61345D70">
      <w:numFmt w:val="bullet"/>
      <w:lvlText w:val="•"/>
      <w:lvlJc w:val="left"/>
      <w:pPr>
        <w:ind w:left="3564" w:hanging="360"/>
      </w:pPr>
      <w:rPr>
        <w:rFonts w:hint="default"/>
        <w:lang w:val="en-US" w:eastAsia="en-US" w:bidi="en-US"/>
      </w:rPr>
    </w:lvl>
    <w:lvl w:ilvl="4" w:tplc="2DEC3480">
      <w:numFmt w:val="bullet"/>
      <w:lvlText w:val="•"/>
      <w:lvlJc w:val="left"/>
      <w:pPr>
        <w:ind w:left="4472" w:hanging="360"/>
      </w:pPr>
      <w:rPr>
        <w:rFonts w:hint="default"/>
        <w:lang w:val="en-US" w:eastAsia="en-US" w:bidi="en-US"/>
      </w:rPr>
    </w:lvl>
    <w:lvl w:ilvl="5" w:tplc="6A4672EC">
      <w:numFmt w:val="bullet"/>
      <w:lvlText w:val="•"/>
      <w:lvlJc w:val="left"/>
      <w:pPr>
        <w:ind w:left="5380" w:hanging="360"/>
      </w:pPr>
      <w:rPr>
        <w:rFonts w:hint="default"/>
        <w:lang w:val="en-US" w:eastAsia="en-US" w:bidi="en-US"/>
      </w:rPr>
    </w:lvl>
    <w:lvl w:ilvl="6" w:tplc="62DE4BE6">
      <w:numFmt w:val="bullet"/>
      <w:lvlText w:val="•"/>
      <w:lvlJc w:val="left"/>
      <w:pPr>
        <w:ind w:left="6288" w:hanging="360"/>
      </w:pPr>
      <w:rPr>
        <w:rFonts w:hint="default"/>
        <w:lang w:val="en-US" w:eastAsia="en-US" w:bidi="en-US"/>
      </w:rPr>
    </w:lvl>
    <w:lvl w:ilvl="7" w:tplc="20803622">
      <w:numFmt w:val="bullet"/>
      <w:lvlText w:val="•"/>
      <w:lvlJc w:val="left"/>
      <w:pPr>
        <w:ind w:left="7196" w:hanging="360"/>
      </w:pPr>
      <w:rPr>
        <w:rFonts w:hint="default"/>
        <w:lang w:val="en-US" w:eastAsia="en-US" w:bidi="en-US"/>
      </w:rPr>
    </w:lvl>
    <w:lvl w:ilvl="8" w:tplc="0C92B2D0">
      <w:numFmt w:val="bullet"/>
      <w:lvlText w:val="•"/>
      <w:lvlJc w:val="left"/>
      <w:pPr>
        <w:ind w:left="8104" w:hanging="360"/>
      </w:pPr>
      <w:rPr>
        <w:rFonts w:hint="default"/>
        <w:lang w:val="en-US" w:eastAsia="en-US" w:bidi="en-US"/>
      </w:rPr>
    </w:lvl>
  </w:abstractNum>
  <w:abstractNum w:abstractNumId="8" w15:restartNumberingAfterBreak="0">
    <w:nsid w:val="74023A6A"/>
    <w:multiLevelType w:val="hybridMultilevel"/>
    <w:tmpl w:val="C2887EB6"/>
    <w:lvl w:ilvl="0" w:tplc="DE32CD18">
      <w:start w:val="1"/>
      <w:numFmt w:val="decimal"/>
      <w:lvlText w:val="%1."/>
      <w:lvlJc w:val="left"/>
      <w:pPr>
        <w:ind w:left="839" w:hanging="360"/>
      </w:pPr>
      <w:rPr>
        <w:rFonts w:hint="default"/>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6"/>
  </w:num>
  <w:num w:numId="2">
    <w:abstractNumId w:val="1"/>
  </w:num>
  <w:num w:numId="3">
    <w:abstractNumId w:val="0"/>
  </w:num>
  <w:num w:numId="4">
    <w:abstractNumId w:val="7"/>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FC"/>
    <w:rsid w:val="000065B9"/>
    <w:rsid w:val="000E185B"/>
    <w:rsid w:val="00135EF2"/>
    <w:rsid w:val="00180BA0"/>
    <w:rsid w:val="00180DB4"/>
    <w:rsid w:val="0018662C"/>
    <w:rsid w:val="001A5F66"/>
    <w:rsid w:val="001C20BE"/>
    <w:rsid w:val="001D7E48"/>
    <w:rsid w:val="001E7A2B"/>
    <w:rsid w:val="002E4322"/>
    <w:rsid w:val="00310518"/>
    <w:rsid w:val="003105B8"/>
    <w:rsid w:val="00326681"/>
    <w:rsid w:val="00351E62"/>
    <w:rsid w:val="00356C07"/>
    <w:rsid w:val="00370CF9"/>
    <w:rsid w:val="003924DC"/>
    <w:rsid w:val="00393C3D"/>
    <w:rsid w:val="003A646D"/>
    <w:rsid w:val="003D00FC"/>
    <w:rsid w:val="003E6CB9"/>
    <w:rsid w:val="00465972"/>
    <w:rsid w:val="004A15B0"/>
    <w:rsid w:val="00557EF6"/>
    <w:rsid w:val="005A3C15"/>
    <w:rsid w:val="005A4F22"/>
    <w:rsid w:val="005E3B6E"/>
    <w:rsid w:val="005F7513"/>
    <w:rsid w:val="0063304B"/>
    <w:rsid w:val="0063526E"/>
    <w:rsid w:val="0064065B"/>
    <w:rsid w:val="006A6335"/>
    <w:rsid w:val="007029FE"/>
    <w:rsid w:val="007225DD"/>
    <w:rsid w:val="00770DC3"/>
    <w:rsid w:val="007B3FC9"/>
    <w:rsid w:val="0087138B"/>
    <w:rsid w:val="008C266D"/>
    <w:rsid w:val="009155D8"/>
    <w:rsid w:val="00920274"/>
    <w:rsid w:val="0093633F"/>
    <w:rsid w:val="00973909"/>
    <w:rsid w:val="009A7C36"/>
    <w:rsid w:val="009B0973"/>
    <w:rsid w:val="009B1C93"/>
    <w:rsid w:val="009C7320"/>
    <w:rsid w:val="00A27C51"/>
    <w:rsid w:val="00A335EC"/>
    <w:rsid w:val="00A52EE6"/>
    <w:rsid w:val="00A744B1"/>
    <w:rsid w:val="00AA1DC6"/>
    <w:rsid w:val="00AD7911"/>
    <w:rsid w:val="00B878F6"/>
    <w:rsid w:val="00BB31FA"/>
    <w:rsid w:val="00BB55AC"/>
    <w:rsid w:val="00BD289C"/>
    <w:rsid w:val="00C019E8"/>
    <w:rsid w:val="00C17096"/>
    <w:rsid w:val="00C66827"/>
    <w:rsid w:val="00CF35B3"/>
    <w:rsid w:val="00D06D4E"/>
    <w:rsid w:val="00D904A1"/>
    <w:rsid w:val="00DC06F7"/>
    <w:rsid w:val="00DE1353"/>
    <w:rsid w:val="00E43357"/>
    <w:rsid w:val="00E45F76"/>
    <w:rsid w:val="00E650A5"/>
    <w:rsid w:val="00EB4C92"/>
    <w:rsid w:val="00F10436"/>
    <w:rsid w:val="00F13C64"/>
    <w:rsid w:val="00F1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8051F5"/>
  <w15:docId w15:val="{23C29418-19CF-4B9D-B027-59A14654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pPr>
    <w:rPr>
      <w:sz w:val="24"/>
      <w:szCs w:val="24"/>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jc w:val="center"/>
    </w:pPr>
    <w:rPr>
      <w:rFonts w:ascii="Calibri" w:eastAsia="Calibri" w:hAnsi="Calibri" w:cs="Calibri"/>
    </w:rPr>
  </w:style>
  <w:style w:type="character" w:styleId="CommentReference">
    <w:name w:val="annotation reference"/>
    <w:basedOn w:val="DefaultParagraphFont"/>
    <w:uiPriority w:val="99"/>
    <w:semiHidden/>
    <w:unhideWhenUsed/>
    <w:rsid w:val="003105B8"/>
    <w:rPr>
      <w:sz w:val="16"/>
      <w:szCs w:val="16"/>
    </w:rPr>
  </w:style>
  <w:style w:type="paragraph" w:styleId="CommentText">
    <w:name w:val="annotation text"/>
    <w:basedOn w:val="Normal"/>
    <w:link w:val="CommentTextChar"/>
    <w:uiPriority w:val="99"/>
    <w:semiHidden/>
    <w:unhideWhenUsed/>
    <w:rsid w:val="003105B8"/>
    <w:rPr>
      <w:sz w:val="20"/>
      <w:szCs w:val="20"/>
    </w:rPr>
  </w:style>
  <w:style w:type="character" w:customStyle="1" w:styleId="CommentTextChar">
    <w:name w:val="Comment Text Char"/>
    <w:basedOn w:val="DefaultParagraphFont"/>
    <w:link w:val="CommentText"/>
    <w:uiPriority w:val="99"/>
    <w:semiHidden/>
    <w:rsid w:val="003105B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105B8"/>
    <w:rPr>
      <w:b/>
      <w:bCs/>
    </w:rPr>
  </w:style>
  <w:style w:type="character" w:customStyle="1" w:styleId="CommentSubjectChar">
    <w:name w:val="Comment Subject Char"/>
    <w:basedOn w:val="CommentTextChar"/>
    <w:link w:val="CommentSubject"/>
    <w:uiPriority w:val="99"/>
    <w:semiHidden/>
    <w:rsid w:val="003105B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57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EF6"/>
    <w:rPr>
      <w:rFonts w:ascii="Segoe UI" w:eastAsia="Times New Roman" w:hAnsi="Segoe UI" w:cs="Segoe UI"/>
      <w:sz w:val="18"/>
      <w:szCs w:val="18"/>
      <w:lang w:bidi="en-US"/>
    </w:rPr>
  </w:style>
  <w:style w:type="paragraph" w:styleId="Header">
    <w:name w:val="header"/>
    <w:basedOn w:val="Normal"/>
    <w:link w:val="HeaderChar"/>
    <w:uiPriority w:val="99"/>
    <w:unhideWhenUsed/>
    <w:rsid w:val="00C66827"/>
    <w:pPr>
      <w:tabs>
        <w:tab w:val="center" w:pos="4680"/>
        <w:tab w:val="right" w:pos="9360"/>
      </w:tabs>
    </w:pPr>
  </w:style>
  <w:style w:type="character" w:customStyle="1" w:styleId="HeaderChar">
    <w:name w:val="Header Char"/>
    <w:basedOn w:val="DefaultParagraphFont"/>
    <w:link w:val="Header"/>
    <w:uiPriority w:val="99"/>
    <w:rsid w:val="00C66827"/>
    <w:rPr>
      <w:rFonts w:ascii="Times New Roman" w:eastAsia="Times New Roman" w:hAnsi="Times New Roman" w:cs="Times New Roman"/>
      <w:lang w:bidi="en-US"/>
    </w:rPr>
  </w:style>
  <w:style w:type="paragraph" w:styleId="Footer">
    <w:name w:val="footer"/>
    <w:basedOn w:val="Normal"/>
    <w:link w:val="FooterChar"/>
    <w:uiPriority w:val="99"/>
    <w:unhideWhenUsed/>
    <w:rsid w:val="00C66827"/>
    <w:pPr>
      <w:tabs>
        <w:tab w:val="center" w:pos="4680"/>
        <w:tab w:val="right" w:pos="9360"/>
      </w:tabs>
    </w:pPr>
  </w:style>
  <w:style w:type="character" w:customStyle="1" w:styleId="FooterChar">
    <w:name w:val="Footer Char"/>
    <w:basedOn w:val="DefaultParagraphFont"/>
    <w:link w:val="Footer"/>
    <w:uiPriority w:val="99"/>
    <w:rsid w:val="00C6682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Research-Statistics-Data-and-Systems/Statistics-Trends-and-Reports/NationalHealthExpendData/NationalHealthAccountsHistorical.html" TargetMode="External"/><Relationship Id="rId5" Type="http://schemas.openxmlformats.org/officeDocument/2006/relationships/footnotes" Target="footnotes.xml"/><Relationship Id="rId10" Type="http://schemas.openxmlformats.org/officeDocument/2006/relationships/hyperlink" Target="https://www.cms.gov/Research-Statistics-Data-and-Systems/Statistics-Trends-and-Reports/NationalHealthExpendData/NationalHealthAccountsHistorical.html" TargetMode="External"/><Relationship Id="rId4" Type="http://schemas.openxmlformats.org/officeDocument/2006/relationships/webSettings" Target="webSettings.xml"/><Relationship Id="rId9" Type="http://schemas.openxmlformats.org/officeDocument/2006/relationships/hyperlink" Target="https://www.cms.gov/Research-Statistics-Data-and-Systems/Statistics-Trends-and-Reports/NationalHealthExpendData/NationalHealthAccountsHistoric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1785</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OEIBB Commercial Carrier Policy</vt:lpstr>
      <vt:lpstr>State of Oklahoma</vt:lpstr>
      <vt:lpstr>POLICY</vt:lpstr>
      <vt:lpstr>SECTION II. Contracting</vt:lpstr>
      <vt:lpstr>SECTION III. Administration Fee</vt:lpstr>
      <vt:lpstr>SECTION IV. Risk Adjustment</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OEIBB Commercial Carrier Policy</dc:title>
  <dc:subject>OEIBB Commercial Carrier Policy</dc:subject>
  <dc:creator>Cathy Stephens</dc:creator>
  <cp:keywords>oeibb; oklahoma employees; insurance; benefits; board; commercial; carrier</cp:keywords>
  <dc:description/>
  <cp:lastModifiedBy>Darlene Saltzman</cp:lastModifiedBy>
  <cp:revision>3</cp:revision>
  <dcterms:created xsi:type="dcterms:W3CDTF">2021-11-19T13:07:00Z</dcterms:created>
  <dcterms:modified xsi:type="dcterms:W3CDTF">2022-04-01T17:29:00Z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20 for Word</vt:lpwstr>
  </property>
  <property fmtid="{D5CDD505-2E9C-101B-9397-08002B2CF9AE}" pid="4" name="LastSaved">
    <vt:filetime>2020-09-30T00:00:00Z</vt:filetime>
  </property>
</Properties>
</file>