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0819826C"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w:t>
      </w:r>
      <w:r w:rsidRPr="00892BED">
        <w:rPr>
          <w:rFonts w:ascii="Times New Roman" w:hAnsi="Times New Roman" w:cs="Times New Roman"/>
          <w:b w:val="0"/>
          <w:sz w:val="24"/>
          <w:szCs w:val="24"/>
        </w:rPr>
        <w:t xml:space="preserve">a </w:t>
      </w:r>
      <w:r w:rsidR="000A2929">
        <w:rPr>
          <w:rFonts w:ascii="Times New Roman" w:hAnsi="Times New Roman" w:cs="Times New Roman"/>
          <w:b w:val="0"/>
          <w:sz w:val="24"/>
          <w:szCs w:val="24"/>
        </w:rPr>
        <w:t xml:space="preserve">Non- </w:t>
      </w:r>
      <w:r w:rsidRPr="00892BED">
        <w:rPr>
          <w:rFonts w:ascii="Times New Roman" w:hAnsi="Times New Roman" w:cs="Times New Roman"/>
          <w:b w:val="0"/>
          <w:sz w:val="24"/>
          <w:szCs w:val="24"/>
        </w:rPr>
        <w:t xml:space="preserve">mandatory </w:t>
      </w:r>
      <w:r w:rsidR="00020A07" w:rsidRPr="00892BED">
        <w:rPr>
          <w:rFonts w:ascii="Times New Roman" w:hAnsi="Times New Roman" w:cs="Times New Roman"/>
          <w:b w:val="0"/>
          <w:sz w:val="24"/>
          <w:szCs w:val="24"/>
        </w:rPr>
        <w:t>statewide</w:t>
      </w:r>
      <w:r w:rsidR="00020A07">
        <w:rPr>
          <w:rFonts w:ascii="Times New Roman" w:hAnsi="Times New Roman" w:cs="Times New Roman"/>
          <w:b w:val="0"/>
          <w:sz w:val="24"/>
          <w:szCs w:val="24"/>
        </w:rPr>
        <w:t xml:space="preserv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16B78418" w:rsidR="006C3340" w:rsidRPr="006B336E" w:rsidRDefault="00896F50"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w:t>
      </w:r>
      <w:r w:rsidR="00835CCA">
        <w:rPr>
          <w:rFonts w:ascii="Times New Roman" w:hAnsi="Times New Roman" w:cs="Times New Roman"/>
          <w:b w:val="0"/>
          <w:sz w:val="24"/>
          <w:szCs w:val="24"/>
        </w:rPr>
        <w:t>1</w:t>
      </w:r>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w:t>
      </w:r>
      <w:r w:rsidR="00835CCA">
        <w:rPr>
          <w:rFonts w:ascii="Times New Roman" w:hAnsi="Times New Roman" w:cs="Times New Roman"/>
          <w:b w:val="0"/>
          <w:sz w:val="24"/>
          <w:szCs w:val="24"/>
        </w:rPr>
        <w:t>1</w:t>
      </w:r>
      <w:r>
        <w:rPr>
          <w:rFonts w:ascii="Times New Roman" w:hAnsi="Times New Roman" w:cs="Times New Roman"/>
          <w:b w:val="0"/>
          <w:sz w:val="24"/>
          <w:szCs w:val="24"/>
        </w:rPr>
        <w:t>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A2929"/>
    <w:rsid w:val="000F2B74"/>
    <w:rsid w:val="00140F9F"/>
    <w:rsid w:val="00156E74"/>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85EB5"/>
    <w:rsid w:val="00892BED"/>
    <w:rsid w:val="00896F50"/>
    <w:rsid w:val="00964F5F"/>
    <w:rsid w:val="00976403"/>
    <w:rsid w:val="00976E28"/>
    <w:rsid w:val="00992BD7"/>
    <w:rsid w:val="00A6251D"/>
    <w:rsid w:val="00AC29F6"/>
    <w:rsid w:val="00AE577F"/>
    <w:rsid w:val="00B03F19"/>
    <w:rsid w:val="00B319E8"/>
    <w:rsid w:val="00BF7590"/>
    <w:rsid w:val="00C67654"/>
    <w:rsid w:val="00CB3A1D"/>
    <w:rsid w:val="00CE73AC"/>
    <w:rsid w:val="00D123F2"/>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Cini Zacharia</cp:lastModifiedBy>
  <cp:revision>4</cp:revision>
  <cp:lastPrinted>2019-12-09T22:29:00Z</cp:lastPrinted>
  <dcterms:created xsi:type="dcterms:W3CDTF">2020-09-28T17:20:00Z</dcterms:created>
  <dcterms:modified xsi:type="dcterms:W3CDTF">2021-11-18T22:31:00Z</dcterms:modified>
</cp:coreProperties>
</file>