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BC" w:rsidRDefault="009F5F68">
      <w:pPr>
        <w:pStyle w:val="BodyText"/>
        <w:spacing w:before="39"/>
        <w:ind w:left="2657"/>
      </w:pPr>
      <w:bookmarkStart w:id="0" w:name="_GoBack"/>
      <w:bookmarkEnd w:id="0"/>
      <w:r>
        <w:t>RISK ASSESSMENT (RA) PLAN</w:t>
      </w:r>
    </w:p>
    <w:p w:rsidR="00A73ABC" w:rsidRDefault="00A73ABC">
      <w:pPr>
        <w:pStyle w:val="BodyText"/>
      </w:pPr>
    </w:p>
    <w:p w:rsidR="00A73ABC" w:rsidRDefault="009F5F68">
      <w:pPr>
        <w:pStyle w:val="BodyText"/>
        <w:spacing w:before="1"/>
        <w:ind w:left="200" w:right="497"/>
        <w:jc w:val="both"/>
      </w:pPr>
      <w:r>
        <w:t xml:space="preserve">This template </w:t>
      </w:r>
      <w:r>
        <w:rPr>
          <w:u w:val="single"/>
        </w:rPr>
        <w:t>must</w:t>
      </w:r>
      <w:r>
        <w:t xml:space="preserve"> be used. The Risk Assessment Plan should address the risks that the Offeror </w:t>
      </w:r>
      <w:r>
        <w:rPr>
          <w:u w:val="single"/>
        </w:rPr>
        <w:t>does NOT</w:t>
      </w:r>
      <w:r>
        <w:t xml:space="preserve"> </w:t>
      </w:r>
      <w:r>
        <w:rPr>
          <w:u w:val="single"/>
        </w:rPr>
        <w:t>control</w:t>
      </w:r>
      <w:r>
        <w:t xml:space="preserve"> for the area in which this RFP is addressing. The risks should be prioritized (list the greatest risks first). Two RA </w:t>
      </w:r>
      <w:r>
        <w:rPr>
          <w:i/>
        </w:rPr>
        <w:t xml:space="preserve">formatted lines </w:t>
      </w:r>
      <w:r>
        <w:t xml:space="preserve">have herein been provided but the Offeror may add or delete extra RA </w:t>
      </w:r>
      <w:r>
        <w:rPr>
          <w:i/>
        </w:rPr>
        <w:t xml:space="preserve">formatted lines (ie. Risks) </w:t>
      </w:r>
      <w:r>
        <w:t>to/from the template.</w:t>
      </w:r>
    </w:p>
    <w:p w:rsidR="00A73ABC" w:rsidRDefault="009F5F68">
      <w:pPr>
        <w:pStyle w:val="BodyText"/>
        <w:ind w:left="200" w:right="495"/>
        <w:jc w:val="both"/>
      </w:pP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NOT</w:t>
      </w:r>
      <w:r>
        <w:rPr>
          <w:spacing w:val="-16"/>
          <w:u w:val="single"/>
        </w:rPr>
        <w:t xml:space="preserve"> </w:t>
      </w:r>
      <w:r>
        <w:rPr>
          <w:u w:val="single"/>
        </w:rPr>
        <w:t>exceed</w:t>
      </w:r>
      <w:r>
        <w:rPr>
          <w:spacing w:val="-16"/>
          <w:u w:val="single"/>
        </w:rPr>
        <w:t xml:space="preserve"> </w:t>
      </w:r>
      <w:r>
        <w:rPr>
          <w:u w:val="single"/>
        </w:rPr>
        <w:t>the</w:t>
      </w:r>
      <w:r>
        <w:rPr>
          <w:spacing w:val="-15"/>
          <w:u w:val="single"/>
        </w:rPr>
        <w:t xml:space="preserve"> </w:t>
      </w:r>
      <w:r>
        <w:rPr>
          <w:u w:val="single"/>
        </w:rPr>
        <w:t>2-page</w:t>
      </w:r>
      <w:r>
        <w:rPr>
          <w:spacing w:val="-18"/>
          <w:u w:val="single"/>
        </w:rPr>
        <w:t xml:space="preserve"> </w:t>
      </w:r>
      <w:r>
        <w:rPr>
          <w:u w:val="single"/>
        </w:rPr>
        <w:t>limit</w:t>
      </w:r>
      <w:r>
        <w:rPr>
          <w:spacing w:val="-15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listed under the “Documented Performance” line may describe where the Offeror has used the approach or solution previously, and what the results were in terms of verifiable</w:t>
      </w:r>
      <w:r>
        <w:rPr>
          <w:spacing w:val="2"/>
        </w:rPr>
        <w:t xml:space="preserve"> </w:t>
      </w:r>
      <w:r>
        <w:t>metrics.</w:t>
      </w:r>
    </w:p>
    <w:p w:rsidR="00A73ABC" w:rsidRDefault="00A73ABC">
      <w:pPr>
        <w:pStyle w:val="BodyText"/>
        <w:spacing w:before="11"/>
        <w:rPr>
          <w:sz w:val="21"/>
        </w:rPr>
      </w:pPr>
    </w:p>
    <w:p w:rsidR="00A73ABC" w:rsidRDefault="009F5F68">
      <w:pPr>
        <w:pStyle w:val="Title"/>
      </w:pPr>
      <w:r>
        <w:t>*Note: The instructions above and the example below may be deleted from this form.</w:t>
      </w:r>
    </w:p>
    <w:p w:rsidR="00A73ABC" w:rsidRDefault="00A73ABC">
      <w:pPr>
        <w:pStyle w:val="BodyText"/>
        <w:rPr>
          <w:i/>
        </w:rPr>
      </w:pPr>
    </w:p>
    <w:p w:rsidR="00A73ABC" w:rsidRDefault="009F5F68">
      <w:pPr>
        <w:pStyle w:val="BodyText"/>
        <w:spacing w:after="45"/>
        <w:ind w:left="200"/>
      </w:pPr>
      <w:r>
        <w:t>Example: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727"/>
      </w:tblGrid>
      <w:tr w:rsidR="00A73ABC">
        <w:trPr>
          <w:trHeight w:val="518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73ABC" w:rsidRDefault="009F5F68">
            <w:pPr>
              <w:pStyle w:val="TableParagraph"/>
            </w:pPr>
            <w:r>
              <w:t>Risk Description: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25" w:lineRule="exact"/>
              <w:ind w:left="433"/>
              <w:rPr>
                <w:i/>
              </w:rPr>
            </w:pPr>
            <w:r>
              <w:rPr>
                <w:i/>
              </w:rPr>
              <w:t xml:space="preserve">The major recycling on a $650K recycling project is paper, at an anticipated 1300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r>
              <w:rPr>
                <w:i/>
                <w:u w:val="single"/>
              </w:rPr>
              <w:t>tons of printer mix. However, the actual tonnage was 50% of the</w:t>
            </w:r>
            <w:r>
              <w:rPr>
                <w:i/>
                <w:spacing w:val="14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expected. 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547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</w:pPr>
            <w:r>
              <w:t>Solution: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433"/>
              <w:rPr>
                <w:i/>
              </w:rPr>
            </w:pPr>
            <w:r>
              <w:rPr>
                <w:i/>
              </w:rPr>
              <w:t xml:space="preserve">The vendor has prorated financial amounts to cover deviations on expected 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r>
              <w:rPr>
                <w:i/>
                <w:u w:val="single"/>
              </w:rPr>
              <w:t>recyclable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amounts.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784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  <w:spacing w:line="266" w:lineRule="exact"/>
              <w:ind w:right="698"/>
            </w:pPr>
            <w:r>
              <w:t>Documented Performance: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145"/>
              <w:jc w:val="center"/>
            </w:pPr>
            <w:r>
              <w:t>The</w:t>
            </w:r>
            <w:r>
              <w:rPr>
                <w:spacing w:val="22"/>
              </w:rPr>
              <w:t xml:space="preserve"> </w:t>
            </w:r>
            <w:r>
              <w:t>project</w:t>
            </w:r>
            <w:r>
              <w:rPr>
                <w:spacing w:val="24"/>
              </w:rPr>
              <w:t xml:space="preserve"> </w:t>
            </w:r>
            <w:r>
              <w:t>Manager</w:t>
            </w:r>
            <w:r>
              <w:rPr>
                <w:spacing w:val="21"/>
              </w:rPr>
              <w:t xml:space="preserve"> </w:t>
            </w:r>
            <w:r>
              <w:t>has</w:t>
            </w:r>
            <w:r>
              <w:rPr>
                <w:spacing w:val="23"/>
              </w:rPr>
              <w:t xml:space="preserve"> </w:t>
            </w:r>
            <w:r>
              <w:t>four</w:t>
            </w:r>
            <w:r>
              <w:rPr>
                <w:spacing w:val="19"/>
              </w:rPr>
              <w:t xml:space="preserve"> </w:t>
            </w:r>
            <w:r>
              <w:t>out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his</w:t>
            </w:r>
            <w:r>
              <w:rPr>
                <w:spacing w:val="25"/>
              </w:rPr>
              <w:t xml:space="preserve"> </w:t>
            </w:r>
            <w:r>
              <w:t>five</w:t>
            </w:r>
            <w:r>
              <w:rPr>
                <w:spacing w:val="22"/>
              </w:rPr>
              <w:t xml:space="preserve"> </w:t>
            </w:r>
            <w:r>
              <w:t>jobs</w:t>
            </w:r>
            <w:r>
              <w:rPr>
                <w:spacing w:val="23"/>
              </w:rPr>
              <w:t xml:space="preserve"> </w:t>
            </w:r>
            <w:r>
              <w:t>that</w:t>
            </w:r>
            <w:r>
              <w:rPr>
                <w:spacing w:val="20"/>
              </w:rPr>
              <w:t xml:space="preserve"> </w:t>
            </w:r>
            <w:r>
              <w:t>have</w:t>
            </w:r>
            <w:r>
              <w:rPr>
                <w:spacing w:val="25"/>
              </w:rPr>
              <w:t xml:space="preserve"> </w:t>
            </w:r>
            <w:r>
              <w:t>major</w:t>
            </w:r>
            <w:r>
              <w:rPr>
                <w:spacing w:val="22"/>
              </w:rPr>
              <w:t xml:space="preserve"> </w:t>
            </w:r>
            <w:r>
              <w:t>recyclable</w:t>
            </w:r>
          </w:p>
          <w:p w:rsidR="00A73ABC" w:rsidRDefault="009F5F68">
            <w:pPr>
              <w:pStyle w:val="TableParagraph"/>
              <w:spacing w:line="267" w:lineRule="exact"/>
              <w:ind w:left="145"/>
              <w:jc w:val="center"/>
            </w:pPr>
            <w:r>
              <w:t>deviations   due   to   unexpected   and   uncontrollable   factors.  The</w:t>
            </w:r>
            <w:r>
              <w:rPr>
                <w:spacing w:val="12"/>
              </w:rPr>
              <w:t xml:space="preserve"> </w:t>
            </w:r>
            <w:r>
              <w:t>customer</w:t>
            </w:r>
          </w:p>
          <w:p w:rsidR="00A73ABC" w:rsidRDefault="009F5F68">
            <w:pPr>
              <w:pStyle w:val="TableParagraph"/>
              <w:tabs>
                <w:tab w:val="left" w:pos="7362"/>
              </w:tabs>
              <w:spacing w:line="244" w:lineRule="exact"/>
              <w:ind w:left="1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spacing w:val="20"/>
                <w:u w:val="single"/>
              </w:rPr>
              <w:t xml:space="preserve"> </w:t>
            </w:r>
            <w:r>
              <w:rPr>
                <w:u w:val="single"/>
              </w:rPr>
              <w:t>satisfaction on those projects are 9.5 out of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10.0.</w:t>
            </w:r>
            <w:r>
              <w:rPr>
                <w:u w:val="single"/>
              </w:rPr>
              <w:tab/>
            </w:r>
          </w:p>
        </w:tc>
      </w:tr>
    </w:tbl>
    <w:p w:rsidR="00A73ABC" w:rsidRDefault="00A73ABC">
      <w:pPr>
        <w:pStyle w:val="BodyText"/>
        <w:spacing w:before="10"/>
        <w:rPr>
          <w:sz w:val="28"/>
        </w:rPr>
      </w:pPr>
    </w:p>
    <w:p w:rsidR="00A73ABC" w:rsidRDefault="002832B1">
      <w:pPr>
        <w:pStyle w:val="BodyText"/>
        <w:tabs>
          <w:tab w:val="left" w:pos="9775"/>
        </w:tabs>
        <w:ind w:left="25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4pt;margin-top:2.2pt;width:108.3pt;height:55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4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#1 Description:</w:t>
                        </w:r>
                      </w:p>
                    </w:tc>
                  </w:tr>
                  <w:tr w:rsidR="00A73ABC">
                    <w:trPr>
                      <w:trHeight w:val="31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9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5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2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4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5F68">
        <w:rPr>
          <w:u w:val="single"/>
        </w:rPr>
        <w:t xml:space="preserve"> </w:t>
      </w:r>
      <w:r w:rsidR="009F5F68"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9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8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2832B1">
      <w:pPr>
        <w:pStyle w:val="BodyText"/>
        <w:spacing w:before="5"/>
        <w:rPr>
          <w:sz w:val="25"/>
        </w:rPr>
      </w:pPr>
      <w:r>
        <w:pict>
          <v:rect id="_x0000_s1028" style="position:absolute;margin-left:189.25pt;margin-top:17.45pt;width:361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73ABC" w:rsidRDefault="00A73ABC">
      <w:pPr>
        <w:pStyle w:val="BodyText"/>
        <w:spacing w:before="8"/>
        <w:rPr>
          <w:sz w:val="20"/>
        </w:rPr>
      </w:pPr>
    </w:p>
    <w:p w:rsidR="00A73ABC" w:rsidRDefault="002832B1">
      <w:pPr>
        <w:pStyle w:val="BodyText"/>
        <w:tabs>
          <w:tab w:val="left" w:pos="9775"/>
        </w:tabs>
        <w:spacing w:before="56"/>
        <w:ind w:left="2559"/>
      </w:pPr>
      <w:r>
        <w:pict>
          <v:shape id="_x0000_s1027" type="#_x0000_t202" style="position:absolute;left:0;text-align:left;margin-left:67.4pt;margin-top:5pt;width:108.3pt;height:55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#2 Description:</w:t>
                        </w:r>
                      </w:p>
                    </w:tc>
                  </w:tr>
                  <w:tr w:rsidR="00A73ABC">
                    <w:trPr>
                      <w:trHeight w:val="311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8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8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3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5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5F68">
        <w:rPr>
          <w:u w:val="single"/>
        </w:rPr>
        <w:t xml:space="preserve"> </w:t>
      </w:r>
      <w:r w:rsidR="009F5F68"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7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10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2832B1">
      <w:pPr>
        <w:pStyle w:val="BodyText"/>
        <w:spacing w:before="5"/>
        <w:rPr>
          <w:sz w:val="25"/>
        </w:rPr>
      </w:pPr>
      <w:r>
        <w:pict>
          <v:rect id="_x0000_s1026" style="position:absolute;margin-left:189.25pt;margin-top:17.5pt;width:361.5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A73ABC">
      <w:type w:val="continuous"/>
      <w:pgSz w:w="12240" w:h="15840"/>
      <w:pgMar w:top="1400" w:right="9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BC"/>
    <w:rsid w:val="002832B1"/>
    <w:rsid w:val="009F5F68"/>
    <w:rsid w:val="00A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5946C9A-F2BA-4AE6-ACBA-363B428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State of Oklahoma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Stephanie Beshears</cp:lastModifiedBy>
  <cp:revision>2</cp:revision>
  <dcterms:created xsi:type="dcterms:W3CDTF">2020-10-19T16:23:00Z</dcterms:created>
  <dcterms:modified xsi:type="dcterms:W3CDTF">2020-10-19T16:23:00Z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