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9F4B5F7"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D83CB4">
              <w:rPr>
                <w:rFonts w:ascii="Times New Roman" w:hAnsi="Times New Roman" w:cs="Times New Roman"/>
              </w:rPr>
              <w:t>0900000482</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C5BE4">
              <w:rPr>
                <w:rFonts w:ascii="Times New Roman" w:hAnsi="Times New Roman" w:cs="Times New Roman"/>
              </w:rPr>
              <w:t>03/16/2021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537B3A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83CB4">
              <w:rPr>
                <w:rFonts w:ascii="Times New Roman" w:hAnsi="Times New Roman" w:cs="Times New Roman"/>
              </w:rPr>
              <w:t>05/05/2021</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35BDB38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83CB4">
              <w:rPr>
                <w:rFonts w:ascii="Times New Roman" w:hAnsi="Times New Roman" w:cs="Times New Roman"/>
              </w:rPr>
              <w:t>04/21/2021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C81C44D"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83CB4">
              <w:rPr>
                <w:rFonts w:ascii="Times New Roman" w:hAnsi="Times New Roman" w:cs="Times New Roman"/>
              </w:rPr>
              <w:t>04/21/2021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1954BE7A" w:rsidR="00052F9E" w:rsidRPr="000A2D33" w:rsidRDefault="00D83CB4">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1954BE7A" w:rsidR="00052F9E" w:rsidRPr="000A2D33" w:rsidRDefault="00D83CB4">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52C2C7B"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D83CB4">
              <w:rPr>
                <w:rFonts w:ascii="Times New Roman" w:hAnsi="Times New Roman" w:cs="Times New Roman"/>
                <w:b/>
              </w:rPr>
              <w:t xml:space="preserve"> SW</w:t>
            </w:r>
            <w:proofErr w:type="gramEnd"/>
            <w:r w:rsidR="00D83CB4">
              <w:rPr>
                <w:rFonts w:ascii="Times New Roman" w:hAnsi="Times New Roman" w:cs="Times New Roman"/>
                <w:b/>
              </w:rPr>
              <w:t>1031</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AB3595B" w:rsidR="00052F9E" w:rsidRPr="000A2D33" w:rsidRDefault="00D83CB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AB3595B" w:rsidR="00052F9E" w:rsidRPr="000A2D33" w:rsidRDefault="00D83CB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D77B666" w:rsidR="00052F9E" w:rsidRDefault="00D83CB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D77B666" w:rsidR="00052F9E" w:rsidRDefault="00D83CB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5A34071"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D83CB4" w:rsidRPr="00D83CB4">
              <w:rPr>
                <w:rFonts w:ascii="Times New Roman" w:hAnsi="Times New Roman" w:cs="Times New Roman"/>
              </w:rPr>
              <w:t>Marc Brown</w:t>
            </w:r>
            <w:r w:rsidRPr="00F37C1E">
              <w:rPr>
                <w:rFonts w:ascii="Times New Roman" w:hAnsi="Times New Roman" w:cs="Times New Roman"/>
                <w:b/>
              </w:rPr>
              <w:tab/>
            </w:r>
          </w:p>
          <w:p w14:paraId="1175BA30" w14:textId="14B2E53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D83CB4">
              <w:rPr>
                <w:rFonts w:ascii="Times New Roman" w:hAnsi="Times New Roman" w:cs="Times New Roman"/>
              </w:rPr>
              <w:t>Marc.Brown@omes.ok.gov</w:t>
            </w:r>
          </w:p>
          <w:p w14:paraId="4B813AFD" w14:textId="3CA49020"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D83CB4">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0033F5" w:rsidRDefault="001E02DD" w:rsidP="009A0E6B">
      <w:pPr>
        <w:pStyle w:val="ListParagraph"/>
        <w:numPr>
          <w:ilvl w:val="2"/>
          <w:numId w:val="10"/>
        </w:numPr>
        <w:rPr>
          <w:rFonts w:ascii="Times New Roman" w:hAnsi="Times New Roman" w:cs="Times New Roman"/>
          <w:sz w:val="22"/>
          <w:szCs w:val="22"/>
        </w:rPr>
      </w:pPr>
      <w:r w:rsidRPr="000033F5">
        <w:rPr>
          <w:rFonts w:ascii="Times New Roman" w:hAnsi="Times New Roman" w:cs="Times New Roman"/>
          <w:b w:val="0"/>
          <w:sz w:val="22"/>
          <w:szCs w:val="22"/>
        </w:rPr>
        <w:t xml:space="preserve">The Bid will be evaluated using a </w:t>
      </w:r>
      <w:proofErr w:type="gramStart"/>
      <w:r w:rsidRPr="000033F5">
        <w:rPr>
          <w:rFonts w:ascii="Times New Roman" w:hAnsi="Times New Roman" w:cs="Times New Roman"/>
          <w:b w:val="0"/>
          <w:sz w:val="22"/>
          <w:szCs w:val="22"/>
        </w:rPr>
        <w:t>best value criteria</w:t>
      </w:r>
      <w:proofErr w:type="gramEnd"/>
      <w:r w:rsidRPr="000033F5">
        <w:rPr>
          <w:rFonts w:ascii="Times New Roman" w:hAnsi="Times New Roman" w:cs="Times New Roman"/>
          <w:b w:val="0"/>
          <w:sz w:val="22"/>
          <w:szCs w:val="22"/>
        </w:rPr>
        <w:t>, based on the following:</w:t>
      </w:r>
    </w:p>
    <w:p w14:paraId="655960CB" w14:textId="77777777" w:rsidR="00AD0EA5" w:rsidRPr="000033F5" w:rsidRDefault="00AD0EA5" w:rsidP="009A0E6B">
      <w:pPr>
        <w:pStyle w:val="ListParagraph"/>
        <w:rPr>
          <w:rFonts w:ascii="Times New Roman" w:hAnsi="Times New Roman" w:cs="Times New Roman"/>
          <w:sz w:val="22"/>
          <w:szCs w:val="22"/>
        </w:rPr>
      </w:pPr>
    </w:p>
    <w:p w14:paraId="5F77A960" w14:textId="247E67E7" w:rsidR="001E02DD" w:rsidRPr="000033F5" w:rsidRDefault="00AB5716" w:rsidP="009A0E6B">
      <w:pPr>
        <w:pStyle w:val="ListParagraph"/>
        <w:numPr>
          <w:ilvl w:val="3"/>
          <w:numId w:val="10"/>
        </w:numPr>
        <w:ind w:left="3240"/>
        <w:rPr>
          <w:rFonts w:ascii="Times New Roman" w:hAnsi="Times New Roman" w:cs="Times New Roman"/>
          <w:sz w:val="22"/>
          <w:szCs w:val="22"/>
        </w:rPr>
      </w:pPr>
      <w:r w:rsidRPr="000033F5">
        <w:rPr>
          <w:rFonts w:ascii="Times New Roman" w:hAnsi="Times New Roman" w:cs="Times New Roman"/>
          <w:b w:val="0"/>
          <w:sz w:val="22"/>
          <w:szCs w:val="22"/>
        </w:rPr>
        <w:t>Cost of eligible products &amp; services</w:t>
      </w:r>
    </w:p>
    <w:p w14:paraId="16D09922" w14:textId="018BC6E9" w:rsidR="001E02DD" w:rsidRPr="000033F5" w:rsidRDefault="00AB5716" w:rsidP="009A0E6B">
      <w:pPr>
        <w:pStyle w:val="ListParagraph"/>
        <w:numPr>
          <w:ilvl w:val="3"/>
          <w:numId w:val="10"/>
        </w:numPr>
        <w:ind w:left="3240"/>
        <w:rPr>
          <w:rFonts w:ascii="Times New Roman" w:hAnsi="Times New Roman" w:cs="Times New Roman"/>
          <w:sz w:val="22"/>
          <w:szCs w:val="22"/>
        </w:rPr>
      </w:pPr>
      <w:r w:rsidRPr="000033F5">
        <w:rPr>
          <w:rFonts w:ascii="Times New Roman" w:hAnsi="Times New Roman" w:cs="Times New Roman"/>
          <w:b w:val="0"/>
          <w:sz w:val="22"/>
          <w:szCs w:val="22"/>
        </w:rPr>
        <w:t xml:space="preserve">Technical </w:t>
      </w:r>
      <w:proofErr w:type="spellStart"/>
      <w:r w:rsidRPr="000033F5">
        <w:rPr>
          <w:rFonts w:ascii="Times New Roman" w:hAnsi="Times New Roman" w:cs="Times New Roman"/>
          <w:b w:val="0"/>
          <w:sz w:val="22"/>
          <w:szCs w:val="22"/>
        </w:rPr>
        <w:t>Questionaire</w:t>
      </w:r>
      <w:proofErr w:type="spellEnd"/>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61934503" w:rsidR="00B03A05" w:rsidRPr="00344595" w:rsidRDefault="00874259" w:rsidP="00B03A05">
      <w:pPr>
        <w:pStyle w:val="ListParagraph"/>
        <w:numPr>
          <w:ilvl w:val="2"/>
          <w:numId w:val="10"/>
        </w:numPr>
        <w:spacing w:line="276" w:lineRule="auto"/>
        <w:jc w:val="both"/>
        <w:rPr>
          <w:rFonts w:ascii="Times New Roman" w:hAnsi="Times New Roman"/>
          <w:b w:val="0"/>
          <w:sz w:val="22"/>
        </w:rPr>
      </w:pPr>
      <w:r w:rsidRPr="00344595">
        <w:rPr>
          <w:rFonts w:ascii="Times New Roman" w:hAnsi="Times New Roman"/>
          <w:b w:val="0"/>
          <w:sz w:val="22"/>
        </w:rPr>
        <w:lastRenderedPageBreak/>
        <w:t xml:space="preserve">As </w:t>
      </w:r>
      <w:r w:rsidR="00B03A05" w:rsidRPr="00344595">
        <w:rPr>
          <w:rFonts w:ascii="Times New Roman" w:hAnsi="Times New Roman"/>
          <w:b w:val="0"/>
          <w:sz w:val="22"/>
        </w:rPr>
        <w:t xml:space="preserve">referenced in </w:t>
      </w:r>
      <w:r w:rsidR="00C65341" w:rsidRPr="00344595">
        <w:rPr>
          <w:rFonts w:ascii="Times New Roman" w:hAnsi="Times New Roman"/>
          <w:b w:val="0"/>
          <w:sz w:val="22"/>
        </w:rPr>
        <w:t>sub</w:t>
      </w:r>
      <w:r w:rsidR="00B03A05" w:rsidRPr="00344595">
        <w:rPr>
          <w:rFonts w:ascii="Times New Roman" w:hAnsi="Times New Roman"/>
          <w:b w:val="0"/>
          <w:sz w:val="22"/>
        </w:rPr>
        <w:t xml:space="preserve">section 8.2.H, the Bid must reflect for each requirement </w:t>
      </w:r>
      <w:r w:rsidR="00954489" w:rsidRPr="00344595">
        <w:rPr>
          <w:rFonts w:ascii="Times New Roman" w:hAnsi="Times New Roman"/>
          <w:b w:val="0"/>
          <w:sz w:val="22"/>
        </w:rPr>
        <w:t>listed i</w:t>
      </w:r>
      <w:r w:rsidR="00B03A05" w:rsidRPr="00344595">
        <w:rPr>
          <w:rFonts w:ascii="Times New Roman" w:hAnsi="Times New Roman"/>
          <w:b w:val="0"/>
          <w:sz w:val="22"/>
        </w:rPr>
        <w:t xml:space="preserve">n </w:t>
      </w:r>
      <w:r w:rsidR="00AE486E" w:rsidRPr="00344595">
        <w:rPr>
          <w:rFonts w:ascii="Times New Roman" w:hAnsi="Times New Roman"/>
          <w:b w:val="0"/>
          <w:sz w:val="22"/>
        </w:rPr>
        <w:t xml:space="preserve">Exhibit </w:t>
      </w:r>
      <w:r w:rsidR="00954489" w:rsidRPr="00344595">
        <w:rPr>
          <w:rFonts w:ascii="Times New Roman" w:hAnsi="Times New Roman"/>
          <w:b w:val="0"/>
          <w:sz w:val="22"/>
        </w:rPr>
        <w:t>1.</w:t>
      </w:r>
      <w:r w:rsidR="00AE486E" w:rsidRPr="00344595">
        <w:rPr>
          <w:rFonts w:ascii="Times New Roman" w:hAnsi="Times New Roman"/>
          <w:b w:val="0"/>
          <w:sz w:val="22"/>
        </w:rPr>
        <w:t xml:space="preserve"> </w:t>
      </w:r>
    </w:p>
    <w:p w14:paraId="2EDC9B42" w14:textId="77777777" w:rsidR="00AD0EA5" w:rsidRPr="00344595" w:rsidRDefault="00AD0EA5" w:rsidP="00AD0EA5">
      <w:pPr>
        <w:pStyle w:val="ListParagraph"/>
        <w:spacing w:line="276" w:lineRule="auto"/>
        <w:ind w:left="2880"/>
        <w:jc w:val="both"/>
        <w:rPr>
          <w:rFonts w:ascii="Times New Roman" w:hAnsi="Times New Roman"/>
          <w:b w:val="0"/>
          <w:sz w:val="22"/>
        </w:rPr>
      </w:pPr>
    </w:p>
    <w:p w14:paraId="460F9981" w14:textId="5B67C0AF" w:rsidR="00874259" w:rsidRPr="00344595" w:rsidRDefault="00262AB3" w:rsidP="00B03A05">
      <w:pPr>
        <w:pStyle w:val="ListParagraph"/>
        <w:numPr>
          <w:ilvl w:val="2"/>
          <w:numId w:val="10"/>
        </w:numPr>
        <w:spacing w:line="276" w:lineRule="auto"/>
        <w:jc w:val="both"/>
        <w:rPr>
          <w:rFonts w:ascii="Times New Roman" w:hAnsi="Times New Roman"/>
          <w:b w:val="0"/>
          <w:sz w:val="22"/>
        </w:rPr>
      </w:pPr>
      <w:r w:rsidRPr="00344595">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344595" w:rsidRDefault="00262AB3" w:rsidP="009A0E6B">
      <w:pPr>
        <w:pStyle w:val="ListParagraph"/>
        <w:rPr>
          <w:rFonts w:ascii="Times New Roman" w:hAnsi="Times New Roman"/>
          <w:b w:val="0"/>
          <w:sz w:val="22"/>
        </w:rPr>
      </w:pPr>
    </w:p>
    <w:p w14:paraId="60178E59" w14:textId="5245A1C6"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1. Supplier must have local representation to provide technical assistance on an as needed basis.</w:t>
      </w:r>
    </w:p>
    <w:p w14:paraId="02BCD66F" w14:textId="67C0BE4C"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 xml:space="preserve">2. Supplier must have emergency after hour's personnel and must be available on an as needed basis for the purpose of providing locates after hours, weekend, </w:t>
      </w:r>
      <w:proofErr w:type="gramStart"/>
      <w:r w:rsidRPr="00344595">
        <w:rPr>
          <w:rFonts w:ascii="Times New Roman" w:hAnsi="Times New Roman"/>
          <w:b w:val="0"/>
          <w:sz w:val="22"/>
        </w:rPr>
        <w:t>weeknights</w:t>
      </w:r>
      <w:proofErr w:type="gramEnd"/>
      <w:r w:rsidRPr="00344595">
        <w:rPr>
          <w:rFonts w:ascii="Times New Roman" w:hAnsi="Times New Roman"/>
          <w:b w:val="0"/>
          <w:sz w:val="22"/>
        </w:rPr>
        <w:t xml:space="preserve"> and holidays.</w:t>
      </w:r>
    </w:p>
    <w:p w14:paraId="217B1B98" w14:textId="15668CF9"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3. Supplier shall be in good financial standing.</w:t>
      </w:r>
    </w:p>
    <w:p w14:paraId="0ADE63B3" w14:textId="5F20CBD5"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4. Supplier shall provide proof of Bond/Insurance.</w:t>
      </w:r>
    </w:p>
    <w:p w14:paraId="10A38D77" w14:textId="7CA7F954"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5. Supplier shall provide references or history of locate services.</w:t>
      </w:r>
    </w:p>
    <w:p w14:paraId="3657E0FA" w14:textId="4DBD0EC2" w:rsidR="00262AB3" w:rsidRPr="00344595" w:rsidRDefault="00954489" w:rsidP="00954489">
      <w:pPr>
        <w:pStyle w:val="ListParagraph"/>
        <w:spacing w:line="276" w:lineRule="auto"/>
        <w:ind w:left="2880"/>
        <w:jc w:val="both"/>
        <w:rPr>
          <w:rFonts w:ascii="Times New Roman" w:hAnsi="Times New Roman"/>
          <w:b w:val="0"/>
          <w:sz w:val="22"/>
        </w:rPr>
      </w:pPr>
      <w:r w:rsidRPr="00344595">
        <w:rPr>
          <w:rFonts w:ascii="Times New Roman" w:hAnsi="Times New Roman"/>
          <w:b w:val="0"/>
          <w:sz w:val="22"/>
        </w:rPr>
        <w:t>6. Supplier shall provide proof of locate training of technicians.</w:t>
      </w:r>
    </w:p>
    <w:p w14:paraId="68EC078F" w14:textId="41EAE60C" w:rsidR="00954489" w:rsidRPr="00344595" w:rsidRDefault="00954489" w:rsidP="00954489">
      <w:pPr>
        <w:pStyle w:val="ListParagraph"/>
        <w:spacing w:line="276" w:lineRule="auto"/>
        <w:ind w:left="2880"/>
        <w:jc w:val="both"/>
        <w:rPr>
          <w:rFonts w:ascii="Times New Roman" w:hAnsi="Times New Roman"/>
          <w:b w:val="0"/>
          <w:sz w:val="22"/>
        </w:rPr>
      </w:pPr>
    </w:p>
    <w:p w14:paraId="26EBEF4C" w14:textId="6F530719"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D.2.1</w:t>
      </w:r>
      <w:r w:rsidRPr="00344595">
        <w:rPr>
          <w:rFonts w:ascii="Times New Roman" w:hAnsi="Times New Roman"/>
          <w:b w:val="0"/>
          <w:sz w:val="22"/>
        </w:rPr>
        <w:tab/>
        <w:t>State of Oklahoma Locate Regions:</w:t>
      </w:r>
    </w:p>
    <w:p w14:paraId="4447F0D4" w14:textId="14451238"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 xml:space="preserve"> Locations shall consist of identified state and local government facilities which also include Universities, Local government, </w:t>
      </w:r>
      <w:proofErr w:type="gramStart"/>
      <w:r w:rsidRPr="00344595">
        <w:rPr>
          <w:rFonts w:ascii="Times New Roman" w:hAnsi="Times New Roman"/>
          <w:b w:val="0"/>
          <w:sz w:val="22"/>
        </w:rPr>
        <w:t>counties</w:t>
      </w:r>
      <w:proofErr w:type="gramEnd"/>
      <w:r w:rsidRPr="00344595">
        <w:rPr>
          <w:rFonts w:ascii="Times New Roman" w:hAnsi="Times New Roman"/>
          <w:b w:val="0"/>
          <w:sz w:val="22"/>
        </w:rPr>
        <w:t xml:space="preserve"> and school properties. The types of locates include: (1) short range </w:t>
      </w:r>
      <w:proofErr w:type="gramStart"/>
      <w:r w:rsidRPr="00344595">
        <w:rPr>
          <w:rFonts w:ascii="Times New Roman" w:hAnsi="Times New Roman"/>
          <w:b w:val="0"/>
          <w:sz w:val="22"/>
        </w:rPr>
        <w:t>building  to</w:t>
      </w:r>
      <w:proofErr w:type="gramEnd"/>
      <w:r w:rsidRPr="00344595">
        <w:rPr>
          <w:rFonts w:ascii="Times New Roman" w:hAnsi="Times New Roman"/>
          <w:b w:val="0"/>
          <w:sz w:val="22"/>
        </w:rPr>
        <w:t xml:space="preserve"> building campus environment (2) long range highway, street  and railroad right of way and (3) congested inter-city locates throughout the state. Suppliers are required to bid on Sections </w:t>
      </w:r>
      <w:r w:rsidR="0005612D" w:rsidRPr="00344595">
        <w:rPr>
          <w:rFonts w:ascii="Times New Roman" w:hAnsi="Times New Roman"/>
          <w:b w:val="0"/>
          <w:sz w:val="22"/>
        </w:rPr>
        <w:t>D</w:t>
      </w:r>
      <w:r w:rsidRPr="00344595">
        <w:rPr>
          <w:rFonts w:ascii="Times New Roman" w:hAnsi="Times New Roman"/>
          <w:b w:val="0"/>
          <w:sz w:val="22"/>
        </w:rPr>
        <w:t xml:space="preserve">.2.2. and </w:t>
      </w:r>
      <w:r w:rsidR="0005612D" w:rsidRPr="00344595">
        <w:rPr>
          <w:rFonts w:ascii="Times New Roman" w:hAnsi="Times New Roman"/>
          <w:b w:val="0"/>
          <w:sz w:val="22"/>
        </w:rPr>
        <w:t>D</w:t>
      </w:r>
      <w:r w:rsidRPr="00344595">
        <w:rPr>
          <w:rFonts w:ascii="Times New Roman" w:hAnsi="Times New Roman"/>
          <w:b w:val="0"/>
          <w:sz w:val="22"/>
        </w:rPr>
        <w:t xml:space="preserve">.2.3. and are invited to bid on the </w:t>
      </w:r>
      <w:proofErr w:type="gramStart"/>
      <w:r w:rsidRPr="00344595">
        <w:rPr>
          <w:rFonts w:ascii="Times New Roman" w:hAnsi="Times New Roman"/>
          <w:b w:val="0"/>
          <w:sz w:val="22"/>
        </w:rPr>
        <w:t>statewide  regions</w:t>
      </w:r>
      <w:proofErr w:type="gramEnd"/>
      <w:r w:rsidRPr="00344595">
        <w:rPr>
          <w:rFonts w:ascii="Times New Roman" w:hAnsi="Times New Roman"/>
          <w:b w:val="0"/>
          <w:sz w:val="22"/>
        </w:rPr>
        <w:t xml:space="preserve">  (Sections </w:t>
      </w:r>
      <w:r w:rsidR="0005612D" w:rsidRPr="00344595">
        <w:rPr>
          <w:rFonts w:ascii="Times New Roman" w:hAnsi="Times New Roman"/>
          <w:b w:val="0"/>
          <w:sz w:val="22"/>
        </w:rPr>
        <w:t>E</w:t>
      </w:r>
      <w:r w:rsidRPr="00344595">
        <w:rPr>
          <w:rFonts w:ascii="Times New Roman" w:hAnsi="Times New Roman"/>
          <w:b w:val="0"/>
          <w:sz w:val="22"/>
        </w:rPr>
        <w:t>.</w:t>
      </w:r>
      <w:r w:rsidR="0005612D" w:rsidRPr="00344595">
        <w:rPr>
          <w:rFonts w:ascii="Times New Roman" w:hAnsi="Times New Roman"/>
          <w:b w:val="0"/>
          <w:sz w:val="22"/>
        </w:rPr>
        <w:t>1</w:t>
      </w:r>
      <w:r w:rsidRPr="00344595">
        <w:rPr>
          <w:rFonts w:ascii="Times New Roman" w:hAnsi="Times New Roman"/>
          <w:b w:val="0"/>
          <w:sz w:val="22"/>
        </w:rPr>
        <w:t>.</w:t>
      </w:r>
      <w:r w:rsidR="0005612D" w:rsidRPr="00344595">
        <w:rPr>
          <w:rFonts w:ascii="Times New Roman" w:hAnsi="Times New Roman"/>
          <w:b w:val="0"/>
          <w:sz w:val="22"/>
        </w:rPr>
        <w:t>1.</w:t>
      </w:r>
      <w:r w:rsidRPr="00344595">
        <w:rPr>
          <w:rFonts w:ascii="Times New Roman" w:hAnsi="Times New Roman"/>
          <w:b w:val="0"/>
          <w:sz w:val="22"/>
        </w:rPr>
        <w:t xml:space="preserve"> through </w:t>
      </w:r>
      <w:r w:rsidR="0005612D" w:rsidRPr="00344595">
        <w:rPr>
          <w:rFonts w:ascii="Times New Roman" w:hAnsi="Times New Roman"/>
          <w:b w:val="0"/>
          <w:sz w:val="22"/>
        </w:rPr>
        <w:t>E</w:t>
      </w:r>
      <w:r w:rsidRPr="00344595">
        <w:rPr>
          <w:rFonts w:ascii="Times New Roman" w:hAnsi="Times New Roman"/>
          <w:b w:val="0"/>
          <w:sz w:val="22"/>
        </w:rPr>
        <w:t>.</w:t>
      </w:r>
      <w:r w:rsidR="0005612D" w:rsidRPr="00344595">
        <w:rPr>
          <w:rFonts w:ascii="Times New Roman" w:hAnsi="Times New Roman"/>
          <w:b w:val="0"/>
          <w:sz w:val="22"/>
        </w:rPr>
        <w:t>1</w:t>
      </w:r>
      <w:r w:rsidRPr="00344595">
        <w:rPr>
          <w:rFonts w:ascii="Times New Roman" w:hAnsi="Times New Roman"/>
          <w:b w:val="0"/>
          <w:sz w:val="22"/>
        </w:rPr>
        <w:t>.</w:t>
      </w:r>
      <w:r w:rsidR="0005612D" w:rsidRPr="00344595">
        <w:rPr>
          <w:rFonts w:ascii="Times New Roman" w:hAnsi="Times New Roman"/>
          <w:b w:val="0"/>
          <w:sz w:val="22"/>
        </w:rPr>
        <w:t>8.</w:t>
      </w:r>
      <w:r w:rsidRPr="00344595">
        <w:rPr>
          <w:rFonts w:ascii="Times New Roman" w:hAnsi="Times New Roman"/>
          <w:b w:val="0"/>
          <w:sz w:val="22"/>
        </w:rPr>
        <w:t>). OMES/ISD Locates shall be conducted and billed utilizing the Oklahoma One-Call System for reference and on a per locate basis. Oklahoma One-Call will determine the method used (either spatial systems (GPS) or grid/section) to identify when a locate will be issued.</w:t>
      </w:r>
    </w:p>
    <w:p w14:paraId="6B881FD1" w14:textId="38C13ADF" w:rsidR="00954489" w:rsidRPr="00344595" w:rsidRDefault="00954489" w:rsidP="00954489">
      <w:pPr>
        <w:pStyle w:val="ListParagraph"/>
        <w:spacing w:line="276" w:lineRule="auto"/>
        <w:ind w:left="2880"/>
        <w:jc w:val="both"/>
        <w:rPr>
          <w:rFonts w:ascii="Times New Roman" w:hAnsi="Times New Roman"/>
          <w:b w:val="0"/>
          <w:sz w:val="22"/>
        </w:rPr>
      </w:pPr>
      <w:r w:rsidRPr="00344595">
        <w:rPr>
          <w:rFonts w:ascii="Times New Roman" w:hAnsi="Times New Roman"/>
          <w:b w:val="0"/>
          <w:sz w:val="22"/>
        </w:rPr>
        <w:t xml:space="preserve">For locate purposed the state is divided into ten distinct regions using Interstate Highway 35 for East/West Regions and Interstate Highway 40 for North/South Regions as reference points. Each of these regions are further broken down into sections which overlap to ensure adequate coverage. The regions identified below in Sections </w:t>
      </w:r>
      <w:r w:rsidR="0005612D" w:rsidRPr="00344595">
        <w:rPr>
          <w:rFonts w:ascii="Times New Roman" w:hAnsi="Times New Roman"/>
          <w:b w:val="0"/>
          <w:sz w:val="22"/>
        </w:rPr>
        <w:t>D</w:t>
      </w:r>
      <w:r w:rsidRPr="00344595">
        <w:rPr>
          <w:rFonts w:ascii="Times New Roman" w:hAnsi="Times New Roman"/>
          <w:b w:val="0"/>
          <w:sz w:val="22"/>
        </w:rPr>
        <w:t xml:space="preserve">.2.2. and </w:t>
      </w:r>
      <w:r w:rsidR="0005612D" w:rsidRPr="00344595">
        <w:rPr>
          <w:rFonts w:ascii="Times New Roman" w:hAnsi="Times New Roman"/>
          <w:b w:val="0"/>
          <w:sz w:val="22"/>
        </w:rPr>
        <w:t>D</w:t>
      </w:r>
      <w:r w:rsidRPr="00344595">
        <w:rPr>
          <w:rFonts w:ascii="Times New Roman" w:hAnsi="Times New Roman"/>
          <w:b w:val="0"/>
          <w:sz w:val="22"/>
        </w:rPr>
        <w:t>.2.3. describe locations where the State of Oklahoma currently maintain or locates cabling. The cables may be continuous or individual spurs (non-continuous) providing connectivity to universities state or local government offices or other telecommunication Suppliers.  The remaining regions (statewide) are currently not located by OMES/ISD, but OMES/ISD may require this service in the future. Due to security reasons this detailed information shall only be provided to the awarded Supplier.</w:t>
      </w:r>
    </w:p>
    <w:p w14:paraId="638A3188" w14:textId="479B27F1" w:rsidR="00954489" w:rsidRPr="00344595" w:rsidRDefault="00954489" w:rsidP="00954489">
      <w:pPr>
        <w:pStyle w:val="ListParagraph"/>
        <w:spacing w:line="276" w:lineRule="auto"/>
        <w:ind w:left="2880"/>
        <w:jc w:val="both"/>
        <w:rPr>
          <w:rFonts w:ascii="Times New Roman" w:hAnsi="Times New Roman"/>
          <w:b w:val="0"/>
          <w:sz w:val="22"/>
        </w:rPr>
      </w:pPr>
    </w:p>
    <w:p w14:paraId="25687D6B"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D.2.2. Central Region: Oklahoma City (MANDATORY – SUPPLIER MUST SUBMIT PROPOSALS ON THIS AREA).</w:t>
      </w:r>
    </w:p>
    <w:p w14:paraId="34A032C3"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 xml:space="preserve">               Borders: State </w:t>
      </w:r>
      <w:proofErr w:type="gramStart"/>
      <w:r w:rsidRPr="00344595">
        <w:rPr>
          <w:rFonts w:ascii="Times New Roman" w:hAnsi="Times New Roman"/>
          <w:b w:val="0"/>
          <w:sz w:val="22"/>
        </w:rPr>
        <w:t>Assets ;</w:t>
      </w:r>
      <w:proofErr w:type="gramEnd"/>
      <w:r w:rsidRPr="00344595">
        <w:rPr>
          <w:rFonts w:ascii="Times New Roman" w:hAnsi="Times New Roman"/>
          <w:b w:val="0"/>
          <w:sz w:val="22"/>
        </w:rPr>
        <w:t xml:space="preserve"> located on, through and cables connected between</w:t>
      </w:r>
    </w:p>
    <w:p w14:paraId="00C838DD"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 xml:space="preserve">               (North Border, NE50th St. South Border, Reno Ave., East Border, Bryant Ave. and West Border, Interstate 44).</w:t>
      </w:r>
    </w:p>
    <w:p w14:paraId="1C3A177B"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 xml:space="preserve"> </w:t>
      </w:r>
    </w:p>
    <w:p w14:paraId="7BA38F11"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 xml:space="preserve">               Capital Complex:</w:t>
      </w:r>
    </w:p>
    <w:p w14:paraId="4CB46C29"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Capital Grounds and surrounding area</w:t>
      </w:r>
    </w:p>
    <w:p w14:paraId="40A62F32"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Oklahoma University Health Science Center Area</w:t>
      </w:r>
    </w:p>
    <w:p w14:paraId="426D63E3"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4545 N. Lincoln area</w:t>
      </w:r>
    </w:p>
    <w:p w14:paraId="799DC351"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D)</w:t>
      </w:r>
      <w:r w:rsidRPr="00344595">
        <w:rPr>
          <w:rFonts w:ascii="Times New Roman" w:hAnsi="Times New Roman"/>
          <w:b w:val="0"/>
          <w:sz w:val="22"/>
        </w:rPr>
        <w:tab/>
        <w:t>Lottery Commission area</w:t>
      </w:r>
    </w:p>
    <w:p w14:paraId="345B020C"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E)</w:t>
      </w:r>
      <w:r w:rsidRPr="00344595">
        <w:rPr>
          <w:rFonts w:ascii="Times New Roman" w:hAnsi="Times New Roman"/>
          <w:b w:val="0"/>
          <w:sz w:val="22"/>
        </w:rPr>
        <w:tab/>
        <w:t>Department of Public Safety Complex</w:t>
      </w:r>
    </w:p>
    <w:p w14:paraId="226A5782"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F)</w:t>
      </w:r>
      <w:r w:rsidRPr="00344595">
        <w:rPr>
          <w:rFonts w:ascii="Times New Roman" w:hAnsi="Times New Roman"/>
          <w:b w:val="0"/>
          <w:sz w:val="22"/>
        </w:rPr>
        <w:tab/>
        <w:t>Shepherd Mall Area</w:t>
      </w:r>
    </w:p>
    <w:p w14:paraId="265813DB" w14:textId="69D800BB" w:rsidR="00954489" w:rsidRPr="00344595" w:rsidRDefault="00954489" w:rsidP="00954489">
      <w:pPr>
        <w:pStyle w:val="ListParagraph"/>
        <w:spacing w:line="276" w:lineRule="auto"/>
        <w:ind w:left="2880"/>
        <w:jc w:val="both"/>
        <w:rPr>
          <w:rFonts w:ascii="Times New Roman" w:hAnsi="Times New Roman"/>
          <w:b w:val="0"/>
          <w:sz w:val="22"/>
        </w:rPr>
      </w:pPr>
      <w:r w:rsidRPr="00344595">
        <w:rPr>
          <w:rFonts w:ascii="Times New Roman" w:hAnsi="Times New Roman"/>
          <w:b w:val="0"/>
          <w:sz w:val="22"/>
        </w:rPr>
        <w:t>G)</w:t>
      </w:r>
      <w:r w:rsidRPr="00344595">
        <w:rPr>
          <w:rFonts w:ascii="Times New Roman" w:hAnsi="Times New Roman"/>
          <w:b w:val="0"/>
          <w:sz w:val="22"/>
        </w:rPr>
        <w:tab/>
        <w:t>Downtown Oklahoma City</w:t>
      </w:r>
    </w:p>
    <w:p w14:paraId="6BE4CDFB" w14:textId="4E4F58FA"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lastRenderedPageBreak/>
        <w:t>D.2.3. North East Region: Continuous”: (MANDATORY – SUPPLIER MUST SUBMIT PROPOSALS FOR THIS AREA)</w:t>
      </w:r>
    </w:p>
    <w:p w14:paraId="43BF0334"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City of Tulsa</w:t>
      </w:r>
    </w:p>
    <w:p w14:paraId="11EAC6D2"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State Office Building (Kerr)</w:t>
      </w:r>
    </w:p>
    <w:p w14:paraId="76DA3376" w14:textId="77777777" w:rsidR="00954489" w:rsidRPr="00344595" w:rsidRDefault="00954489" w:rsidP="00954489">
      <w:pPr>
        <w:pStyle w:val="ListParagraph"/>
        <w:ind w:left="2880"/>
        <w:jc w:val="both"/>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Tulsa County</w:t>
      </w:r>
    </w:p>
    <w:p w14:paraId="1EA0EA1D" w14:textId="2BF53985" w:rsidR="00954489" w:rsidRPr="00344595" w:rsidRDefault="00954489" w:rsidP="00954489">
      <w:pPr>
        <w:pStyle w:val="ListParagraph"/>
        <w:spacing w:line="276" w:lineRule="auto"/>
        <w:ind w:left="2880"/>
        <w:jc w:val="both"/>
        <w:rPr>
          <w:rFonts w:ascii="Times New Roman" w:hAnsi="Times New Roman"/>
          <w:b w:val="0"/>
          <w:sz w:val="22"/>
        </w:rPr>
      </w:pPr>
      <w:r w:rsidRPr="00344595">
        <w:rPr>
          <w:rFonts w:ascii="Times New Roman" w:hAnsi="Times New Roman"/>
          <w:b w:val="0"/>
          <w:sz w:val="22"/>
        </w:rPr>
        <w:t>D)</w:t>
      </w:r>
      <w:r w:rsidRPr="00344595">
        <w:rPr>
          <w:rFonts w:ascii="Times New Roman" w:hAnsi="Times New Roman"/>
          <w:b w:val="0"/>
          <w:sz w:val="22"/>
        </w:rPr>
        <w:tab/>
        <w:t>Creek County</w:t>
      </w:r>
    </w:p>
    <w:p w14:paraId="63747F5B" w14:textId="2BF53985" w:rsidR="00262AB3" w:rsidRPr="009A0E6B" w:rsidRDefault="00262AB3" w:rsidP="009A0E6B">
      <w:pPr>
        <w:pStyle w:val="ListParagraph"/>
        <w:rPr>
          <w:rFonts w:ascii="Times New Roman" w:hAnsi="Times New Roman"/>
          <w:b w:val="0"/>
          <w:color w:val="FF0000"/>
          <w:sz w:val="22"/>
        </w:rPr>
      </w:pPr>
    </w:p>
    <w:p w14:paraId="2D4881AB" w14:textId="12590308" w:rsidR="00262AB3" w:rsidRPr="00344595" w:rsidRDefault="00262AB3" w:rsidP="009A0E6B">
      <w:pPr>
        <w:pStyle w:val="ListParagraph"/>
        <w:numPr>
          <w:ilvl w:val="2"/>
          <w:numId w:val="10"/>
        </w:numPr>
        <w:rPr>
          <w:rFonts w:ascii="Times New Roman" w:hAnsi="Times New Roman"/>
          <w:b w:val="0"/>
          <w:sz w:val="22"/>
        </w:rPr>
      </w:pPr>
      <w:r w:rsidRPr="00344595">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344595" w:rsidRDefault="00262AB3" w:rsidP="009A0E6B">
      <w:pPr>
        <w:pStyle w:val="ListParagraph"/>
        <w:ind w:left="2880"/>
        <w:rPr>
          <w:rFonts w:ascii="Times New Roman" w:hAnsi="Times New Roman"/>
          <w:b w:val="0"/>
          <w:sz w:val="22"/>
        </w:rPr>
      </w:pPr>
    </w:p>
    <w:p w14:paraId="635AAF02" w14:textId="0117F9FD" w:rsidR="00262AB3" w:rsidRPr="00344595" w:rsidRDefault="00954489" w:rsidP="009A0E6B">
      <w:pPr>
        <w:pStyle w:val="ListParagraph"/>
        <w:ind w:left="2880"/>
        <w:rPr>
          <w:rFonts w:ascii="Times New Roman" w:hAnsi="Times New Roman"/>
          <w:b w:val="0"/>
          <w:sz w:val="22"/>
        </w:rPr>
      </w:pPr>
      <w:r w:rsidRPr="00344595">
        <w:rPr>
          <w:rFonts w:ascii="Times New Roman" w:hAnsi="Times New Roman"/>
          <w:b w:val="0"/>
          <w:sz w:val="22"/>
        </w:rPr>
        <w:t>E.1. Additional Areas or Regions (Statewide)</w:t>
      </w:r>
    </w:p>
    <w:p w14:paraId="6C4207AF" w14:textId="3B97C5B3"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OMES/ISD continually installs and reroutes fiber optic and copper cable as needed to service State Agencies in the regions identified. As new cable installations or reroutes take place in these regions, the Supplier is expected to accept these assignments with no increase in cost. OMES/ISD reserves the right to add areas within each region in support of the State Infrastructure. If service is requested outside the regions identified in Sections </w:t>
      </w:r>
      <w:r w:rsidR="0005612D" w:rsidRPr="00344595">
        <w:rPr>
          <w:rFonts w:ascii="Times New Roman" w:hAnsi="Times New Roman"/>
          <w:b w:val="0"/>
          <w:sz w:val="22"/>
        </w:rPr>
        <w:t>D</w:t>
      </w:r>
      <w:r w:rsidRPr="00344595">
        <w:rPr>
          <w:rFonts w:ascii="Times New Roman" w:hAnsi="Times New Roman"/>
          <w:b w:val="0"/>
          <w:sz w:val="22"/>
        </w:rPr>
        <w:t xml:space="preserve">.2.2. and </w:t>
      </w:r>
      <w:r w:rsidR="0005612D" w:rsidRPr="00344595">
        <w:rPr>
          <w:rFonts w:ascii="Times New Roman" w:hAnsi="Times New Roman"/>
          <w:b w:val="0"/>
          <w:sz w:val="22"/>
        </w:rPr>
        <w:t>D</w:t>
      </w:r>
      <w:r w:rsidRPr="00344595">
        <w:rPr>
          <w:rFonts w:ascii="Times New Roman" w:hAnsi="Times New Roman"/>
          <w:b w:val="0"/>
          <w:sz w:val="22"/>
        </w:rPr>
        <w:t xml:space="preserve">.2.3, The Supplier will supply OMES/ISD a corresponding price structure within the Central Purchasing guidelines in sections provided in </w:t>
      </w:r>
      <w:r w:rsidR="0005612D" w:rsidRPr="00344595">
        <w:rPr>
          <w:rFonts w:ascii="Times New Roman" w:hAnsi="Times New Roman"/>
          <w:b w:val="0"/>
          <w:sz w:val="22"/>
        </w:rPr>
        <w:t>2</w:t>
      </w:r>
      <w:r w:rsidRPr="00344595">
        <w:rPr>
          <w:rFonts w:ascii="Times New Roman" w:hAnsi="Times New Roman"/>
          <w:b w:val="0"/>
          <w:sz w:val="22"/>
        </w:rPr>
        <w:t>.</w:t>
      </w:r>
      <w:r w:rsidR="0005612D" w:rsidRPr="00344595">
        <w:rPr>
          <w:rFonts w:ascii="Times New Roman" w:hAnsi="Times New Roman"/>
          <w:b w:val="0"/>
          <w:sz w:val="22"/>
        </w:rPr>
        <w:t>1</w:t>
      </w:r>
      <w:r w:rsidRPr="00344595">
        <w:rPr>
          <w:rFonts w:ascii="Times New Roman" w:hAnsi="Times New Roman"/>
          <w:b w:val="0"/>
          <w:sz w:val="22"/>
        </w:rPr>
        <w:t>.</w:t>
      </w:r>
      <w:r w:rsidR="0005612D" w:rsidRPr="00344595">
        <w:rPr>
          <w:rFonts w:ascii="Times New Roman" w:hAnsi="Times New Roman"/>
          <w:b w:val="0"/>
          <w:sz w:val="22"/>
        </w:rPr>
        <w:t>6</w:t>
      </w:r>
      <w:r w:rsidRPr="00344595">
        <w:rPr>
          <w:rFonts w:ascii="Times New Roman" w:hAnsi="Times New Roman"/>
          <w:b w:val="0"/>
          <w:sz w:val="22"/>
        </w:rPr>
        <w:t xml:space="preserve">. and </w:t>
      </w:r>
      <w:r w:rsidR="0005612D" w:rsidRPr="00344595">
        <w:rPr>
          <w:rFonts w:ascii="Times New Roman" w:hAnsi="Times New Roman"/>
          <w:b w:val="0"/>
          <w:sz w:val="22"/>
        </w:rPr>
        <w:t>3</w:t>
      </w:r>
      <w:r w:rsidRPr="00344595">
        <w:rPr>
          <w:rFonts w:ascii="Times New Roman" w:hAnsi="Times New Roman"/>
          <w:b w:val="0"/>
          <w:sz w:val="22"/>
        </w:rPr>
        <w:t>.</w:t>
      </w:r>
      <w:r w:rsidR="0005612D" w:rsidRPr="00344595">
        <w:rPr>
          <w:rFonts w:ascii="Times New Roman" w:hAnsi="Times New Roman"/>
          <w:b w:val="0"/>
          <w:sz w:val="22"/>
        </w:rPr>
        <w:t>3</w:t>
      </w:r>
      <w:r w:rsidRPr="00344595">
        <w:rPr>
          <w:rFonts w:ascii="Times New Roman" w:hAnsi="Times New Roman"/>
          <w:b w:val="0"/>
          <w:sz w:val="22"/>
        </w:rPr>
        <w:t>.</w:t>
      </w:r>
      <w:r w:rsidR="0005612D" w:rsidRPr="00344595">
        <w:rPr>
          <w:rFonts w:ascii="Times New Roman" w:hAnsi="Times New Roman"/>
          <w:b w:val="0"/>
          <w:sz w:val="22"/>
        </w:rPr>
        <w:t>1</w:t>
      </w:r>
      <w:r w:rsidRPr="00344595">
        <w:rPr>
          <w:rFonts w:ascii="Times New Roman" w:hAnsi="Times New Roman"/>
          <w:b w:val="0"/>
          <w:sz w:val="22"/>
        </w:rPr>
        <w:t xml:space="preserve">. </w:t>
      </w:r>
    </w:p>
    <w:p w14:paraId="0FDE1610" w14:textId="3A823C75"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These additional Statewide Regions include:</w:t>
      </w:r>
    </w:p>
    <w:p w14:paraId="3218F50B" w14:textId="479B404E"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E.1.1. North East Region: non-continuous includes:</w:t>
      </w:r>
    </w:p>
    <w:p w14:paraId="027D6929"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Stroud Area</w:t>
      </w:r>
    </w:p>
    <w:p w14:paraId="20380C49"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Big Cabin</w:t>
      </w:r>
    </w:p>
    <w:p w14:paraId="213BFD74"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Adair Area</w:t>
      </w:r>
    </w:p>
    <w:p w14:paraId="31562F18" w14:textId="29FEC874"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D)</w:t>
      </w:r>
      <w:r w:rsidRPr="00344595">
        <w:rPr>
          <w:rFonts w:ascii="Times New Roman" w:hAnsi="Times New Roman"/>
          <w:b w:val="0"/>
          <w:sz w:val="22"/>
        </w:rPr>
        <w:tab/>
        <w:t>Vinita Area</w:t>
      </w:r>
    </w:p>
    <w:p w14:paraId="2E5CD4FF" w14:textId="3A63FFB9" w:rsidR="00F63C13" w:rsidRPr="00344595" w:rsidRDefault="00F63C13" w:rsidP="00F63C13">
      <w:pPr>
        <w:pStyle w:val="ListParagraph"/>
        <w:ind w:left="2880"/>
        <w:rPr>
          <w:rFonts w:ascii="Times New Roman" w:hAnsi="Times New Roman"/>
          <w:b w:val="0"/>
          <w:sz w:val="22"/>
        </w:rPr>
      </w:pPr>
    </w:p>
    <w:p w14:paraId="23519135" w14:textId="2F82F45E"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E.1.2. South Central Region (1) Continuous</w:t>
      </w:r>
    </w:p>
    <w:p w14:paraId="0B3C6E81"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Borders S. 10th St, to State Highway (9).</w:t>
      </w:r>
    </w:p>
    <w:p w14:paraId="286812F2"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Includes: </w:t>
      </w:r>
    </w:p>
    <w:p w14:paraId="3BAB9DB7"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Fiber Connectivity Through</w:t>
      </w:r>
    </w:p>
    <w:p w14:paraId="41CE3A1D"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City of Moore &amp; City of Norman</w:t>
      </w:r>
    </w:p>
    <w:p w14:paraId="1F985310"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Griffin Memorial Hospital Grounds</w:t>
      </w:r>
    </w:p>
    <w:p w14:paraId="31B74F33"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Oklahoma University Merrick Center</w:t>
      </w:r>
    </w:p>
    <w:p w14:paraId="295621D1" w14:textId="4DE57B7C"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D)</w:t>
      </w:r>
      <w:r w:rsidRPr="00344595">
        <w:rPr>
          <w:rFonts w:ascii="Times New Roman" w:hAnsi="Times New Roman"/>
          <w:b w:val="0"/>
          <w:sz w:val="22"/>
        </w:rPr>
        <w:tab/>
        <w:t>Oklahoma University Main Campus</w:t>
      </w:r>
    </w:p>
    <w:p w14:paraId="77BF2CDE" w14:textId="7C294545" w:rsidR="00F63C13" w:rsidRPr="00344595" w:rsidRDefault="00F63C13" w:rsidP="00F63C13">
      <w:pPr>
        <w:pStyle w:val="ListParagraph"/>
        <w:ind w:left="2880"/>
        <w:rPr>
          <w:rFonts w:ascii="Times New Roman" w:hAnsi="Times New Roman"/>
          <w:b w:val="0"/>
          <w:sz w:val="22"/>
        </w:rPr>
      </w:pPr>
    </w:p>
    <w:p w14:paraId="440A8EE2" w14:textId="4E8F8712"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E.1.3. South West Region (2): Non-Continuous</w:t>
      </w:r>
    </w:p>
    <w:p w14:paraId="6418477F"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Borders: include South Interstate 35 and surrounding area</w:t>
      </w:r>
    </w:p>
    <w:p w14:paraId="127BB359"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Includes:</w:t>
      </w:r>
    </w:p>
    <w:p w14:paraId="2E9C1980"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City of Ardmore</w:t>
      </w:r>
    </w:p>
    <w:p w14:paraId="358B17DF"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 xml:space="preserve"> City of Altus</w:t>
      </w:r>
    </w:p>
    <w:p w14:paraId="56535563" w14:textId="733DA5C3"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City of Wayne</w:t>
      </w:r>
    </w:p>
    <w:p w14:paraId="1F0D1D15" w14:textId="55217031" w:rsidR="00F63C13" w:rsidRPr="00344595" w:rsidRDefault="00F63C13" w:rsidP="00F63C13">
      <w:pPr>
        <w:pStyle w:val="ListParagraph"/>
        <w:ind w:left="2880"/>
        <w:rPr>
          <w:rFonts w:ascii="Times New Roman" w:hAnsi="Times New Roman"/>
          <w:b w:val="0"/>
          <w:sz w:val="22"/>
        </w:rPr>
      </w:pPr>
    </w:p>
    <w:p w14:paraId="3A9932C8" w14:textId="701F812B"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E.1.4. North Center Region: Continuous</w:t>
      </w:r>
    </w:p>
    <w:p w14:paraId="223DF41B"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Borders: N. 50th St. to the Oklahoma State University Campus</w:t>
      </w:r>
    </w:p>
    <w:p w14:paraId="3DCA744B"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Includes</w:t>
      </w:r>
    </w:p>
    <w:p w14:paraId="1ADC3BD6"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University of Central Oklahoma</w:t>
      </w:r>
    </w:p>
    <w:p w14:paraId="0DF04B60"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City of Edmond</w:t>
      </w:r>
    </w:p>
    <w:p w14:paraId="5688520E"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City of Guthrie</w:t>
      </w:r>
    </w:p>
    <w:p w14:paraId="46C0B50F"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D)</w:t>
      </w:r>
      <w:r w:rsidRPr="00344595">
        <w:rPr>
          <w:rFonts w:ascii="Times New Roman" w:hAnsi="Times New Roman"/>
          <w:b w:val="0"/>
          <w:sz w:val="22"/>
        </w:rPr>
        <w:tab/>
        <w:t>State Highway (33)</w:t>
      </w:r>
    </w:p>
    <w:p w14:paraId="69EECF59"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E)</w:t>
      </w:r>
      <w:r w:rsidRPr="00344595">
        <w:rPr>
          <w:rFonts w:ascii="Times New Roman" w:hAnsi="Times New Roman"/>
          <w:b w:val="0"/>
          <w:sz w:val="22"/>
        </w:rPr>
        <w:tab/>
        <w:t>Langston University</w:t>
      </w:r>
    </w:p>
    <w:p w14:paraId="09956D71"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F)</w:t>
      </w:r>
      <w:r w:rsidRPr="00344595">
        <w:rPr>
          <w:rFonts w:ascii="Times New Roman" w:hAnsi="Times New Roman"/>
          <w:b w:val="0"/>
          <w:sz w:val="22"/>
        </w:rPr>
        <w:tab/>
        <w:t>City of Stillwater</w:t>
      </w:r>
    </w:p>
    <w:p w14:paraId="44942EF0"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G)</w:t>
      </w:r>
      <w:r w:rsidRPr="00344595">
        <w:rPr>
          <w:rFonts w:ascii="Times New Roman" w:hAnsi="Times New Roman"/>
          <w:b w:val="0"/>
          <w:sz w:val="22"/>
        </w:rPr>
        <w:tab/>
        <w:t>Oklahoma State University</w:t>
      </w:r>
    </w:p>
    <w:p w14:paraId="7ED9DF2A" w14:textId="03AB338E"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H)</w:t>
      </w:r>
      <w:r w:rsidRPr="00344595">
        <w:rPr>
          <w:rFonts w:ascii="Times New Roman" w:hAnsi="Times New Roman"/>
          <w:b w:val="0"/>
          <w:sz w:val="22"/>
        </w:rPr>
        <w:tab/>
        <w:t>The Turner Turnpike</w:t>
      </w:r>
    </w:p>
    <w:p w14:paraId="59E57579" w14:textId="52D88736" w:rsidR="00F63C13" w:rsidRDefault="00F63C13" w:rsidP="00F63C13">
      <w:pPr>
        <w:pStyle w:val="ListParagraph"/>
        <w:ind w:left="2880"/>
        <w:rPr>
          <w:rFonts w:ascii="Times New Roman" w:hAnsi="Times New Roman"/>
          <w:b w:val="0"/>
          <w:color w:val="FF0000"/>
          <w:sz w:val="22"/>
        </w:rPr>
      </w:pPr>
    </w:p>
    <w:p w14:paraId="6BA0D822" w14:textId="5150F95C"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lastRenderedPageBreak/>
        <w:t xml:space="preserve">       E.1.5. East Central Region: Non-Continuous</w:t>
      </w:r>
    </w:p>
    <w:p w14:paraId="57C7FDCE" w14:textId="2A7B21A1"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City of Stroud</w:t>
      </w:r>
    </w:p>
    <w:p w14:paraId="50C5E3D8" w14:textId="52C2C4D0" w:rsidR="00F63C13" w:rsidRPr="00344595" w:rsidRDefault="00F63C13" w:rsidP="00F63C13">
      <w:pPr>
        <w:pStyle w:val="ListParagraph"/>
        <w:ind w:left="2880"/>
        <w:rPr>
          <w:rFonts w:ascii="Times New Roman" w:hAnsi="Times New Roman"/>
          <w:b w:val="0"/>
          <w:sz w:val="22"/>
        </w:rPr>
      </w:pPr>
    </w:p>
    <w:p w14:paraId="4C5301E6" w14:textId="2757EAB2"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E.1.6. East Region: Non-Continuous</w:t>
      </w:r>
    </w:p>
    <w:p w14:paraId="277CC21A"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 xml:space="preserve">                 Includes:</w:t>
      </w:r>
    </w:p>
    <w:p w14:paraId="782F2859"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Coweta</w:t>
      </w:r>
    </w:p>
    <w:p w14:paraId="442BD46B" w14:textId="77777777"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City of Muskogee</w:t>
      </w:r>
    </w:p>
    <w:p w14:paraId="15053642" w14:textId="6A7146EB" w:rsidR="00F63C13" w:rsidRPr="00344595" w:rsidRDefault="00F63C13" w:rsidP="00F63C13">
      <w:pPr>
        <w:pStyle w:val="ListParagraph"/>
        <w:ind w:left="2880"/>
        <w:rPr>
          <w:rFonts w:ascii="Times New Roman" w:hAnsi="Times New Roman"/>
          <w:b w:val="0"/>
          <w:sz w:val="22"/>
        </w:rPr>
      </w:pPr>
      <w:r w:rsidRPr="00344595">
        <w:rPr>
          <w:rFonts w:ascii="Times New Roman" w:hAnsi="Times New Roman"/>
          <w:b w:val="0"/>
          <w:sz w:val="22"/>
        </w:rPr>
        <w:t>C)</w:t>
      </w:r>
      <w:r w:rsidRPr="00344595">
        <w:rPr>
          <w:rFonts w:ascii="Times New Roman" w:hAnsi="Times New Roman"/>
          <w:b w:val="0"/>
          <w:sz w:val="22"/>
        </w:rPr>
        <w:tab/>
        <w:t>Connors University</w:t>
      </w:r>
    </w:p>
    <w:p w14:paraId="16BA8954" w14:textId="0D331AD5" w:rsidR="00790BD4" w:rsidRPr="00344595" w:rsidRDefault="00790BD4" w:rsidP="00F63C13">
      <w:pPr>
        <w:pStyle w:val="ListParagraph"/>
        <w:ind w:left="2880"/>
        <w:rPr>
          <w:rFonts w:ascii="Times New Roman" w:hAnsi="Times New Roman"/>
          <w:b w:val="0"/>
          <w:sz w:val="22"/>
        </w:rPr>
      </w:pPr>
    </w:p>
    <w:p w14:paraId="33984AAA" w14:textId="7A39D77A"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 xml:space="preserve">        E.1.7. West Central Region: Non-Continuous</w:t>
      </w:r>
    </w:p>
    <w:p w14:paraId="74753C43" w14:textId="77777777"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Includes:</w:t>
      </w:r>
    </w:p>
    <w:p w14:paraId="5095D4BE" w14:textId="77777777"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Western Ave. West to El Reno, OK</w:t>
      </w:r>
    </w:p>
    <w:p w14:paraId="7C992382" w14:textId="180C4CAC"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 xml:space="preserve">Areas included all </w:t>
      </w:r>
      <w:proofErr w:type="gramStart"/>
      <w:r w:rsidRPr="00344595">
        <w:rPr>
          <w:rFonts w:ascii="Times New Roman" w:hAnsi="Times New Roman"/>
          <w:b w:val="0"/>
          <w:sz w:val="22"/>
        </w:rPr>
        <w:t>State Owned</w:t>
      </w:r>
      <w:proofErr w:type="gramEnd"/>
      <w:r w:rsidRPr="00344595">
        <w:rPr>
          <w:rFonts w:ascii="Times New Roman" w:hAnsi="Times New Roman"/>
          <w:b w:val="0"/>
          <w:sz w:val="22"/>
        </w:rPr>
        <w:t xml:space="preserve"> Property</w:t>
      </w:r>
    </w:p>
    <w:p w14:paraId="2AE624F3" w14:textId="5A24362C" w:rsidR="00790BD4" w:rsidRPr="00344595" w:rsidRDefault="00790BD4" w:rsidP="00790BD4">
      <w:pPr>
        <w:pStyle w:val="ListParagraph"/>
        <w:ind w:left="2880"/>
        <w:rPr>
          <w:rFonts w:ascii="Times New Roman" w:hAnsi="Times New Roman"/>
          <w:b w:val="0"/>
          <w:sz w:val="22"/>
        </w:rPr>
      </w:pPr>
    </w:p>
    <w:p w14:paraId="38FAA64E" w14:textId="6BA59FD4"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 xml:space="preserve">         E.1.8. West Region: non-Continuous</w:t>
      </w:r>
    </w:p>
    <w:p w14:paraId="02CAC945" w14:textId="77777777"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Includes</w:t>
      </w:r>
    </w:p>
    <w:p w14:paraId="389801C2" w14:textId="77777777"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A)</w:t>
      </w:r>
      <w:r w:rsidRPr="00344595">
        <w:rPr>
          <w:rFonts w:ascii="Times New Roman" w:hAnsi="Times New Roman"/>
          <w:b w:val="0"/>
          <w:sz w:val="22"/>
        </w:rPr>
        <w:tab/>
        <w:t>El Reno west to Oklahoma Border</w:t>
      </w:r>
    </w:p>
    <w:p w14:paraId="3A3F2328" w14:textId="3A8830F8" w:rsidR="00790BD4" w:rsidRPr="00344595" w:rsidRDefault="00790BD4" w:rsidP="00790BD4">
      <w:pPr>
        <w:pStyle w:val="ListParagraph"/>
        <w:ind w:left="2880"/>
        <w:rPr>
          <w:rFonts w:ascii="Times New Roman" w:hAnsi="Times New Roman"/>
          <w:b w:val="0"/>
          <w:sz w:val="22"/>
        </w:rPr>
      </w:pPr>
      <w:r w:rsidRPr="00344595">
        <w:rPr>
          <w:rFonts w:ascii="Times New Roman" w:hAnsi="Times New Roman"/>
          <w:b w:val="0"/>
          <w:sz w:val="22"/>
        </w:rPr>
        <w:t>B)</w:t>
      </w:r>
      <w:r w:rsidRPr="00344595">
        <w:rPr>
          <w:rFonts w:ascii="Times New Roman" w:hAnsi="Times New Roman"/>
          <w:b w:val="0"/>
          <w:sz w:val="22"/>
        </w:rPr>
        <w:tab/>
        <w:t xml:space="preserve">Areas includes all </w:t>
      </w:r>
      <w:proofErr w:type="gramStart"/>
      <w:r w:rsidRPr="00344595">
        <w:rPr>
          <w:rFonts w:ascii="Times New Roman" w:hAnsi="Times New Roman"/>
          <w:b w:val="0"/>
          <w:sz w:val="22"/>
        </w:rPr>
        <w:t>State Owned</w:t>
      </w:r>
      <w:proofErr w:type="gramEnd"/>
      <w:r w:rsidRPr="00344595">
        <w:rPr>
          <w:rFonts w:ascii="Times New Roman" w:hAnsi="Times New Roman"/>
          <w:b w:val="0"/>
          <w:sz w:val="22"/>
        </w:rPr>
        <w:t xml:space="preserve"> Property</w:t>
      </w:r>
    </w:p>
    <w:p w14:paraId="13E99EE6" w14:textId="210909F8" w:rsidR="00954489" w:rsidRPr="00262AB3" w:rsidRDefault="00954489" w:rsidP="009A0E6B">
      <w:pPr>
        <w:pStyle w:val="ListParagraph"/>
        <w:ind w:left="2880"/>
        <w:rPr>
          <w:rFonts w:ascii="Times New Roman" w:hAnsi="Times New Roman"/>
          <w:b w:val="0"/>
          <w:color w:val="FF0000"/>
          <w:sz w:val="22"/>
        </w:rPr>
      </w:pPr>
      <w:r>
        <w:rPr>
          <w:rFonts w:ascii="Times New Roman" w:hAnsi="Times New Roman"/>
          <w:b w:val="0"/>
          <w:color w:val="FF0000"/>
          <w:sz w:val="22"/>
        </w:rPr>
        <w:t xml:space="preserve">       </w:t>
      </w: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511B286A" w14:textId="77777777" w:rsidR="0030769D" w:rsidRPr="009A0E6B" w:rsidRDefault="0030769D" w:rsidP="009A0E6B">
      <w:pPr>
        <w:pStyle w:val="ListParagraph"/>
        <w:rPr>
          <w:rFonts w:ascii="Times New Roman" w:hAnsi="Times New Roman"/>
          <w:b w:val="0"/>
          <w:color w:val="FF0000"/>
          <w:sz w:val="22"/>
        </w:rPr>
      </w:pPr>
    </w:p>
    <w:p w14:paraId="0F759F56" w14:textId="3612339D" w:rsidR="001E02DD" w:rsidRPr="00344595" w:rsidRDefault="001E7883" w:rsidP="009A0E6B">
      <w:pPr>
        <w:pStyle w:val="ListParagraph"/>
        <w:numPr>
          <w:ilvl w:val="2"/>
          <w:numId w:val="10"/>
        </w:numPr>
        <w:spacing w:line="276" w:lineRule="auto"/>
        <w:rPr>
          <w:rFonts w:ascii="Times New Roman" w:hAnsi="Times New Roman" w:cs="Times New Roman"/>
          <w:sz w:val="22"/>
          <w:szCs w:val="22"/>
        </w:rPr>
      </w:pPr>
      <w:r w:rsidRPr="00344595">
        <w:rPr>
          <w:rFonts w:ascii="Times New Roman" w:hAnsi="Times New Roman" w:cs="Times New Roman"/>
          <w:b w:val="0"/>
          <w:sz w:val="22"/>
          <w:szCs w:val="22"/>
        </w:rPr>
        <w:t>As referenced in subsection 8.2.I, p</w:t>
      </w:r>
      <w:r w:rsidR="001E02DD" w:rsidRPr="00344595">
        <w:rPr>
          <w:rFonts w:ascii="Times New Roman" w:hAnsi="Times New Roman" w:cs="Times New Roman"/>
          <w:b w:val="0"/>
          <w:sz w:val="22"/>
          <w:szCs w:val="22"/>
        </w:rPr>
        <w:t>ricing shall be proposed as follows:</w:t>
      </w:r>
    </w:p>
    <w:p w14:paraId="16004BF3" w14:textId="3B2B6535" w:rsidR="001E02DD" w:rsidRPr="00344595" w:rsidRDefault="005E4BD1"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44595">
        <w:rPr>
          <w:rFonts w:ascii="Times New Roman" w:eastAsia="Calibri" w:hAnsi="Times New Roman" w:cs="Times New Roman"/>
          <w:b w:val="0"/>
          <w:sz w:val="22"/>
          <w:szCs w:val="22"/>
        </w:rPr>
        <w:t>Pricing per Region</w:t>
      </w:r>
    </w:p>
    <w:p w14:paraId="0AD67F65" w14:textId="62B9C485" w:rsidR="005E4BD1" w:rsidRPr="00344595" w:rsidRDefault="005E4BD1"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44595">
        <w:rPr>
          <w:rFonts w:ascii="Times New Roman" w:eastAsia="Calibri" w:hAnsi="Times New Roman" w:cs="Times New Roman"/>
          <w:b w:val="0"/>
          <w:sz w:val="22"/>
          <w:szCs w:val="22"/>
        </w:rPr>
        <w:t>Per Locate</w:t>
      </w:r>
    </w:p>
    <w:p w14:paraId="0BB506A6" w14:textId="71C63A33" w:rsidR="005E4BD1" w:rsidRPr="00344595" w:rsidRDefault="005E4BD1"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44595">
        <w:rPr>
          <w:rFonts w:ascii="Times New Roman" w:eastAsia="Calibri" w:hAnsi="Times New Roman" w:cs="Times New Roman"/>
          <w:b w:val="0"/>
          <w:sz w:val="22"/>
          <w:szCs w:val="22"/>
        </w:rPr>
        <w:t>Per After Hours Locate</w:t>
      </w:r>
    </w:p>
    <w:p w14:paraId="5CB3BD06" w14:textId="6F3BB519" w:rsidR="005E4BD1" w:rsidRPr="00344595" w:rsidRDefault="005E4BD1"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44595">
        <w:rPr>
          <w:rFonts w:ascii="Times New Roman" w:eastAsia="Calibri" w:hAnsi="Times New Roman" w:cs="Times New Roman"/>
          <w:b w:val="0"/>
          <w:sz w:val="22"/>
          <w:szCs w:val="22"/>
        </w:rPr>
        <w:t>Per hour for site surveillance</w:t>
      </w:r>
    </w:p>
    <w:p w14:paraId="609F6336" w14:textId="409B72F6" w:rsidR="005E4BD1" w:rsidRPr="00344595" w:rsidRDefault="005E4BD1"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44595">
        <w:rPr>
          <w:rFonts w:ascii="Times New Roman" w:eastAsia="Calibri" w:hAnsi="Times New Roman" w:cs="Times New Roman"/>
          <w:b w:val="0"/>
          <w:sz w:val="22"/>
          <w:szCs w:val="22"/>
        </w:rPr>
        <w:t>Per hour screening</w:t>
      </w:r>
    </w:p>
    <w:p w14:paraId="26962913" w14:textId="0D3B6886" w:rsidR="005E4BD1" w:rsidRPr="00344595" w:rsidRDefault="005E4BD1"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44595">
        <w:rPr>
          <w:rFonts w:ascii="Times New Roman" w:eastAsia="Calibri" w:hAnsi="Times New Roman" w:cs="Times New Roman"/>
          <w:b w:val="0"/>
          <w:sz w:val="22"/>
          <w:szCs w:val="22"/>
        </w:rPr>
        <w:t>Per GIS Mapping/Advanced Locate</w:t>
      </w:r>
    </w:p>
    <w:p w14:paraId="47061C9C" w14:textId="77777777" w:rsidR="00342DC3" w:rsidRPr="00F325B0" w:rsidRDefault="00342DC3" w:rsidP="00F325B0">
      <w:pPr>
        <w:rPr>
          <w:rFonts w:ascii="Times New Roman" w:hAnsi="Times New Roman" w:cs="Times New Roman"/>
          <w:color w:val="FF0000"/>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344595" w:rsidRDefault="00907309" w:rsidP="009A0E6B">
      <w:pPr>
        <w:pStyle w:val="ListParagraph"/>
        <w:numPr>
          <w:ilvl w:val="2"/>
          <w:numId w:val="10"/>
        </w:numPr>
        <w:jc w:val="both"/>
        <w:rPr>
          <w:rFonts w:ascii="Times New Roman" w:hAnsi="Times New Roman" w:cs="Times New Roman"/>
          <w:b w:val="0"/>
          <w:sz w:val="22"/>
          <w:szCs w:val="22"/>
        </w:rPr>
      </w:pPr>
      <w:r w:rsidRPr="00344595">
        <w:rPr>
          <w:rFonts w:ascii="Times New Roman" w:hAnsi="Times New Roman" w:cs="Times New Roman"/>
          <w:b w:val="0"/>
          <w:sz w:val="22"/>
          <w:szCs w:val="22"/>
        </w:rPr>
        <w:t>As referenced in subsection 8.2.N, i</w:t>
      </w:r>
      <w:r w:rsidR="00F9259C" w:rsidRPr="00344595">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344595"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344595" w:rsidRDefault="00F9259C" w:rsidP="009A0E6B">
      <w:pPr>
        <w:pStyle w:val="ListParagraph"/>
        <w:numPr>
          <w:ilvl w:val="3"/>
          <w:numId w:val="10"/>
        </w:numPr>
        <w:ind w:left="3240"/>
        <w:jc w:val="both"/>
        <w:rPr>
          <w:rFonts w:ascii="Times New Roman" w:hAnsi="Times New Roman" w:cs="Times New Roman"/>
          <w:b w:val="0"/>
          <w:sz w:val="22"/>
          <w:szCs w:val="22"/>
        </w:rPr>
      </w:pPr>
      <w:r w:rsidRPr="00344595">
        <w:rPr>
          <w:rFonts w:ascii="Times New Roman" w:hAnsi="Times New Roman" w:cs="Times New Roman"/>
          <w:b w:val="0"/>
          <w:sz w:val="22"/>
          <w:szCs w:val="22"/>
        </w:rPr>
        <w:t xml:space="preserve">Company </w:t>
      </w:r>
      <w:proofErr w:type="gramStart"/>
      <w:r w:rsidRPr="00344595">
        <w:rPr>
          <w:rFonts w:ascii="Times New Roman" w:hAnsi="Times New Roman" w:cs="Times New Roman"/>
          <w:b w:val="0"/>
          <w:sz w:val="22"/>
          <w:szCs w:val="22"/>
        </w:rPr>
        <w:t>history;</w:t>
      </w:r>
      <w:proofErr w:type="gramEnd"/>
    </w:p>
    <w:p w14:paraId="0E6E6834" w14:textId="77777777" w:rsidR="00F9259C" w:rsidRPr="00344595" w:rsidRDefault="00F9259C" w:rsidP="009A0E6B">
      <w:pPr>
        <w:pStyle w:val="ListParagraph"/>
        <w:numPr>
          <w:ilvl w:val="3"/>
          <w:numId w:val="10"/>
        </w:numPr>
        <w:ind w:left="3240"/>
        <w:jc w:val="both"/>
        <w:rPr>
          <w:rFonts w:ascii="Times New Roman" w:hAnsi="Times New Roman" w:cs="Times New Roman"/>
          <w:b w:val="0"/>
          <w:sz w:val="22"/>
          <w:szCs w:val="22"/>
        </w:rPr>
      </w:pPr>
      <w:r w:rsidRPr="00344595">
        <w:rPr>
          <w:rFonts w:ascii="Times New Roman" w:hAnsi="Times New Roman" w:cs="Times New Roman"/>
          <w:b w:val="0"/>
          <w:sz w:val="22"/>
          <w:szCs w:val="22"/>
        </w:rPr>
        <w:t xml:space="preserve">Relationship to </w:t>
      </w:r>
      <w:proofErr w:type="gramStart"/>
      <w:r w:rsidRPr="00344595">
        <w:rPr>
          <w:rFonts w:ascii="Times New Roman" w:hAnsi="Times New Roman" w:cs="Times New Roman"/>
          <w:b w:val="0"/>
          <w:sz w:val="22"/>
          <w:szCs w:val="22"/>
        </w:rPr>
        <w:t>Bidder;</w:t>
      </w:r>
      <w:proofErr w:type="gramEnd"/>
    </w:p>
    <w:p w14:paraId="3CA03B81" w14:textId="77777777" w:rsidR="00F9259C" w:rsidRPr="00344595" w:rsidRDefault="00F9259C" w:rsidP="009A0E6B">
      <w:pPr>
        <w:pStyle w:val="ListParagraph"/>
        <w:numPr>
          <w:ilvl w:val="3"/>
          <w:numId w:val="10"/>
        </w:numPr>
        <w:ind w:left="3240"/>
        <w:jc w:val="both"/>
        <w:rPr>
          <w:rFonts w:ascii="Times New Roman" w:hAnsi="Times New Roman" w:cs="Times New Roman"/>
          <w:b w:val="0"/>
          <w:sz w:val="22"/>
          <w:szCs w:val="22"/>
        </w:rPr>
      </w:pPr>
      <w:r w:rsidRPr="00344595">
        <w:rPr>
          <w:rFonts w:ascii="Times New Roman" w:hAnsi="Times New Roman" w:cs="Times New Roman"/>
          <w:b w:val="0"/>
          <w:sz w:val="22"/>
          <w:szCs w:val="22"/>
        </w:rPr>
        <w:t xml:space="preserve">Clients for which the two entities have worked </w:t>
      </w:r>
      <w:proofErr w:type="gramStart"/>
      <w:r w:rsidRPr="00344595">
        <w:rPr>
          <w:rFonts w:ascii="Times New Roman" w:hAnsi="Times New Roman" w:cs="Times New Roman"/>
          <w:b w:val="0"/>
          <w:sz w:val="22"/>
          <w:szCs w:val="22"/>
        </w:rPr>
        <w:t>together;</w:t>
      </w:r>
      <w:proofErr w:type="gramEnd"/>
      <w:r w:rsidRPr="00344595">
        <w:rPr>
          <w:rFonts w:ascii="Times New Roman" w:hAnsi="Times New Roman" w:cs="Times New Roman"/>
          <w:b w:val="0"/>
          <w:sz w:val="22"/>
          <w:szCs w:val="22"/>
        </w:rPr>
        <w:t xml:space="preserve"> and</w:t>
      </w:r>
    </w:p>
    <w:p w14:paraId="6A178892" w14:textId="31745D50" w:rsidR="00F9259C" w:rsidRPr="00344595" w:rsidRDefault="00F9259C" w:rsidP="009A0E6B">
      <w:pPr>
        <w:pStyle w:val="ListParagraph"/>
        <w:numPr>
          <w:ilvl w:val="3"/>
          <w:numId w:val="10"/>
        </w:numPr>
        <w:ind w:left="3240"/>
        <w:jc w:val="both"/>
        <w:rPr>
          <w:rFonts w:ascii="Times New Roman" w:hAnsi="Times New Roman" w:cs="Times New Roman"/>
          <w:b w:val="0"/>
          <w:sz w:val="22"/>
          <w:szCs w:val="22"/>
        </w:rPr>
      </w:pPr>
      <w:r w:rsidRPr="00344595">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B332ECC"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9C119A">
        <w:rPr>
          <w:rFonts w:ascii="Times New Roman" w:hAnsi="Times New Roman" w:cs="Times New Roman"/>
          <w:b/>
          <w:color w:val="000000"/>
          <w:sz w:val="24"/>
          <w:szCs w:val="24"/>
        </w:rPr>
        <w:t>0900000482</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C5BE4"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C5BE4">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C5BE4">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33F5"/>
    <w:rsid w:val="00004684"/>
    <w:rsid w:val="00005DF9"/>
    <w:rsid w:val="00005ED1"/>
    <w:rsid w:val="000122D5"/>
    <w:rsid w:val="000134D2"/>
    <w:rsid w:val="00013740"/>
    <w:rsid w:val="00013864"/>
    <w:rsid w:val="000161D8"/>
    <w:rsid w:val="000248B7"/>
    <w:rsid w:val="000278A5"/>
    <w:rsid w:val="00052529"/>
    <w:rsid w:val="00052F9E"/>
    <w:rsid w:val="0005612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595"/>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3B62"/>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4630"/>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4BD1"/>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0BD4"/>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54489"/>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119A"/>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5716"/>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1DBC"/>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3CB4"/>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B1F56"/>
    <w:rsid w:val="00EC027B"/>
    <w:rsid w:val="00EC5BE4"/>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25B0"/>
    <w:rsid w:val="00F37C1E"/>
    <w:rsid w:val="00F43D38"/>
    <w:rsid w:val="00F55F9E"/>
    <w:rsid w:val="00F62CFE"/>
    <w:rsid w:val="00F63C13"/>
    <w:rsid w:val="00F65362"/>
    <w:rsid w:val="00F65549"/>
    <w:rsid w:val="00F67650"/>
    <w:rsid w:val="00F7011A"/>
    <w:rsid w:val="00F72DEF"/>
    <w:rsid w:val="00F755C4"/>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5784</Words>
  <Characters>32970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17</cp:revision>
  <cp:lastPrinted>2020-09-01T14:51:00Z</cp:lastPrinted>
  <dcterms:created xsi:type="dcterms:W3CDTF">2021-03-08T19:46:00Z</dcterms:created>
  <dcterms:modified xsi:type="dcterms:W3CDTF">2021-03-16T16:47:00Z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