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17"/>
        <w:gridCol w:w="288"/>
        <w:gridCol w:w="1023"/>
        <w:gridCol w:w="529"/>
        <w:gridCol w:w="1514"/>
        <w:gridCol w:w="190"/>
        <w:gridCol w:w="103"/>
        <w:gridCol w:w="554"/>
        <w:gridCol w:w="90"/>
        <w:gridCol w:w="456"/>
        <w:gridCol w:w="136"/>
        <w:gridCol w:w="575"/>
        <w:gridCol w:w="162"/>
        <w:gridCol w:w="1188"/>
        <w:gridCol w:w="519"/>
        <w:gridCol w:w="253"/>
        <w:gridCol w:w="469"/>
        <w:gridCol w:w="95"/>
        <w:gridCol w:w="558"/>
        <w:gridCol w:w="290"/>
        <w:gridCol w:w="160"/>
        <w:gridCol w:w="8"/>
        <w:gridCol w:w="71"/>
      </w:tblGrid>
      <w:tr w:rsidR="00977E0D" w14:paraId="23849B94" w14:textId="77777777" w:rsidTr="00D36662">
        <w:trPr>
          <w:gridAfter w:val="2"/>
          <w:wAfter w:w="86" w:type="dxa"/>
        </w:trPr>
        <w:tc>
          <w:tcPr>
            <w:tcW w:w="1757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bottom"/>
          </w:tcPr>
          <w:p w14:paraId="2629A0DE" w14:textId="1C0C953C" w:rsidR="00977E0D" w:rsidRDefault="00DB0062" w:rsidP="00680721">
            <w:pPr>
              <w:spacing w:beforeLines="50" w:before="120"/>
            </w:pPr>
            <w:r>
              <w:t>March 8, 2021</w:t>
            </w:r>
          </w:p>
        </w:tc>
        <w:tc>
          <w:tcPr>
            <w:tcW w:w="2091" w:type="dxa"/>
            <w:gridSpan w:val="7"/>
            <w:vAlign w:val="bottom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  <w:vAlign w:val="bottom"/>
          </w:tcPr>
          <w:p w14:paraId="63BEA31E" w14:textId="33AF5398" w:rsidR="00977E0D" w:rsidRDefault="00DB0062" w:rsidP="00680721">
            <w:pPr>
              <w:spacing w:beforeLines="50" w:before="120"/>
            </w:pPr>
            <w:r>
              <w:t>0900000478</w:t>
            </w:r>
            <w:bookmarkStart w:id="0" w:name="_GoBack"/>
            <w:bookmarkEnd w:id="0"/>
          </w:p>
        </w:tc>
      </w:tr>
      <w:tr w:rsidR="00977E0D" w14:paraId="77371E44" w14:textId="77777777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75530A2D" w:rsidR="00977E0D" w:rsidRDefault="00DB0062" w:rsidP="0033118F">
            <w:pPr>
              <w:spacing w:beforeLines="100" w:before="240"/>
            </w:pPr>
            <w:r>
              <w:t>0900014910</w:t>
            </w:r>
          </w:p>
        </w:tc>
        <w:tc>
          <w:tcPr>
            <w:tcW w:w="2239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0DBA46B4" w:rsidR="00977E0D" w:rsidRDefault="00DB0062" w:rsidP="0033118F">
            <w:pPr>
              <w:spacing w:beforeLines="100" w:before="240"/>
            </w:pPr>
            <w:r>
              <w:t>1</w:t>
            </w:r>
          </w:p>
        </w:tc>
      </w:tr>
      <w:tr w:rsidR="0033118F" w14:paraId="456B5849" w14:textId="77777777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14:paraId="119E6EA7" w14:textId="288F969E" w:rsidR="0033118F" w:rsidRDefault="00DB0062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D36662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36662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1B5326FC" w:rsidR="002C60CD" w:rsidRDefault="00DB0062" w:rsidP="00071DEE">
            <w:r>
              <w:t>Stephanie Beshears</w:t>
            </w:r>
          </w:p>
        </w:tc>
        <w:tc>
          <w:tcPr>
            <w:tcW w:w="555" w:type="dxa"/>
            <w:vAlign w:val="bottom"/>
          </w:tcPr>
          <w:p w14:paraId="323E480D" w14:textId="77777777"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14:paraId="1A5EDF49" w14:textId="6F57599F" w:rsidR="002C60CD" w:rsidRDefault="00DB0062" w:rsidP="00071DEE">
            <w:pPr>
              <w:ind w:left="78" w:hanging="78"/>
            </w:pPr>
            <w:r>
              <w:t>405-517-6769</w:t>
            </w:r>
          </w:p>
        </w:tc>
        <w:tc>
          <w:tcPr>
            <w:tcW w:w="574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23C3BD5B" w:rsidR="002C60CD" w:rsidRDefault="00D36662" w:rsidP="00071DEE">
            <w:hyperlink r:id="rId12" w:history="1">
              <w:r w:rsidR="00DB0062" w:rsidRPr="00A828C2">
                <w:rPr>
                  <w:rStyle w:val="Hyperlink"/>
                </w:rPr>
                <w:t>Stephanie.Beshears@omes.ok.gov</w:t>
              </w:r>
            </w:hyperlink>
          </w:p>
        </w:tc>
      </w:tr>
      <w:tr w:rsidR="002C60CD" w14:paraId="7B8FDC5B" w14:textId="77777777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14:paraId="2998BE72" w14:textId="77777777" w:rsidR="002C60CD" w:rsidRDefault="002C60CD" w:rsidP="00430AF6"/>
        </w:tc>
        <w:tc>
          <w:tcPr>
            <w:tcW w:w="1925" w:type="dxa"/>
            <w:gridSpan w:val="3"/>
          </w:tcPr>
          <w:p w14:paraId="63CED721" w14:textId="77777777" w:rsidR="002C60CD" w:rsidRDefault="002C60CD" w:rsidP="00430AF6">
            <w:r>
              <w:t>Phone Number</w:t>
            </w:r>
          </w:p>
        </w:tc>
        <w:tc>
          <w:tcPr>
            <w:tcW w:w="1246" w:type="dxa"/>
            <w:gridSpan w:val="4"/>
          </w:tcPr>
          <w:p w14:paraId="11200447" w14:textId="77777777" w:rsidR="002C60CD" w:rsidRDefault="002C60CD" w:rsidP="00430AF6"/>
        </w:tc>
        <w:tc>
          <w:tcPr>
            <w:tcW w:w="1893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14:paraId="122152C4" w14:textId="77777777" w:rsidR="00430AF6" w:rsidRDefault="00D36662" w:rsidP="00430AF6">
            <w:hyperlink r:id="rId13" w:history="1">
              <w:r w:rsidR="00071DEE">
                <w:rPr>
                  <w:rStyle w:val="Hyperlink"/>
                  <w:rFonts w:ascii="Calibri" w:hAnsi="Calibri" w:cs="Calibri"/>
                </w:rPr>
                <w:t>OMESCPeBID@omes.ok.gov</w:t>
              </w:r>
            </w:hyperlink>
          </w:p>
        </w:tc>
      </w:tr>
      <w:tr w:rsidR="00430AF6" w14:paraId="3D428AB6" w14:textId="77777777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8AF" w14:textId="741D1869" w:rsidR="00DB0062" w:rsidRDefault="00DB0062" w:rsidP="00E31827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This amendment applies to </w:t>
            </w:r>
            <w:r w:rsidRPr="00DB0062">
              <w:rPr>
                <w:rFonts w:ascii="Segoe UI" w:hAnsi="Segoe UI" w:cs="Segoe UI"/>
                <w:b/>
                <w:bCs/>
                <w:sz w:val="21"/>
                <w:szCs w:val="21"/>
              </w:rPr>
              <w:t>Exhibit 10 – Performance Guarantees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. Please make note of the following </w:t>
            </w:r>
            <w:r w:rsidR="00BA55A0">
              <w:rPr>
                <w:rFonts w:ascii="Segoe UI" w:hAnsi="Segoe UI" w:cs="Segoe UI"/>
                <w:sz w:val="21"/>
                <w:szCs w:val="21"/>
              </w:rPr>
              <w:t>revisions:</w:t>
            </w:r>
          </w:p>
          <w:p w14:paraId="12D6F03E" w14:textId="5ACB3A83" w:rsidR="00DB0062" w:rsidRDefault="00DB0062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1909213" w14:textId="76D389E1" w:rsidR="00DB0062" w:rsidRPr="00BA55A0" w:rsidRDefault="001775B6" w:rsidP="00E31827">
            <w:pP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BA55A0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The Guarantee and Metric portions are being updated to refle</w:t>
            </w:r>
            <w:r w:rsidR="0034458D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c</w:t>
            </w:r>
            <w:r w:rsidRPr="00BA55A0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t 99.9</w:t>
            </w:r>
            <w:r w:rsidR="0034458D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9</w:t>
            </w:r>
            <w:r w:rsidRPr="00BA55A0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% (from 99%).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0"/>
              <w:gridCol w:w="2560"/>
              <w:gridCol w:w="2560"/>
              <w:gridCol w:w="2561"/>
            </w:tblGrid>
            <w:tr w:rsidR="001775B6" w14:paraId="75DC2555" w14:textId="77777777" w:rsidTr="001775B6">
              <w:trPr>
                <w:trHeight w:val="755"/>
              </w:trPr>
              <w:tc>
                <w:tcPr>
                  <w:tcW w:w="2560" w:type="dxa"/>
                </w:tcPr>
                <w:p w14:paraId="2304F177" w14:textId="54764553" w:rsidR="001775B6" w:rsidRPr="001775B6" w:rsidRDefault="001775B6" w:rsidP="001775B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</w:pPr>
                  <w:r w:rsidRPr="001775B6"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  <w:t>Information Technology Standards</w:t>
                  </w:r>
                </w:p>
              </w:tc>
              <w:tc>
                <w:tcPr>
                  <w:tcW w:w="2560" w:type="dxa"/>
                </w:tcPr>
                <w:p w14:paraId="0FB02957" w14:textId="2860AD25" w:rsidR="001775B6" w:rsidRPr="001775B6" w:rsidRDefault="001775B6" w:rsidP="001775B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</w:pPr>
                  <w:r w:rsidRPr="001775B6"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  <w:t>Guarantee</w:t>
                  </w:r>
                </w:p>
              </w:tc>
              <w:tc>
                <w:tcPr>
                  <w:tcW w:w="2560" w:type="dxa"/>
                </w:tcPr>
                <w:p w14:paraId="742EB08A" w14:textId="29ACFD57" w:rsidR="001775B6" w:rsidRPr="001775B6" w:rsidRDefault="001775B6" w:rsidP="001775B6">
                  <w:pPr>
                    <w:jc w:val="center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</w:pPr>
                  <w:r w:rsidRPr="001775B6"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  <w:tc>
                <w:tcPr>
                  <w:tcW w:w="2561" w:type="dxa"/>
                </w:tcPr>
                <w:p w14:paraId="3E379857" w14:textId="266F4116" w:rsidR="001775B6" w:rsidRPr="001775B6" w:rsidRDefault="001775B6" w:rsidP="001775B6">
                  <w:pPr>
                    <w:ind w:firstLine="720"/>
                    <w:jc w:val="center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</w:pPr>
                  <w:r w:rsidRPr="001775B6"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</w:rPr>
                    <w:t>Metric</w:t>
                  </w:r>
                </w:p>
              </w:tc>
            </w:tr>
            <w:tr w:rsidR="001775B6" w14:paraId="131DF558" w14:textId="77777777" w:rsidTr="001775B6">
              <w:tc>
                <w:tcPr>
                  <w:tcW w:w="2560" w:type="dxa"/>
                </w:tcPr>
                <w:p w14:paraId="19912504" w14:textId="20273D0C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System Availability for TPA and EGID</w:t>
                  </w:r>
                </w:p>
              </w:tc>
              <w:tc>
                <w:tcPr>
                  <w:tcW w:w="2560" w:type="dxa"/>
                </w:tcPr>
                <w:p w14:paraId="7045DD19" w14:textId="6952E47B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 xml:space="preserve">The claims processing, certification, call center and imaging systems shall be available ninety-nine percent </w:t>
                  </w: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(99.9</w:t>
                  </w:r>
                  <w:r w:rsidR="009A6473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</w:t>
                  </w: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%)</w:t>
                  </w: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 xml:space="preserve"> of the specified time</w:t>
                  </w:r>
                </w:p>
              </w:tc>
              <w:tc>
                <w:tcPr>
                  <w:tcW w:w="2560" w:type="dxa"/>
                </w:tcPr>
                <w:p w14:paraId="433FEF55" w14:textId="7131A315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Monday-Friday 6:00 a.m. – 6:00 p.m. CST excluding State of Oklahoma government observed holidays, division closure due to other reasons, and scheduled  maintenance.</w:t>
                  </w:r>
                </w:p>
              </w:tc>
              <w:tc>
                <w:tcPr>
                  <w:tcW w:w="2561" w:type="dxa"/>
                </w:tcPr>
                <w:p w14:paraId="06CD7569" w14:textId="19ECADB1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99.9</w:t>
                  </w:r>
                  <w:r w:rsidR="0034458D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</w:t>
                  </w: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%</w:t>
                  </w:r>
                </w:p>
              </w:tc>
            </w:tr>
            <w:tr w:rsidR="001775B6" w14:paraId="4904F34F" w14:textId="77777777" w:rsidTr="001775B6">
              <w:tc>
                <w:tcPr>
                  <w:tcW w:w="2560" w:type="dxa"/>
                </w:tcPr>
                <w:p w14:paraId="7F59ED48" w14:textId="78782CAF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System Availability for Self Service</w:t>
                  </w:r>
                </w:p>
              </w:tc>
              <w:tc>
                <w:tcPr>
                  <w:tcW w:w="2560" w:type="dxa"/>
                </w:tcPr>
                <w:p w14:paraId="37F0EBD4" w14:textId="2C143972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 xml:space="preserve">The claims history, certification history and requests and other Member and Provider self-service systems shall be available ninety-nine percent </w:t>
                  </w: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(99.9</w:t>
                  </w:r>
                  <w:r w:rsidR="009A6473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</w:t>
                  </w: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 xml:space="preserve">%) </w:t>
                  </w: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of the specified time</w:t>
                  </w:r>
                </w:p>
              </w:tc>
              <w:tc>
                <w:tcPr>
                  <w:tcW w:w="2560" w:type="dxa"/>
                </w:tcPr>
                <w:p w14:paraId="3093E37B" w14:textId="7F8EF28F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 xml:space="preserve">Sunday-Saturday twenty-four (24) hours per day; Hours for scheduled maintenance are Saturday-Sunday 8:00 p.m. – 8:00 a.m. and require EGID's approval. Notice of downtime shall be posted to the site at least </w:t>
                  </w:r>
                  <w:proofErr w:type="spellStart"/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fourty</w:t>
                  </w:r>
                  <w:proofErr w:type="spellEnd"/>
                  <w:r w:rsidRPr="001775B6">
                    <w:rPr>
                      <w:rFonts w:ascii="Segoe UI" w:hAnsi="Segoe UI" w:cs="Segoe UI"/>
                      <w:sz w:val="18"/>
                      <w:szCs w:val="18"/>
                    </w:rPr>
                    <w:t>-eight (48) hours in advance.</w:t>
                  </w:r>
                </w:p>
              </w:tc>
              <w:tc>
                <w:tcPr>
                  <w:tcW w:w="2561" w:type="dxa"/>
                </w:tcPr>
                <w:p w14:paraId="348AB9C1" w14:textId="643BFD59" w:rsidR="001775B6" w:rsidRPr="001775B6" w:rsidRDefault="001775B6" w:rsidP="00E31827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775B6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99.9</w:t>
                  </w:r>
                  <w:r w:rsidR="0034458D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9</w:t>
                  </w:r>
                  <w:r w:rsidR="006D5739">
                    <w:rPr>
                      <w:rFonts w:ascii="Segoe UI" w:hAnsi="Segoe UI" w:cs="Segoe UI"/>
                      <w:color w:val="C00000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65BDB199" w14:textId="77777777" w:rsidR="00DB0062" w:rsidRDefault="00DB0062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20ECC963" w14:textId="77777777" w:rsidR="00DB0062" w:rsidRDefault="00DB0062" w:rsidP="00E31827">
            <w:pPr>
              <w:rPr>
                <w:rFonts w:ascii="Segoe UI" w:hAnsi="Segoe UI" w:cs="Segoe UI"/>
                <w:sz w:val="21"/>
                <w:szCs w:val="21"/>
              </w:rPr>
            </w:pPr>
          </w:p>
          <w:p w14:paraId="4D78A2BC" w14:textId="77777777" w:rsidR="00F558C8" w:rsidRPr="00F558C8" w:rsidRDefault="00F558C8" w:rsidP="005B0007">
            <w:pPr>
              <w:spacing w:beforeLines="50" w:before="120"/>
            </w:pPr>
          </w:p>
          <w:p w14:paraId="2807DD32" w14:textId="77777777" w:rsidR="00F558C8" w:rsidRPr="00F558C8" w:rsidRDefault="00F558C8" w:rsidP="005B0007">
            <w:pPr>
              <w:spacing w:beforeLines="50" w:before="120"/>
            </w:pPr>
          </w:p>
          <w:p w14:paraId="50BD9D7B" w14:textId="77777777" w:rsidR="00F558C8" w:rsidRPr="00F558C8" w:rsidRDefault="00F558C8" w:rsidP="005B0007">
            <w:pPr>
              <w:spacing w:beforeLines="50" w:before="120"/>
            </w:pPr>
          </w:p>
          <w:p w14:paraId="154F5B1E" w14:textId="77777777" w:rsidR="00F558C8" w:rsidRPr="00F558C8" w:rsidRDefault="00F558C8" w:rsidP="005B0007">
            <w:pPr>
              <w:spacing w:beforeLines="50" w:before="120"/>
            </w:pPr>
          </w:p>
        </w:tc>
      </w:tr>
    </w:tbl>
    <w:p w14:paraId="347A6F17" w14:textId="7777777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4"/>
      <w:footerReference w:type="first" r:id="rId15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5406"/>
    <w:rsid w:val="001775B6"/>
    <w:rsid w:val="001B02BC"/>
    <w:rsid w:val="001D502E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458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658A"/>
    <w:rsid w:val="004D12F1"/>
    <w:rsid w:val="004F3131"/>
    <w:rsid w:val="004F4D3E"/>
    <w:rsid w:val="004F7DA5"/>
    <w:rsid w:val="00507D2E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5739"/>
    <w:rsid w:val="006D68E8"/>
    <w:rsid w:val="006E1F3B"/>
    <w:rsid w:val="006E3407"/>
    <w:rsid w:val="00730B10"/>
    <w:rsid w:val="00744B5C"/>
    <w:rsid w:val="00775D7C"/>
    <w:rsid w:val="007C0AF0"/>
    <w:rsid w:val="007C0E6C"/>
    <w:rsid w:val="007D27C1"/>
    <w:rsid w:val="007E4290"/>
    <w:rsid w:val="007F4C58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74B2"/>
    <w:rsid w:val="00977E0D"/>
    <w:rsid w:val="009845ED"/>
    <w:rsid w:val="00984B29"/>
    <w:rsid w:val="009857E5"/>
    <w:rsid w:val="009948EF"/>
    <w:rsid w:val="009A5CD7"/>
    <w:rsid w:val="009A6473"/>
    <w:rsid w:val="009D3DD0"/>
    <w:rsid w:val="009F4D7C"/>
    <w:rsid w:val="00A131B7"/>
    <w:rsid w:val="00A27F1B"/>
    <w:rsid w:val="00A3362B"/>
    <w:rsid w:val="00A406D4"/>
    <w:rsid w:val="00A63A56"/>
    <w:rsid w:val="00A661DC"/>
    <w:rsid w:val="00A666B9"/>
    <w:rsid w:val="00A73F38"/>
    <w:rsid w:val="00A749B1"/>
    <w:rsid w:val="00A87994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55A0"/>
    <w:rsid w:val="00BA7198"/>
    <w:rsid w:val="00BA72C6"/>
    <w:rsid w:val="00BB5E39"/>
    <w:rsid w:val="00BD02EF"/>
    <w:rsid w:val="00BD260C"/>
    <w:rsid w:val="00BE17F3"/>
    <w:rsid w:val="00C07B4D"/>
    <w:rsid w:val="00C24D90"/>
    <w:rsid w:val="00C311B0"/>
    <w:rsid w:val="00C37F89"/>
    <w:rsid w:val="00C418F2"/>
    <w:rsid w:val="00C44FF3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36662"/>
    <w:rsid w:val="00D43572"/>
    <w:rsid w:val="00D50E25"/>
    <w:rsid w:val="00D510FD"/>
    <w:rsid w:val="00D51DE7"/>
    <w:rsid w:val="00D656C5"/>
    <w:rsid w:val="00D65BA6"/>
    <w:rsid w:val="00D83A2C"/>
    <w:rsid w:val="00D96F41"/>
    <w:rsid w:val="00DB0062"/>
    <w:rsid w:val="00DB473B"/>
    <w:rsid w:val="00DC6DC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F00BE9"/>
    <w:rsid w:val="00F051B9"/>
    <w:rsid w:val="00F06E46"/>
    <w:rsid w:val="00F34247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ESCPeBID@omes.ok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anie.Beshears@omes.ok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189649AE94645A6B287535001986C" ma:contentTypeVersion="5" ma:contentTypeDescription="Create a new document." ma:contentTypeScope="" ma:versionID="38c98c0d1344583449a3d96fa38d1783">
  <xsd:schema xmlns:xsd="http://www.w3.org/2001/XMLSchema" xmlns:xs="http://www.w3.org/2001/XMLSchema" xmlns:p="http://schemas.microsoft.com/office/2006/metadata/properties" xmlns:ns2="cc742608-537d-4947-9972-a876d5947450" xmlns:ns3="2e2115f1-8b03-4ce9-9e21-390e373fac7f" targetNamespace="http://schemas.microsoft.com/office/2006/metadata/properties" ma:root="true" ma:fieldsID="b4eef9d7499a30e9abe07c3387935c0b" ns2:_="" ns3:_="">
    <xsd:import namespace="cc742608-537d-4947-9972-a876d5947450"/>
    <xsd:import namespace="2e2115f1-8b03-4ce9-9e21-390e373f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2608-537d-4947-9972-a876d5947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15f1-8b03-4ce9-9e21-390e373f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742608-537d-4947-9972-a876d59474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E5D6-9E8B-412C-944F-923581F2B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2608-537d-4947-9972-a876d5947450"/>
    <ds:schemaRef ds:uri="2e2115f1-8b03-4ce9-9e21-390e373f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e2115f1-8b03-4ce9-9e21-390e373fac7f"/>
    <ds:schemaRef ds:uri="cc742608-537d-4947-9972-a876d594745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29011F-08D7-44D8-B07D-5D9EFD11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0900000478 Amendment 1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0900000478 Amendment 1</dc:title>
  <dc:subject>Updates to Performance Guarantees relating to Exhibit 10 of Solicitation 0900000478 and EGID.</dc:subject>
  <dc:creator>OMES Purchasing</dc:creator>
  <cp:keywords>amendment, solicitation, 0900000478, perform, guarantee, exhibit 10, egid</cp:keywords>
  <cp:lastModifiedBy>Jake Lowrey</cp:lastModifiedBy>
  <cp:revision>4</cp:revision>
  <cp:lastPrinted>2008-12-08T14:07:00Z</cp:lastPrinted>
  <dcterms:created xsi:type="dcterms:W3CDTF">2021-03-08T16:57:00Z</dcterms:created>
  <dcterms:modified xsi:type="dcterms:W3CDTF">2021-03-08T17:29:00Z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0x010100411189649AE94645A6B287535001986C</vt:lpwstr>
  </property>
</Properties>
</file>