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F66E" w14:textId="73B91825" w:rsidR="00BE67D0" w:rsidRDefault="001C34E4" w:rsidP="001C34E4">
      <w:pPr>
        <w:jc w:val="center"/>
        <w:rPr>
          <w:b/>
          <w:bCs/>
          <w:sz w:val="28"/>
          <w:szCs w:val="28"/>
        </w:rPr>
      </w:pPr>
      <w:r w:rsidRPr="001C34E4">
        <w:rPr>
          <w:b/>
          <w:bCs/>
          <w:sz w:val="28"/>
          <w:szCs w:val="28"/>
        </w:rPr>
        <w:t>Exhibit 1</w:t>
      </w:r>
      <w:r w:rsidR="003B302E">
        <w:rPr>
          <w:b/>
          <w:bCs/>
          <w:sz w:val="28"/>
          <w:szCs w:val="28"/>
        </w:rPr>
        <w:t xml:space="preserve"> </w:t>
      </w:r>
      <w:r w:rsidR="003B302E">
        <w:rPr>
          <w:b/>
          <w:bCs/>
          <w:sz w:val="28"/>
          <w:szCs w:val="28"/>
        </w:rPr>
        <w:t>Specifications</w:t>
      </w:r>
    </w:p>
    <w:p w14:paraId="42AAA5AF" w14:textId="3B044907" w:rsidR="00D71E92" w:rsidRDefault="001C34E4" w:rsidP="001C3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3B302E">
        <w:rPr>
          <w:b/>
          <w:bCs/>
          <w:sz w:val="28"/>
          <w:szCs w:val="28"/>
        </w:rPr>
        <w:t>olicitation 0400000178</w:t>
      </w:r>
    </w:p>
    <w:p w14:paraId="2A6E9EEA" w14:textId="6F81C0F2" w:rsidR="00AB1084" w:rsidRDefault="00D71E92" w:rsidP="00AB1084">
      <w:pPr>
        <w:rPr>
          <w:rFonts w:cstheme="minorHAnsi"/>
          <w:sz w:val="24"/>
          <w:szCs w:val="24"/>
        </w:rPr>
      </w:pPr>
      <w:r w:rsidRPr="00033299">
        <w:rPr>
          <w:rFonts w:cstheme="minorHAnsi"/>
          <w:sz w:val="24"/>
          <w:szCs w:val="24"/>
        </w:rPr>
        <w:t>T</w:t>
      </w:r>
      <w:r w:rsidR="001C34E4" w:rsidRPr="00033299">
        <w:rPr>
          <w:rFonts w:cstheme="minorHAnsi"/>
          <w:sz w:val="24"/>
          <w:szCs w:val="24"/>
        </w:rPr>
        <w:t>he Bid shall show the ability of the Bidder to meet or exceed the following</w:t>
      </w:r>
      <w:r w:rsidRPr="00033299">
        <w:rPr>
          <w:rFonts w:cstheme="minorHAnsi"/>
          <w:sz w:val="24"/>
          <w:szCs w:val="24"/>
        </w:rPr>
        <w:t xml:space="preserve"> </w:t>
      </w:r>
      <w:r w:rsidR="00C56054" w:rsidRPr="00033299">
        <w:rPr>
          <w:rFonts w:cstheme="minorHAnsi"/>
          <w:sz w:val="24"/>
          <w:szCs w:val="24"/>
        </w:rPr>
        <w:t>minimum mandatory</w:t>
      </w:r>
      <w:r w:rsidR="001C34E4" w:rsidRPr="00033299">
        <w:rPr>
          <w:rFonts w:cstheme="minorHAnsi"/>
          <w:sz w:val="24"/>
          <w:szCs w:val="24"/>
        </w:rPr>
        <w:t xml:space="preserve"> specifications</w:t>
      </w:r>
      <w:r w:rsidRPr="00033299">
        <w:rPr>
          <w:rFonts w:cstheme="minorHAnsi"/>
          <w:sz w:val="24"/>
          <w:szCs w:val="24"/>
        </w:rPr>
        <w:t xml:space="preserve"> in their entirety</w:t>
      </w:r>
      <w:r w:rsidR="00E47734" w:rsidRPr="00033299">
        <w:rPr>
          <w:rFonts w:cstheme="minorHAnsi"/>
          <w:sz w:val="24"/>
          <w:szCs w:val="24"/>
        </w:rPr>
        <w:t xml:space="preserve">. </w:t>
      </w:r>
      <w:r w:rsidR="001C34E4" w:rsidRPr="00033299">
        <w:rPr>
          <w:rFonts w:cstheme="minorHAnsi"/>
          <w:sz w:val="24"/>
          <w:szCs w:val="24"/>
        </w:rPr>
        <w:t xml:space="preserve">Bidders must respond to each line of specifications indicating product bid meets that specification or </w:t>
      </w:r>
      <w:r w:rsidRPr="00033299">
        <w:rPr>
          <w:rFonts w:cstheme="minorHAnsi"/>
          <w:sz w:val="24"/>
          <w:szCs w:val="24"/>
        </w:rPr>
        <w:t>explain any variation or exception to these minimum specifications in detail and item by item. The vendor must provide product brochures and/or published literature detailing the instrument specifications.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717"/>
        <w:gridCol w:w="1133"/>
        <w:gridCol w:w="1033"/>
        <w:gridCol w:w="222"/>
      </w:tblGrid>
      <w:tr w:rsidR="00A76877" w:rsidRPr="00F124FD" w14:paraId="0B30E61A" w14:textId="428D15F4" w:rsidTr="00863878">
        <w:trPr>
          <w:trHeight w:val="422"/>
        </w:trPr>
        <w:tc>
          <w:tcPr>
            <w:tcW w:w="8402" w:type="dxa"/>
            <w:gridSpan w:val="2"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noWrap/>
            <w:hideMark/>
          </w:tcPr>
          <w:p w14:paraId="0E99C878" w14:textId="77777777" w:rsidR="00A76877" w:rsidRPr="000A01EF" w:rsidRDefault="00A76877" w:rsidP="008638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E5AC47E" w14:textId="6F4672D5" w:rsidR="00A76877" w:rsidRPr="00F124FD" w:rsidRDefault="00A76877" w:rsidP="008638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01EF">
              <w:rPr>
                <w:rFonts w:cstheme="minorHAnsi"/>
                <w:b/>
                <w:bCs/>
                <w:sz w:val="24"/>
                <w:szCs w:val="24"/>
              </w:rPr>
              <w:t>Bendix King Mobile Radio</w:t>
            </w:r>
          </w:p>
        </w:tc>
        <w:tc>
          <w:tcPr>
            <w:tcW w:w="2388" w:type="dxa"/>
            <w:gridSpan w:val="3"/>
            <w:tcBorders>
              <w:left w:val="nil"/>
            </w:tcBorders>
            <w:shd w:val="clear" w:color="auto" w:fill="E2EFD9" w:themeFill="accent6" w:themeFillTint="33"/>
          </w:tcPr>
          <w:p w14:paraId="399013A6" w14:textId="77777777" w:rsidR="00A76877" w:rsidRDefault="00A76877" w:rsidP="008638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3878" w:rsidRPr="00F124FD" w14:paraId="240B00C1" w14:textId="674E9142" w:rsidTr="003F1062">
        <w:trPr>
          <w:trHeight w:val="728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DF81C21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585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25C1007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hideMark/>
          </w:tcPr>
          <w:p w14:paraId="00DFC812" w14:textId="35B58A5E" w:rsidR="00A76877" w:rsidRPr="00F124FD" w:rsidRDefault="00A76877" w:rsidP="008638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Q</w:t>
            </w:r>
            <w:r w:rsidR="00863878">
              <w:rPr>
                <w:rFonts w:cstheme="minorHAnsi"/>
                <w:b/>
                <w:bCs/>
                <w:sz w:val="24"/>
                <w:szCs w:val="24"/>
              </w:rPr>
              <w:t>TY Needed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4C277588" w14:textId="77777777" w:rsidR="00A76877" w:rsidRPr="00F124FD" w:rsidRDefault="00A76877" w:rsidP="008638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3878" w:rsidRPr="00F124FD" w14:paraId="2C8081EF" w14:textId="20D4B31B" w:rsidTr="003F1062">
        <w:trPr>
          <w:trHeight w:val="683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528B804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KNG-M150</w:t>
            </w:r>
          </w:p>
        </w:tc>
        <w:tc>
          <w:tcPr>
            <w:tcW w:w="5850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2856DF" w14:textId="4504A88C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136-174 MHz, Digital/Analog, P25, 5000 channels, 100 Watts Dash Mount wit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Pr="00F124FD">
              <w:rPr>
                <w:rFonts w:cstheme="minorHAnsi"/>
                <w:b/>
                <w:bCs/>
                <w:sz w:val="24"/>
                <w:szCs w:val="24"/>
              </w:rPr>
              <w:t xml:space="preserve"> the following features. </w:t>
            </w:r>
          </w:p>
        </w:tc>
        <w:tc>
          <w:tcPr>
            <w:tcW w:w="1033" w:type="dxa"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noWrap/>
            <w:hideMark/>
          </w:tcPr>
          <w:p w14:paraId="249969E7" w14:textId="77777777" w:rsidR="00A76877" w:rsidRPr="00F124FD" w:rsidRDefault="00A76877" w:rsidP="008638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2" w:type="dxa"/>
            <w:tcBorders>
              <w:left w:val="nil"/>
            </w:tcBorders>
            <w:shd w:val="clear" w:color="auto" w:fill="E2EFD9" w:themeFill="accent6" w:themeFillTint="33"/>
          </w:tcPr>
          <w:p w14:paraId="1AE7DE57" w14:textId="77777777" w:rsidR="00A76877" w:rsidRPr="00F124FD" w:rsidRDefault="00A76877" w:rsidP="0086387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76877" w:rsidRPr="00F124FD" w14:paraId="42D0C656" w14:textId="4C4966AD" w:rsidTr="00863878">
        <w:trPr>
          <w:trHeight w:val="315"/>
        </w:trPr>
        <w:tc>
          <w:tcPr>
            <w:tcW w:w="8402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59057E72" w14:textId="27095D68" w:rsidR="00A76877" w:rsidRPr="00F124FD" w:rsidRDefault="00A76877" w:rsidP="00CB08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F124FD">
              <w:rPr>
                <w:rFonts w:cstheme="minorHAnsi"/>
                <w:b/>
                <w:bCs/>
                <w:sz w:val="24"/>
                <w:szCs w:val="24"/>
              </w:rPr>
              <w:t>inimum standards</w:t>
            </w:r>
          </w:p>
        </w:tc>
        <w:tc>
          <w:tcPr>
            <w:tcW w:w="2388" w:type="dxa"/>
            <w:gridSpan w:val="3"/>
            <w:shd w:val="clear" w:color="auto" w:fill="FFF2CC" w:themeFill="accent4" w:themeFillTint="33"/>
          </w:tcPr>
          <w:p w14:paraId="36F4E818" w14:textId="407BA9BC" w:rsidR="00A76877" w:rsidRDefault="00A76877" w:rsidP="00CB08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Can Meet Y/N</w:t>
            </w:r>
          </w:p>
        </w:tc>
      </w:tr>
      <w:tr w:rsidR="00A76877" w:rsidRPr="00F124FD" w14:paraId="1265FC1B" w14:textId="6C78B41D" w:rsidTr="003F1062">
        <w:trPr>
          <w:trHeight w:val="7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5E55B2CC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4717" w:type="dxa"/>
            <w:noWrap/>
            <w:hideMark/>
          </w:tcPr>
          <w:p w14:paraId="18B928FC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IP54 Water and Dust Protection</w:t>
            </w:r>
          </w:p>
        </w:tc>
        <w:tc>
          <w:tcPr>
            <w:tcW w:w="2388" w:type="dxa"/>
            <w:gridSpan w:val="3"/>
          </w:tcPr>
          <w:p w14:paraId="6DA29CBE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5AB9AEF5" w14:textId="1264078F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6D853FE5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4717" w:type="dxa"/>
            <w:noWrap/>
            <w:hideMark/>
          </w:tcPr>
          <w:p w14:paraId="2BF114DA" w14:textId="1E40B51E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USB PC Programmable</w:t>
            </w:r>
          </w:p>
        </w:tc>
        <w:tc>
          <w:tcPr>
            <w:tcW w:w="2388" w:type="dxa"/>
            <w:gridSpan w:val="3"/>
          </w:tcPr>
          <w:p w14:paraId="2282A708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638B2A36" w14:textId="094EAC96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2079DCF3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4717" w:type="dxa"/>
            <w:noWrap/>
            <w:hideMark/>
          </w:tcPr>
          <w:p w14:paraId="7E1E17FC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OTAP-KNG Series Over the air Programming</w:t>
            </w:r>
          </w:p>
        </w:tc>
        <w:tc>
          <w:tcPr>
            <w:tcW w:w="2388" w:type="dxa"/>
            <w:gridSpan w:val="3"/>
          </w:tcPr>
          <w:p w14:paraId="2A3F9F54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48C6C486" w14:textId="65D03321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6CDF49A2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4717" w:type="dxa"/>
            <w:noWrap/>
            <w:hideMark/>
          </w:tcPr>
          <w:p w14:paraId="4D18BAE5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Scan Modes Dual priority scan, trunked priority scan and dual mode scan</w:t>
            </w:r>
          </w:p>
        </w:tc>
        <w:tc>
          <w:tcPr>
            <w:tcW w:w="2388" w:type="dxa"/>
            <w:gridSpan w:val="3"/>
          </w:tcPr>
          <w:p w14:paraId="7F465C1D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7D248108" w14:textId="4948D0A7" w:rsidTr="003F1062">
        <w:trPr>
          <w:trHeight w:val="315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0C6E20A6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Feature</w:t>
            </w:r>
          </w:p>
        </w:tc>
        <w:tc>
          <w:tcPr>
            <w:tcW w:w="4717" w:type="dxa"/>
            <w:noWrap/>
            <w:hideMark/>
          </w:tcPr>
          <w:p w14:paraId="77E73D38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Cloning to KNG &amp; Legacy Series radios</w:t>
            </w:r>
          </w:p>
        </w:tc>
        <w:tc>
          <w:tcPr>
            <w:tcW w:w="2388" w:type="dxa"/>
            <w:gridSpan w:val="3"/>
          </w:tcPr>
          <w:p w14:paraId="097963EC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6A17ED6A" w14:textId="10FB12A1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7C76FB20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Display</w:t>
            </w:r>
          </w:p>
        </w:tc>
        <w:tc>
          <w:tcPr>
            <w:tcW w:w="4717" w:type="dxa"/>
            <w:noWrap/>
            <w:hideMark/>
          </w:tcPr>
          <w:p w14:paraId="7B8CF820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Alpha-numeric, Color TFT Touch Screen Display</w:t>
            </w:r>
          </w:p>
        </w:tc>
        <w:tc>
          <w:tcPr>
            <w:tcW w:w="2388" w:type="dxa"/>
            <w:gridSpan w:val="3"/>
          </w:tcPr>
          <w:p w14:paraId="0B065F51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5ECCD295" w14:textId="0E835C14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32FBFD36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Channel Capacity</w:t>
            </w:r>
          </w:p>
        </w:tc>
        <w:tc>
          <w:tcPr>
            <w:tcW w:w="4717" w:type="dxa"/>
            <w:noWrap/>
            <w:hideMark/>
          </w:tcPr>
          <w:p w14:paraId="082DC435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Minimum of 5000 channels</w:t>
            </w:r>
          </w:p>
        </w:tc>
        <w:tc>
          <w:tcPr>
            <w:tcW w:w="2388" w:type="dxa"/>
            <w:gridSpan w:val="3"/>
          </w:tcPr>
          <w:p w14:paraId="607020D6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112EDEB4" w14:textId="48A8AD13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72B79A35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Memory</w:t>
            </w:r>
          </w:p>
        </w:tc>
        <w:tc>
          <w:tcPr>
            <w:tcW w:w="4717" w:type="dxa"/>
            <w:noWrap/>
            <w:hideMark/>
          </w:tcPr>
          <w:p w14:paraId="08A3DBAB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Minimum 256 MB Non-Volatile (Flash)</w:t>
            </w:r>
          </w:p>
        </w:tc>
        <w:tc>
          <w:tcPr>
            <w:tcW w:w="2388" w:type="dxa"/>
            <w:gridSpan w:val="3"/>
          </w:tcPr>
          <w:p w14:paraId="0A048AFF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11B9E60C" w14:textId="6B550AFC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4E225FFA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Band</w:t>
            </w:r>
          </w:p>
        </w:tc>
        <w:tc>
          <w:tcPr>
            <w:tcW w:w="4717" w:type="dxa"/>
            <w:noWrap/>
            <w:hideMark/>
          </w:tcPr>
          <w:p w14:paraId="17C8E9B1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VHF</w:t>
            </w:r>
          </w:p>
        </w:tc>
        <w:tc>
          <w:tcPr>
            <w:tcW w:w="2388" w:type="dxa"/>
            <w:gridSpan w:val="3"/>
          </w:tcPr>
          <w:p w14:paraId="38936826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16C97128" w14:textId="0A0F445D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23BB1D6C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Power Supply</w:t>
            </w:r>
          </w:p>
        </w:tc>
        <w:tc>
          <w:tcPr>
            <w:tcW w:w="4717" w:type="dxa"/>
            <w:noWrap/>
            <w:hideMark/>
          </w:tcPr>
          <w:p w14:paraId="5C648183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Minimum 13.8 V DC +/- 20% Negative Ground</w:t>
            </w:r>
          </w:p>
        </w:tc>
        <w:tc>
          <w:tcPr>
            <w:tcW w:w="2388" w:type="dxa"/>
            <w:gridSpan w:val="3"/>
          </w:tcPr>
          <w:p w14:paraId="06BE4D00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603B48A9" w14:textId="4D9CA8BB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4906DAF4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Standby Current @ 13.8 V</w:t>
            </w:r>
          </w:p>
        </w:tc>
        <w:tc>
          <w:tcPr>
            <w:tcW w:w="4717" w:type="dxa"/>
            <w:noWrap/>
            <w:hideMark/>
          </w:tcPr>
          <w:p w14:paraId="270AB129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Minimum 0.15 Amps</w:t>
            </w:r>
          </w:p>
        </w:tc>
        <w:tc>
          <w:tcPr>
            <w:tcW w:w="2388" w:type="dxa"/>
            <w:gridSpan w:val="3"/>
          </w:tcPr>
          <w:p w14:paraId="0E01DC76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3F3BBDF5" w14:textId="78735C20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5D5F6245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Receive Current Rated Audio @ 13.8 V</w:t>
            </w:r>
          </w:p>
        </w:tc>
        <w:tc>
          <w:tcPr>
            <w:tcW w:w="4717" w:type="dxa"/>
            <w:noWrap/>
            <w:hideMark/>
          </w:tcPr>
          <w:p w14:paraId="2F49D9F8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Minimum 2.15 Amps</w:t>
            </w:r>
          </w:p>
        </w:tc>
        <w:tc>
          <w:tcPr>
            <w:tcW w:w="2388" w:type="dxa"/>
            <w:gridSpan w:val="3"/>
          </w:tcPr>
          <w:p w14:paraId="7CA23FD7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317F6759" w14:textId="777823FF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71F3490D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Transmit Current @ Rated Power</w:t>
            </w:r>
          </w:p>
        </w:tc>
        <w:tc>
          <w:tcPr>
            <w:tcW w:w="4717" w:type="dxa"/>
            <w:noWrap/>
            <w:hideMark/>
          </w:tcPr>
          <w:p w14:paraId="1D466AE4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VHF (50 W) 15 Amps</w:t>
            </w:r>
          </w:p>
        </w:tc>
        <w:tc>
          <w:tcPr>
            <w:tcW w:w="2388" w:type="dxa"/>
            <w:gridSpan w:val="3"/>
          </w:tcPr>
          <w:p w14:paraId="5709E871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0F368043" w14:textId="32272C2A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7FAC95D9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Receiver Minimum Performance Specs:</w:t>
            </w:r>
          </w:p>
        </w:tc>
        <w:tc>
          <w:tcPr>
            <w:tcW w:w="4717" w:type="dxa"/>
            <w:noWrap/>
            <w:hideMark/>
          </w:tcPr>
          <w:p w14:paraId="1AFDA1D7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 xml:space="preserve">VHF  </w:t>
            </w:r>
          </w:p>
        </w:tc>
        <w:tc>
          <w:tcPr>
            <w:tcW w:w="2388" w:type="dxa"/>
            <w:gridSpan w:val="3"/>
          </w:tcPr>
          <w:p w14:paraId="23D61D6D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64F3AE95" w14:textId="6833B417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38E344EF" w14:textId="543FA119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Frequency Range/Band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</w:t>
            </w:r>
            <w:r w:rsidRPr="00F124FD">
              <w:rPr>
                <w:rFonts w:cstheme="minorHAnsi"/>
                <w:b/>
                <w:bCs/>
                <w:sz w:val="24"/>
                <w:szCs w:val="24"/>
              </w:rPr>
              <w:t>plits</w:t>
            </w:r>
          </w:p>
        </w:tc>
        <w:tc>
          <w:tcPr>
            <w:tcW w:w="4717" w:type="dxa"/>
            <w:noWrap/>
            <w:hideMark/>
          </w:tcPr>
          <w:p w14:paraId="01D86051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 xml:space="preserve">136-174 MHz </w:t>
            </w:r>
          </w:p>
        </w:tc>
        <w:tc>
          <w:tcPr>
            <w:tcW w:w="2388" w:type="dxa"/>
            <w:gridSpan w:val="3"/>
          </w:tcPr>
          <w:p w14:paraId="2290B9DD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5F94F7FA" w14:textId="25370F28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737D7BF2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Channel Spacing</w:t>
            </w:r>
          </w:p>
        </w:tc>
        <w:tc>
          <w:tcPr>
            <w:tcW w:w="4717" w:type="dxa"/>
            <w:noWrap/>
            <w:hideMark/>
          </w:tcPr>
          <w:p w14:paraId="3008E063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30/25/12.5 KHz</w:t>
            </w:r>
          </w:p>
        </w:tc>
        <w:tc>
          <w:tcPr>
            <w:tcW w:w="2388" w:type="dxa"/>
            <w:gridSpan w:val="3"/>
          </w:tcPr>
          <w:p w14:paraId="4C4D2A07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3E6DDA38" w14:textId="475226BC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70FA0CA1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Maximum Frequency Separation</w:t>
            </w:r>
          </w:p>
        </w:tc>
        <w:tc>
          <w:tcPr>
            <w:tcW w:w="4717" w:type="dxa"/>
            <w:noWrap/>
            <w:hideMark/>
          </w:tcPr>
          <w:p w14:paraId="43C38263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Full Band</w:t>
            </w:r>
          </w:p>
        </w:tc>
        <w:tc>
          <w:tcPr>
            <w:tcW w:w="2388" w:type="dxa"/>
            <w:gridSpan w:val="3"/>
          </w:tcPr>
          <w:p w14:paraId="35A4CC1F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1BC49273" w14:textId="0E37823A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17597069" w14:textId="0006C8D9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Audio Output Power at R</w:t>
            </w:r>
            <w:r w:rsidR="000A01EF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F124FD">
              <w:rPr>
                <w:rFonts w:cstheme="minorHAnsi"/>
                <w:b/>
                <w:bCs/>
                <w:sz w:val="24"/>
                <w:szCs w:val="24"/>
              </w:rPr>
              <w:t>ted</w:t>
            </w:r>
          </w:p>
        </w:tc>
        <w:tc>
          <w:tcPr>
            <w:tcW w:w="4717" w:type="dxa"/>
            <w:noWrap/>
            <w:hideMark/>
          </w:tcPr>
          <w:p w14:paraId="5D3A2C5B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500 mW</w:t>
            </w:r>
          </w:p>
        </w:tc>
        <w:tc>
          <w:tcPr>
            <w:tcW w:w="2388" w:type="dxa"/>
            <w:gridSpan w:val="3"/>
          </w:tcPr>
          <w:p w14:paraId="028BB10F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31B01D3D" w14:textId="44143296" w:rsidTr="003F1062">
        <w:trPr>
          <w:trHeight w:val="600"/>
        </w:trPr>
        <w:tc>
          <w:tcPr>
            <w:tcW w:w="3685" w:type="dxa"/>
            <w:tcBorders>
              <w:left w:val="single" w:sz="4" w:space="0" w:color="auto"/>
            </w:tcBorders>
            <w:hideMark/>
          </w:tcPr>
          <w:p w14:paraId="5F331520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Frequency Stability (-30Deg C to +60Deg C, +25Deg C Reference</w:t>
            </w:r>
          </w:p>
        </w:tc>
        <w:tc>
          <w:tcPr>
            <w:tcW w:w="4717" w:type="dxa"/>
            <w:noWrap/>
            <w:hideMark/>
          </w:tcPr>
          <w:p w14:paraId="45BE542D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+/- 00015%</w:t>
            </w:r>
          </w:p>
        </w:tc>
        <w:tc>
          <w:tcPr>
            <w:tcW w:w="2388" w:type="dxa"/>
            <w:gridSpan w:val="3"/>
          </w:tcPr>
          <w:p w14:paraId="55E58FCA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0E5FAB61" w14:textId="62CA2D6B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4C5E6D4C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Analog Sensitivity</w:t>
            </w:r>
          </w:p>
        </w:tc>
        <w:tc>
          <w:tcPr>
            <w:tcW w:w="4717" w:type="dxa"/>
            <w:noWrap/>
            <w:hideMark/>
          </w:tcPr>
          <w:p w14:paraId="5D93E907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0.20uV</w:t>
            </w:r>
          </w:p>
        </w:tc>
        <w:tc>
          <w:tcPr>
            <w:tcW w:w="2388" w:type="dxa"/>
            <w:gridSpan w:val="3"/>
          </w:tcPr>
          <w:p w14:paraId="013D5770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3CFF4B19" w14:textId="295016F1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073E690E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Digital Sensitivity</w:t>
            </w:r>
          </w:p>
        </w:tc>
        <w:tc>
          <w:tcPr>
            <w:tcW w:w="4717" w:type="dxa"/>
            <w:noWrap/>
            <w:hideMark/>
          </w:tcPr>
          <w:p w14:paraId="0050F623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0.20uV</w:t>
            </w:r>
          </w:p>
        </w:tc>
        <w:tc>
          <w:tcPr>
            <w:tcW w:w="2388" w:type="dxa"/>
            <w:gridSpan w:val="3"/>
          </w:tcPr>
          <w:p w14:paraId="008CD853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0415ADF1" w14:textId="36538CAE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28F0C245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Selectivity</w:t>
            </w:r>
          </w:p>
        </w:tc>
        <w:tc>
          <w:tcPr>
            <w:tcW w:w="4717" w:type="dxa"/>
            <w:noWrap/>
            <w:hideMark/>
          </w:tcPr>
          <w:p w14:paraId="37599E2B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25 KHz 80dB; 12.5 KHz 70dB</w:t>
            </w:r>
          </w:p>
        </w:tc>
        <w:tc>
          <w:tcPr>
            <w:tcW w:w="2388" w:type="dxa"/>
            <w:gridSpan w:val="3"/>
          </w:tcPr>
          <w:p w14:paraId="3E48CAF6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0E7D2961" w14:textId="099F219A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4EBEB39E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Intermediation</w:t>
            </w:r>
          </w:p>
        </w:tc>
        <w:tc>
          <w:tcPr>
            <w:tcW w:w="4717" w:type="dxa"/>
            <w:noWrap/>
            <w:hideMark/>
          </w:tcPr>
          <w:p w14:paraId="04FD8FAA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-78dB</w:t>
            </w:r>
          </w:p>
        </w:tc>
        <w:tc>
          <w:tcPr>
            <w:tcW w:w="2388" w:type="dxa"/>
            <w:gridSpan w:val="3"/>
          </w:tcPr>
          <w:p w14:paraId="38D8C971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539FF595" w14:textId="6FB4CC3D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72A91FB0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Spurious Rejection</w:t>
            </w:r>
          </w:p>
        </w:tc>
        <w:tc>
          <w:tcPr>
            <w:tcW w:w="4717" w:type="dxa"/>
            <w:noWrap/>
            <w:hideMark/>
          </w:tcPr>
          <w:p w14:paraId="5D319EA5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-80dB</w:t>
            </w:r>
          </w:p>
        </w:tc>
        <w:tc>
          <w:tcPr>
            <w:tcW w:w="2388" w:type="dxa"/>
            <w:gridSpan w:val="3"/>
          </w:tcPr>
          <w:p w14:paraId="060C3859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7A97D126" w14:textId="1DDA6F4C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3A9D4692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FM Hum and Noise</w:t>
            </w:r>
          </w:p>
        </w:tc>
        <w:tc>
          <w:tcPr>
            <w:tcW w:w="4717" w:type="dxa"/>
            <w:noWrap/>
            <w:hideMark/>
          </w:tcPr>
          <w:p w14:paraId="3EA92907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25 KHz -50dB; 12.5 KHz -44 dB</w:t>
            </w:r>
          </w:p>
        </w:tc>
        <w:tc>
          <w:tcPr>
            <w:tcW w:w="2388" w:type="dxa"/>
            <w:gridSpan w:val="3"/>
          </w:tcPr>
          <w:p w14:paraId="5FEC7C97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09C5C400" w14:textId="0E749FB9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2D3F9651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Audio Distortion</w:t>
            </w:r>
          </w:p>
        </w:tc>
        <w:tc>
          <w:tcPr>
            <w:tcW w:w="4717" w:type="dxa"/>
            <w:noWrap/>
            <w:hideMark/>
          </w:tcPr>
          <w:p w14:paraId="7B767079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3%</w:t>
            </w:r>
          </w:p>
        </w:tc>
        <w:tc>
          <w:tcPr>
            <w:tcW w:w="2388" w:type="dxa"/>
            <w:gridSpan w:val="3"/>
          </w:tcPr>
          <w:p w14:paraId="2B204125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243AFBDD" w14:textId="0F6FE01E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02FCF92A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Transmitter-Minimum Performance Specs</w:t>
            </w:r>
          </w:p>
        </w:tc>
        <w:tc>
          <w:tcPr>
            <w:tcW w:w="4717" w:type="dxa"/>
            <w:noWrap/>
            <w:hideMark/>
          </w:tcPr>
          <w:p w14:paraId="3DEF6679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VHF</w:t>
            </w:r>
          </w:p>
        </w:tc>
        <w:tc>
          <w:tcPr>
            <w:tcW w:w="2388" w:type="dxa"/>
            <w:gridSpan w:val="3"/>
          </w:tcPr>
          <w:p w14:paraId="51F590CD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271E834E" w14:textId="54C0E143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05DD17D8" w14:textId="62B9B6F2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Frequency Range/Band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</w:t>
            </w:r>
            <w:r w:rsidRPr="00F124FD">
              <w:rPr>
                <w:rFonts w:cstheme="minorHAnsi"/>
                <w:b/>
                <w:bCs/>
                <w:sz w:val="24"/>
                <w:szCs w:val="24"/>
              </w:rPr>
              <w:t>plits</w:t>
            </w:r>
          </w:p>
        </w:tc>
        <w:tc>
          <w:tcPr>
            <w:tcW w:w="4717" w:type="dxa"/>
            <w:noWrap/>
            <w:hideMark/>
          </w:tcPr>
          <w:p w14:paraId="0DE862AF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136-174 MHz</w:t>
            </w:r>
          </w:p>
        </w:tc>
        <w:tc>
          <w:tcPr>
            <w:tcW w:w="2388" w:type="dxa"/>
            <w:gridSpan w:val="3"/>
          </w:tcPr>
          <w:p w14:paraId="068EAA8C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3A175CB7" w14:textId="2A318338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58A015DC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Channel Spacing</w:t>
            </w:r>
          </w:p>
        </w:tc>
        <w:tc>
          <w:tcPr>
            <w:tcW w:w="4717" w:type="dxa"/>
            <w:noWrap/>
            <w:hideMark/>
          </w:tcPr>
          <w:p w14:paraId="1073808D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30/25/12.5 KHz</w:t>
            </w:r>
          </w:p>
        </w:tc>
        <w:tc>
          <w:tcPr>
            <w:tcW w:w="2388" w:type="dxa"/>
            <w:gridSpan w:val="3"/>
          </w:tcPr>
          <w:p w14:paraId="4883C453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473C40CB" w14:textId="020F7AD9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2D4CBADD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Maximum Frequency Separation</w:t>
            </w:r>
          </w:p>
        </w:tc>
        <w:tc>
          <w:tcPr>
            <w:tcW w:w="4717" w:type="dxa"/>
            <w:noWrap/>
            <w:hideMark/>
          </w:tcPr>
          <w:p w14:paraId="73A976B7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Full Band</w:t>
            </w:r>
          </w:p>
        </w:tc>
        <w:tc>
          <w:tcPr>
            <w:tcW w:w="2388" w:type="dxa"/>
            <w:gridSpan w:val="3"/>
          </w:tcPr>
          <w:p w14:paraId="26E89061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51DD784B" w14:textId="42F79FE6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6D8E7E64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Rated RF Output Power</w:t>
            </w:r>
          </w:p>
        </w:tc>
        <w:tc>
          <w:tcPr>
            <w:tcW w:w="4717" w:type="dxa"/>
            <w:noWrap/>
            <w:hideMark/>
          </w:tcPr>
          <w:p w14:paraId="0E93A995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25-100 Watts</w:t>
            </w:r>
          </w:p>
        </w:tc>
        <w:tc>
          <w:tcPr>
            <w:tcW w:w="2388" w:type="dxa"/>
            <w:gridSpan w:val="3"/>
          </w:tcPr>
          <w:p w14:paraId="30BE100D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369B5243" w14:textId="067A7FDE" w:rsidTr="003F1062">
        <w:trPr>
          <w:trHeight w:val="600"/>
        </w:trPr>
        <w:tc>
          <w:tcPr>
            <w:tcW w:w="3685" w:type="dxa"/>
            <w:tcBorders>
              <w:left w:val="single" w:sz="4" w:space="0" w:color="auto"/>
            </w:tcBorders>
            <w:hideMark/>
          </w:tcPr>
          <w:p w14:paraId="385CB3CE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Frequency Stability (-30Deg C to +60Deg C, +25Deg C Reference</w:t>
            </w:r>
          </w:p>
        </w:tc>
        <w:tc>
          <w:tcPr>
            <w:tcW w:w="4717" w:type="dxa"/>
            <w:noWrap/>
            <w:hideMark/>
          </w:tcPr>
          <w:p w14:paraId="576AC884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+/- 00005%</w:t>
            </w:r>
          </w:p>
        </w:tc>
        <w:tc>
          <w:tcPr>
            <w:tcW w:w="2388" w:type="dxa"/>
            <w:gridSpan w:val="3"/>
          </w:tcPr>
          <w:p w14:paraId="24882385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03DCABA2" w14:textId="15C75DD1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7FAF93CD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 xml:space="preserve">Modulation Limiting </w:t>
            </w:r>
          </w:p>
        </w:tc>
        <w:tc>
          <w:tcPr>
            <w:tcW w:w="4717" w:type="dxa"/>
            <w:noWrap/>
            <w:hideMark/>
          </w:tcPr>
          <w:p w14:paraId="0DC619E9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+/- 5/2.5 KHz</w:t>
            </w:r>
          </w:p>
        </w:tc>
        <w:tc>
          <w:tcPr>
            <w:tcW w:w="2388" w:type="dxa"/>
            <w:gridSpan w:val="3"/>
          </w:tcPr>
          <w:p w14:paraId="1C66CCC1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222A9EEE" w14:textId="2EC9D9F0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43B10ADE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Emissions (Conducted and Radiated)</w:t>
            </w:r>
          </w:p>
        </w:tc>
        <w:tc>
          <w:tcPr>
            <w:tcW w:w="4717" w:type="dxa"/>
            <w:noWrap/>
            <w:hideMark/>
          </w:tcPr>
          <w:p w14:paraId="79FAB625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-75dB</w:t>
            </w:r>
          </w:p>
        </w:tc>
        <w:tc>
          <w:tcPr>
            <w:tcW w:w="2388" w:type="dxa"/>
            <w:gridSpan w:val="3"/>
          </w:tcPr>
          <w:p w14:paraId="10BA8D27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0CE9A6D5" w14:textId="5FC5D726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581FE31B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Audio Response</w:t>
            </w:r>
          </w:p>
        </w:tc>
        <w:tc>
          <w:tcPr>
            <w:tcW w:w="4717" w:type="dxa"/>
            <w:noWrap/>
            <w:hideMark/>
          </w:tcPr>
          <w:p w14:paraId="5A586A0F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+1, -3dB</w:t>
            </w:r>
          </w:p>
        </w:tc>
        <w:tc>
          <w:tcPr>
            <w:tcW w:w="2388" w:type="dxa"/>
            <w:gridSpan w:val="3"/>
          </w:tcPr>
          <w:p w14:paraId="43DBBFAB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09F5535A" w14:textId="6054EE6B" w:rsidTr="003F1062">
        <w:trPr>
          <w:trHeight w:val="300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7AB1E3A3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FM Hum and Noise</w:t>
            </w:r>
          </w:p>
        </w:tc>
        <w:tc>
          <w:tcPr>
            <w:tcW w:w="4717" w:type="dxa"/>
            <w:noWrap/>
            <w:hideMark/>
          </w:tcPr>
          <w:p w14:paraId="1576CF24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-45 dB</w:t>
            </w:r>
          </w:p>
        </w:tc>
        <w:tc>
          <w:tcPr>
            <w:tcW w:w="2388" w:type="dxa"/>
            <w:gridSpan w:val="3"/>
          </w:tcPr>
          <w:p w14:paraId="354B5CE8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877" w:rsidRPr="00F124FD" w14:paraId="70093A75" w14:textId="2738088C" w:rsidTr="003F1062">
        <w:trPr>
          <w:trHeight w:val="315"/>
        </w:trPr>
        <w:tc>
          <w:tcPr>
            <w:tcW w:w="3685" w:type="dxa"/>
            <w:tcBorders>
              <w:left w:val="single" w:sz="4" w:space="0" w:color="auto"/>
            </w:tcBorders>
            <w:noWrap/>
            <w:hideMark/>
          </w:tcPr>
          <w:p w14:paraId="238B4ACF" w14:textId="77777777" w:rsidR="00A76877" w:rsidRPr="00F124FD" w:rsidRDefault="00A768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124FD">
              <w:rPr>
                <w:rFonts w:cstheme="minorHAnsi"/>
                <w:b/>
                <w:bCs/>
                <w:sz w:val="24"/>
                <w:szCs w:val="24"/>
              </w:rPr>
              <w:t>Audio Distortion</w:t>
            </w:r>
          </w:p>
        </w:tc>
        <w:tc>
          <w:tcPr>
            <w:tcW w:w="4717" w:type="dxa"/>
            <w:noWrap/>
            <w:hideMark/>
          </w:tcPr>
          <w:p w14:paraId="31C1B9FF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  <w:r w:rsidRPr="007C77C7">
              <w:rPr>
                <w:rFonts w:cstheme="minorHAnsi"/>
                <w:sz w:val="24"/>
                <w:szCs w:val="24"/>
              </w:rPr>
              <w:t>1.25%</w:t>
            </w:r>
          </w:p>
        </w:tc>
        <w:tc>
          <w:tcPr>
            <w:tcW w:w="2388" w:type="dxa"/>
            <w:gridSpan w:val="3"/>
          </w:tcPr>
          <w:p w14:paraId="2BACBBA7" w14:textId="77777777" w:rsidR="00A76877" w:rsidRPr="007C77C7" w:rsidRDefault="00A768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B723F6E" w14:textId="3CAC6CA6" w:rsidR="00951A00" w:rsidRDefault="00951A00" w:rsidP="00AB1084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5657"/>
        <w:gridCol w:w="1080"/>
        <w:gridCol w:w="2245"/>
      </w:tblGrid>
      <w:tr w:rsidR="000A01EF" w:rsidRPr="009504BD" w14:paraId="6745B2EC" w14:textId="07B268AF" w:rsidTr="00863878">
        <w:trPr>
          <w:trHeight w:val="390"/>
        </w:trPr>
        <w:tc>
          <w:tcPr>
            <w:tcW w:w="8545" w:type="dxa"/>
            <w:gridSpan w:val="3"/>
            <w:tcBorders>
              <w:right w:val="nil"/>
            </w:tcBorders>
            <w:shd w:val="clear" w:color="auto" w:fill="E2EFD9" w:themeFill="accent6" w:themeFillTint="33"/>
            <w:noWrap/>
            <w:hideMark/>
          </w:tcPr>
          <w:p w14:paraId="37AC47A7" w14:textId="77777777" w:rsidR="000A01EF" w:rsidRPr="009504BD" w:rsidRDefault="000A01EF" w:rsidP="004126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04BD">
              <w:rPr>
                <w:rFonts w:cstheme="minorHAnsi"/>
                <w:b/>
                <w:bCs/>
                <w:sz w:val="24"/>
                <w:szCs w:val="24"/>
              </w:rPr>
              <w:t>Accessories</w:t>
            </w:r>
          </w:p>
        </w:tc>
        <w:tc>
          <w:tcPr>
            <w:tcW w:w="2245" w:type="dxa"/>
            <w:tcBorders>
              <w:left w:val="nil"/>
            </w:tcBorders>
            <w:shd w:val="clear" w:color="auto" w:fill="E2EFD9" w:themeFill="accent6" w:themeFillTint="33"/>
          </w:tcPr>
          <w:p w14:paraId="6266C95B" w14:textId="77777777" w:rsidR="000A01EF" w:rsidRPr="009504BD" w:rsidRDefault="000A01EF" w:rsidP="004126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01EF" w:rsidRPr="009504BD" w14:paraId="69A9EB5C" w14:textId="1C47825A" w:rsidTr="00863878">
        <w:trPr>
          <w:trHeight w:val="315"/>
        </w:trPr>
        <w:tc>
          <w:tcPr>
            <w:tcW w:w="1808" w:type="dxa"/>
            <w:shd w:val="clear" w:color="auto" w:fill="FFF2CC" w:themeFill="accent4" w:themeFillTint="33"/>
            <w:noWrap/>
            <w:hideMark/>
          </w:tcPr>
          <w:p w14:paraId="77EDFF18" w14:textId="77777777" w:rsidR="000A01EF" w:rsidRPr="009504BD" w:rsidRDefault="000A01EF" w:rsidP="004126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504BD">
              <w:rPr>
                <w:rFonts w:cstheme="minorHAnsi"/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5657" w:type="dxa"/>
            <w:shd w:val="clear" w:color="auto" w:fill="FFF2CC" w:themeFill="accent4" w:themeFillTint="33"/>
            <w:noWrap/>
            <w:hideMark/>
          </w:tcPr>
          <w:p w14:paraId="00602320" w14:textId="77777777" w:rsidR="000A01EF" w:rsidRPr="009504BD" w:rsidRDefault="000A01EF" w:rsidP="0041264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04BD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03302938" w14:textId="7155981C" w:rsidR="000A01EF" w:rsidRPr="009504BD" w:rsidRDefault="000A01EF" w:rsidP="000A01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504BD">
              <w:rPr>
                <w:rFonts w:cstheme="minorHAnsi"/>
                <w:b/>
                <w:bCs/>
                <w:sz w:val="24"/>
                <w:szCs w:val="24"/>
              </w:rPr>
              <w:t>Q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TY Needed</w:t>
            </w:r>
          </w:p>
        </w:tc>
        <w:tc>
          <w:tcPr>
            <w:tcW w:w="224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E606572" w14:textId="7CC18431" w:rsidR="000A01EF" w:rsidRPr="009504BD" w:rsidRDefault="000A01EF" w:rsidP="000A01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Can Meet Y/N</w:t>
            </w:r>
          </w:p>
        </w:tc>
      </w:tr>
      <w:tr w:rsidR="000A01EF" w:rsidRPr="009504BD" w14:paraId="34B767EE" w14:textId="5320D3CE" w:rsidTr="000A01EF">
        <w:trPr>
          <w:trHeight w:val="615"/>
        </w:trPr>
        <w:tc>
          <w:tcPr>
            <w:tcW w:w="1808" w:type="dxa"/>
            <w:noWrap/>
            <w:hideMark/>
          </w:tcPr>
          <w:p w14:paraId="36B72278" w14:textId="77777777" w:rsidR="000A01EF" w:rsidRPr="000A01EF" w:rsidRDefault="000A01EF" w:rsidP="004126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01EF">
              <w:rPr>
                <w:rFonts w:cstheme="minorHAnsi"/>
                <w:b/>
                <w:bCs/>
                <w:sz w:val="24"/>
                <w:szCs w:val="24"/>
              </w:rPr>
              <w:t>MWV1360S</w:t>
            </w:r>
          </w:p>
        </w:tc>
        <w:tc>
          <w:tcPr>
            <w:tcW w:w="5657" w:type="dxa"/>
            <w:hideMark/>
          </w:tcPr>
          <w:p w14:paraId="2AB22B63" w14:textId="77777777" w:rsidR="000A01EF" w:rsidRPr="009504BD" w:rsidRDefault="000A01EF" w:rsidP="0041264D">
            <w:pPr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VHF Mobile Antenna, 136-174 MHz, Compatible with NMO mount; unity gain, spring mounted base; KNG-M</w:t>
            </w:r>
          </w:p>
        </w:tc>
        <w:tc>
          <w:tcPr>
            <w:tcW w:w="1080" w:type="dxa"/>
            <w:noWrap/>
            <w:hideMark/>
          </w:tcPr>
          <w:p w14:paraId="10374DFC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245" w:type="dxa"/>
          </w:tcPr>
          <w:p w14:paraId="2D6A5663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1EF" w:rsidRPr="009504BD" w14:paraId="4011319E" w14:textId="6380D18E" w:rsidTr="000A01EF">
        <w:trPr>
          <w:trHeight w:val="900"/>
        </w:trPr>
        <w:tc>
          <w:tcPr>
            <w:tcW w:w="1808" w:type="dxa"/>
            <w:noWrap/>
            <w:hideMark/>
          </w:tcPr>
          <w:p w14:paraId="7B1AF5D1" w14:textId="77777777" w:rsidR="000A01EF" w:rsidRPr="000A01EF" w:rsidRDefault="000A01EF" w:rsidP="004126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01EF">
              <w:rPr>
                <w:rFonts w:cstheme="minorHAnsi"/>
                <w:b/>
                <w:bCs/>
                <w:sz w:val="24"/>
                <w:szCs w:val="24"/>
              </w:rPr>
              <w:t>NMO-NTYPE</w:t>
            </w:r>
          </w:p>
        </w:tc>
        <w:tc>
          <w:tcPr>
            <w:tcW w:w="5657" w:type="dxa"/>
            <w:hideMark/>
          </w:tcPr>
          <w:p w14:paraId="54554364" w14:textId="77777777" w:rsidR="000A01EF" w:rsidRPr="009504BD" w:rsidRDefault="000A01EF" w:rsidP="0041264D">
            <w:pPr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Fixed Antenna Mount NMO w/ Type N Connector Mobile KNG Radio Antenna mount, compatible with any NMO antenna mount with 17 ft. cable and Type-N male connector.</w:t>
            </w:r>
          </w:p>
        </w:tc>
        <w:tc>
          <w:tcPr>
            <w:tcW w:w="1080" w:type="dxa"/>
            <w:noWrap/>
            <w:hideMark/>
          </w:tcPr>
          <w:p w14:paraId="660745E4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245" w:type="dxa"/>
          </w:tcPr>
          <w:p w14:paraId="5FF41A43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1EF" w:rsidRPr="009504BD" w14:paraId="093E58C2" w14:textId="32A068D6" w:rsidTr="000A01EF">
        <w:trPr>
          <w:trHeight w:val="885"/>
        </w:trPr>
        <w:tc>
          <w:tcPr>
            <w:tcW w:w="1808" w:type="dxa"/>
            <w:noWrap/>
            <w:hideMark/>
          </w:tcPr>
          <w:p w14:paraId="6EA9428D" w14:textId="77777777" w:rsidR="000A01EF" w:rsidRPr="000A01EF" w:rsidRDefault="000A01EF" w:rsidP="004126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01EF">
              <w:rPr>
                <w:rFonts w:cstheme="minorHAnsi"/>
                <w:b/>
                <w:bCs/>
                <w:sz w:val="24"/>
                <w:szCs w:val="24"/>
              </w:rPr>
              <w:t>KAA0290S</w:t>
            </w:r>
          </w:p>
        </w:tc>
        <w:tc>
          <w:tcPr>
            <w:tcW w:w="5657" w:type="dxa"/>
            <w:hideMark/>
          </w:tcPr>
          <w:p w14:paraId="6E6B185A" w14:textId="77777777" w:rsidR="000A01EF" w:rsidRPr="009504BD" w:rsidRDefault="000A01EF" w:rsidP="0041264D">
            <w:pPr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Handheld Programming Smart Microphone KNG-M BK Radio Handheld programmable smart microphone, straight connector, KNG Series Mobiles</w:t>
            </w:r>
          </w:p>
        </w:tc>
        <w:tc>
          <w:tcPr>
            <w:tcW w:w="1080" w:type="dxa"/>
            <w:noWrap/>
            <w:hideMark/>
          </w:tcPr>
          <w:p w14:paraId="1D921BB9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245" w:type="dxa"/>
          </w:tcPr>
          <w:p w14:paraId="4EE2B42E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1EF" w:rsidRPr="009504BD" w14:paraId="774CDCBC" w14:textId="6A272BC4" w:rsidTr="000A01EF">
        <w:trPr>
          <w:trHeight w:val="585"/>
        </w:trPr>
        <w:tc>
          <w:tcPr>
            <w:tcW w:w="1808" w:type="dxa"/>
            <w:noWrap/>
            <w:hideMark/>
          </w:tcPr>
          <w:p w14:paraId="37DFC812" w14:textId="77777777" w:rsidR="000A01EF" w:rsidRPr="000A01EF" w:rsidRDefault="000A01EF" w:rsidP="004126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01EF">
              <w:rPr>
                <w:rFonts w:cstheme="minorHAnsi"/>
                <w:b/>
                <w:bCs/>
                <w:sz w:val="24"/>
                <w:szCs w:val="24"/>
              </w:rPr>
              <w:t>LAA0290X</w:t>
            </w:r>
          </w:p>
        </w:tc>
        <w:tc>
          <w:tcPr>
            <w:tcW w:w="5657" w:type="dxa"/>
            <w:hideMark/>
          </w:tcPr>
          <w:p w14:paraId="1F0B19DB" w14:textId="77777777" w:rsidR="000A01EF" w:rsidRPr="009504BD" w:rsidRDefault="000A01EF" w:rsidP="0041264D">
            <w:pPr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 xml:space="preserve">Handheld Programming Smart Microphone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9504BD">
              <w:rPr>
                <w:rFonts w:cstheme="minorHAnsi"/>
                <w:sz w:val="24"/>
                <w:szCs w:val="24"/>
              </w:rPr>
              <w:t>or BK DMH and GMH Series Mobiles; Second Generation, 16 Keys</w:t>
            </w:r>
          </w:p>
        </w:tc>
        <w:tc>
          <w:tcPr>
            <w:tcW w:w="1080" w:type="dxa"/>
            <w:noWrap/>
            <w:hideMark/>
          </w:tcPr>
          <w:p w14:paraId="07EBACB2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45" w:type="dxa"/>
          </w:tcPr>
          <w:p w14:paraId="7BC6DCFC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1EF" w:rsidRPr="009504BD" w14:paraId="7ABA12D2" w14:textId="1718A723" w:rsidTr="000A01EF">
        <w:trPr>
          <w:trHeight w:val="885"/>
        </w:trPr>
        <w:tc>
          <w:tcPr>
            <w:tcW w:w="1808" w:type="dxa"/>
            <w:noWrap/>
            <w:hideMark/>
          </w:tcPr>
          <w:p w14:paraId="5ABD21B7" w14:textId="77777777" w:rsidR="000A01EF" w:rsidRPr="000A01EF" w:rsidRDefault="000A01EF" w:rsidP="004126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01EF">
              <w:rPr>
                <w:rFonts w:cstheme="minorHAnsi"/>
                <w:b/>
                <w:bCs/>
                <w:sz w:val="24"/>
                <w:szCs w:val="24"/>
              </w:rPr>
              <w:t>LAA0170</w:t>
            </w:r>
          </w:p>
        </w:tc>
        <w:tc>
          <w:tcPr>
            <w:tcW w:w="5657" w:type="dxa"/>
            <w:hideMark/>
          </w:tcPr>
          <w:p w14:paraId="24C3486B" w14:textId="77777777" w:rsidR="000A01EF" w:rsidRPr="009504BD" w:rsidRDefault="000A01EF" w:rsidP="0041264D">
            <w:pPr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Battery Pack,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04BD">
              <w:rPr>
                <w:rFonts w:cstheme="minorHAnsi"/>
                <w:sz w:val="24"/>
                <w:szCs w:val="24"/>
              </w:rPr>
              <w:t>Li-Ion, 2200mAh, Large BK Battery pack, large, black 2200 mAH Li-Ion.  Compatible with DPH and GPH Series Portable radios; rechargeable.</w:t>
            </w:r>
          </w:p>
        </w:tc>
        <w:tc>
          <w:tcPr>
            <w:tcW w:w="1080" w:type="dxa"/>
            <w:noWrap/>
            <w:hideMark/>
          </w:tcPr>
          <w:p w14:paraId="72BDE9AA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245" w:type="dxa"/>
          </w:tcPr>
          <w:p w14:paraId="27D0994C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1EF" w:rsidRPr="009504BD" w14:paraId="5E46FFD9" w14:textId="0895B934" w:rsidTr="000A01EF">
        <w:trPr>
          <w:trHeight w:val="615"/>
        </w:trPr>
        <w:tc>
          <w:tcPr>
            <w:tcW w:w="1808" w:type="dxa"/>
            <w:noWrap/>
            <w:hideMark/>
          </w:tcPr>
          <w:p w14:paraId="4F70EA10" w14:textId="77777777" w:rsidR="000A01EF" w:rsidRPr="000A01EF" w:rsidRDefault="000A01EF" w:rsidP="004126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01EF">
              <w:rPr>
                <w:rFonts w:cstheme="minorHAnsi"/>
                <w:b/>
                <w:bCs/>
                <w:sz w:val="24"/>
                <w:szCs w:val="24"/>
              </w:rPr>
              <w:t>LAA0813</w:t>
            </w:r>
          </w:p>
        </w:tc>
        <w:tc>
          <w:tcPr>
            <w:tcW w:w="5657" w:type="dxa"/>
            <w:hideMark/>
          </w:tcPr>
          <w:p w14:paraId="39D057AE" w14:textId="77777777" w:rsidR="000A01EF" w:rsidRPr="009504BD" w:rsidRDefault="000A01EF" w:rsidP="0041264D">
            <w:pPr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Ant, VHF, Whip, 148-174, Std-Trd, 17" 17" threaded VHF 148-174 MHz Whip Antenna for BK GPH model handheld radios</w:t>
            </w:r>
          </w:p>
        </w:tc>
        <w:tc>
          <w:tcPr>
            <w:tcW w:w="1080" w:type="dxa"/>
            <w:noWrap/>
            <w:hideMark/>
          </w:tcPr>
          <w:p w14:paraId="08C08F52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45" w:type="dxa"/>
          </w:tcPr>
          <w:p w14:paraId="72EEA307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A01EF" w:rsidRPr="009504BD" w14:paraId="1018CEF8" w14:textId="47F14B03" w:rsidTr="000A01EF">
        <w:trPr>
          <w:trHeight w:val="615"/>
        </w:trPr>
        <w:tc>
          <w:tcPr>
            <w:tcW w:w="1808" w:type="dxa"/>
            <w:noWrap/>
            <w:hideMark/>
          </w:tcPr>
          <w:p w14:paraId="64D21779" w14:textId="77777777" w:rsidR="000A01EF" w:rsidRPr="000A01EF" w:rsidRDefault="000A01EF" w:rsidP="004126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01EF">
              <w:rPr>
                <w:rFonts w:cstheme="minorHAnsi"/>
                <w:b/>
                <w:bCs/>
                <w:sz w:val="24"/>
                <w:szCs w:val="24"/>
              </w:rPr>
              <w:t>LAA0139</w:t>
            </w:r>
          </w:p>
        </w:tc>
        <w:tc>
          <w:tcPr>
            <w:tcW w:w="5657" w:type="dxa"/>
            <w:hideMark/>
          </w:tcPr>
          <w:p w14:paraId="6ADB6F85" w14:textId="77777777" w:rsidR="000A01EF" w:rsidRPr="009504BD" w:rsidRDefault="000A01EF" w:rsidP="0041264D">
            <w:pPr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Battery,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04BD">
              <w:rPr>
                <w:rFonts w:cstheme="minorHAnsi"/>
                <w:sz w:val="24"/>
                <w:szCs w:val="24"/>
              </w:rPr>
              <w:t>Large,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04BD">
              <w:rPr>
                <w:rFonts w:cstheme="minorHAnsi"/>
                <w:sz w:val="24"/>
                <w:szCs w:val="24"/>
              </w:rPr>
              <w:t>AA-holder,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504BD">
              <w:rPr>
                <w:rFonts w:cstheme="minorHAnsi"/>
                <w:sz w:val="24"/>
                <w:szCs w:val="24"/>
              </w:rPr>
              <w:t>clamshell, Orange AA battery Clamshell for BK Legacy series DPH and GPH portable radios</w:t>
            </w:r>
          </w:p>
        </w:tc>
        <w:tc>
          <w:tcPr>
            <w:tcW w:w="1080" w:type="dxa"/>
            <w:noWrap/>
            <w:hideMark/>
          </w:tcPr>
          <w:p w14:paraId="7F52371A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245" w:type="dxa"/>
          </w:tcPr>
          <w:p w14:paraId="0ED79B84" w14:textId="77777777" w:rsidR="000A01EF" w:rsidRPr="009504BD" w:rsidRDefault="000A01EF" w:rsidP="00D669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0DE7" w:rsidRPr="009504BD" w14:paraId="1F5CAA4D" w14:textId="77777777" w:rsidTr="000A01EF">
        <w:trPr>
          <w:trHeight w:val="615"/>
        </w:trPr>
        <w:tc>
          <w:tcPr>
            <w:tcW w:w="1808" w:type="dxa"/>
            <w:noWrap/>
          </w:tcPr>
          <w:p w14:paraId="6A6AA3D3" w14:textId="5AE9809C" w:rsidR="00880DE7" w:rsidRPr="00880DE7" w:rsidRDefault="00880DE7" w:rsidP="004126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80DE7">
              <w:rPr>
                <w:rFonts w:cstheme="minorHAnsi"/>
                <w:b/>
                <w:bCs/>
                <w:sz w:val="24"/>
                <w:szCs w:val="24"/>
              </w:rPr>
              <w:t>LAA0325P</w:t>
            </w:r>
          </w:p>
        </w:tc>
        <w:tc>
          <w:tcPr>
            <w:tcW w:w="5657" w:type="dxa"/>
          </w:tcPr>
          <w:p w14:paraId="181BC78C" w14:textId="148CF010" w:rsidR="00880DE7" w:rsidRPr="009504BD" w:rsidRDefault="00880DE7" w:rsidP="0041264D">
            <w:pPr>
              <w:rPr>
                <w:rFonts w:cstheme="minorHAnsi"/>
                <w:sz w:val="24"/>
                <w:szCs w:val="24"/>
              </w:rPr>
            </w:pPr>
            <w:r w:rsidRPr="009504BD">
              <w:rPr>
                <w:rFonts w:cstheme="minorHAnsi"/>
                <w:sz w:val="24"/>
                <w:szCs w:val="24"/>
              </w:rPr>
              <w:t>Dual Rate Desktop Charger Rapid Rate charger compatible with Li-Ion batteries; includes AC Wall Plug; for BK Legacy series handheld radio batteries</w:t>
            </w:r>
          </w:p>
        </w:tc>
        <w:tc>
          <w:tcPr>
            <w:tcW w:w="1080" w:type="dxa"/>
            <w:noWrap/>
          </w:tcPr>
          <w:p w14:paraId="7CC2FCEE" w14:textId="6ED19A27" w:rsidR="00880DE7" w:rsidRPr="009504BD" w:rsidRDefault="00880DE7" w:rsidP="00D669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45" w:type="dxa"/>
          </w:tcPr>
          <w:p w14:paraId="5F6E23B4" w14:textId="77777777" w:rsidR="00880DE7" w:rsidRPr="009504BD" w:rsidRDefault="00880DE7" w:rsidP="00D6695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2F8E90B" w14:textId="7F40336A" w:rsidR="00640900" w:rsidRPr="00033299" w:rsidRDefault="00640900" w:rsidP="003F1062">
      <w:pPr>
        <w:rPr>
          <w:rFonts w:cstheme="minorHAnsi"/>
          <w:b/>
          <w:bCs/>
          <w:sz w:val="24"/>
          <w:szCs w:val="24"/>
        </w:rPr>
      </w:pPr>
    </w:p>
    <w:sectPr w:rsidR="00640900" w:rsidRPr="00033299" w:rsidSect="00D71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9D4"/>
    <w:multiLevelType w:val="hybridMultilevel"/>
    <w:tmpl w:val="62C46E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449F"/>
    <w:multiLevelType w:val="multilevel"/>
    <w:tmpl w:val="2EB8C3DA"/>
    <w:lvl w:ilvl="0">
      <w:start w:val="2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3150"/>
        </w:tabs>
        <w:ind w:left="286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135F54"/>
    <w:multiLevelType w:val="hybridMultilevel"/>
    <w:tmpl w:val="A6DE2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7111"/>
    <w:multiLevelType w:val="hybridMultilevel"/>
    <w:tmpl w:val="DD3AAC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0A3F"/>
    <w:multiLevelType w:val="hybridMultilevel"/>
    <w:tmpl w:val="7B1C86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B02"/>
    <w:multiLevelType w:val="hybridMultilevel"/>
    <w:tmpl w:val="9252D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062"/>
    <w:multiLevelType w:val="hybridMultilevel"/>
    <w:tmpl w:val="4EE07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7716"/>
    <w:multiLevelType w:val="hybridMultilevel"/>
    <w:tmpl w:val="D16E22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7287C"/>
    <w:multiLevelType w:val="hybridMultilevel"/>
    <w:tmpl w:val="A0323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F7019"/>
    <w:multiLevelType w:val="hybridMultilevel"/>
    <w:tmpl w:val="740A0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C7A85"/>
    <w:multiLevelType w:val="hybridMultilevel"/>
    <w:tmpl w:val="4042A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6189"/>
    <w:multiLevelType w:val="hybridMultilevel"/>
    <w:tmpl w:val="1458E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E560D"/>
    <w:multiLevelType w:val="hybridMultilevel"/>
    <w:tmpl w:val="0BEE0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20E7C"/>
    <w:multiLevelType w:val="hybridMultilevel"/>
    <w:tmpl w:val="BDA4ED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36646"/>
    <w:multiLevelType w:val="hybridMultilevel"/>
    <w:tmpl w:val="AA1CA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F0333"/>
    <w:multiLevelType w:val="hybridMultilevel"/>
    <w:tmpl w:val="E8D267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92BF4"/>
    <w:multiLevelType w:val="hybridMultilevel"/>
    <w:tmpl w:val="F13E7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31134"/>
    <w:multiLevelType w:val="hybridMultilevel"/>
    <w:tmpl w:val="35EAB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5718"/>
    <w:multiLevelType w:val="hybridMultilevel"/>
    <w:tmpl w:val="FE803C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D7278"/>
    <w:multiLevelType w:val="hybridMultilevel"/>
    <w:tmpl w:val="5242F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D33DE"/>
    <w:multiLevelType w:val="hybridMultilevel"/>
    <w:tmpl w:val="0BEA4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23DC2"/>
    <w:multiLevelType w:val="hybridMultilevel"/>
    <w:tmpl w:val="DFF2C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F07B0"/>
    <w:multiLevelType w:val="hybridMultilevel"/>
    <w:tmpl w:val="264CB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5"/>
  </w:num>
  <w:num w:numId="16">
    <w:abstractNumId w:val="19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6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E4"/>
    <w:rsid w:val="00033299"/>
    <w:rsid w:val="000432A4"/>
    <w:rsid w:val="000A01EF"/>
    <w:rsid w:val="000A0C90"/>
    <w:rsid w:val="001140FA"/>
    <w:rsid w:val="001C34E4"/>
    <w:rsid w:val="001E6993"/>
    <w:rsid w:val="00205998"/>
    <w:rsid w:val="002127E2"/>
    <w:rsid w:val="0024676C"/>
    <w:rsid w:val="002C2C3C"/>
    <w:rsid w:val="003B302E"/>
    <w:rsid w:val="003C2ADF"/>
    <w:rsid w:val="003F1062"/>
    <w:rsid w:val="00410E71"/>
    <w:rsid w:val="00413863"/>
    <w:rsid w:val="004B2FB7"/>
    <w:rsid w:val="00576D3E"/>
    <w:rsid w:val="00576FF0"/>
    <w:rsid w:val="00640900"/>
    <w:rsid w:val="00663FA6"/>
    <w:rsid w:val="007C77C7"/>
    <w:rsid w:val="00813EC8"/>
    <w:rsid w:val="00851F42"/>
    <w:rsid w:val="00863878"/>
    <w:rsid w:val="00870F4F"/>
    <w:rsid w:val="00880DE7"/>
    <w:rsid w:val="00931792"/>
    <w:rsid w:val="009504BD"/>
    <w:rsid w:val="00951A00"/>
    <w:rsid w:val="0096796B"/>
    <w:rsid w:val="009916B7"/>
    <w:rsid w:val="00A53120"/>
    <w:rsid w:val="00A54F85"/>
    <w:rsid w:val="00A576D1"/>
    <w:rsid w:val="00A76877"/>
    <w:rsid w:val="00AB1084"/>
    <w:rsid w:val="00B426A4"/>
    <w:rsid w:val="00BE22B4"/>
    <w:rsid w:val="00BE67D0"/>
    <w:rsid w:val="00BF569F"/>
    <w:rsid w:val="00C56054"/>
    <w:rsid w:val="00CB0857"/>
    <w:rsid w:val="00CE05D2"/>
    <w:rsid w:val="00CE27FA"/>
    <w:rsid w:val="00D21C72"/>
    <w:rsid w:val="00D2398F"/>
    <w:rsid w:val="00D47B01"/>
    <w:rsid w:val="00D66958"/>
    <w:rsid w:val="00D71E92"/>
    <w:rsid w:val="00DC61CF"/>
    <w:rsid w:val="00E47734"/>
    <w:rsid w:val="00E953B1"/>
    <w:rsid w:val="00ED3BDA"/>
    <w:rsid w:val="00F124FD"/>
    <w:rsid w:val="00F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4CB1"/>
  <w15:chartTrackingRefBased/>
  <w15:docId w15:val="{843FE163-20EE-4E70-A61E-178907F9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Outline-Level2"/>
    <w:next w:val="Normal"/>
    <w:link w:val="Heading2Char"/>
    <w:uiPriority w:val="9"/>
    <w:unhideWhenUsed/>
    <w:qFormat/>
    <w:rsid w:val="00851F4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2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84"/>
    <w:pPr>
      <w:ind w:left="720"/>
      <w:contextualSpacing/>
    </w:pPr>
  </w:style>
  <w:style w:type="paragraph" w:styleId="NoSpacing">
    <w:name w:val="No Spacing"/>
    <w:uiPriority w:val="1"/>
    <w:qFormat/>
    <w:rsid w:val="00DC61C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51F42"/>
    <w:rPr>
      <w:rFonts w:ascii="Arial" w:eastAsia="Times New Roman" w:hAnsi="Arial" w:cs="Arial"/>
      <w:b/>
      <w:bCs/>
      <w:sz w:val="20"/>
      <w:szCs w:val="18"/>
    </w:rPr>
  </w:style>
  <w:style w:type="paragraph" w:customStyle="1" w:styleId="Outline-Level1">
    <w:name w:val="Outline-Level 1"/>
    <w:basedOn w:val="Normal"/>
    <w:qFormat/>
    <w:rsid w:val="00851F42"/>
    <w:pPr>
      <w:numPr>
        <w:numId w:val="23"/>
      </w:numPr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Outline-Level2">
    <w:name w:val="Outline-Level 2"/>
    <w:basedOn w:val="Normal"/>
    <w:qFormat/>
    <w:rsid w:val="00851F42"/>
    <w:pPr>
      <w:numPr>
        <w:ilvl w:val="1"/>
        <w:numId w:val="23"/>
      </w:numPr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1"/>
    </w:pPr>
    <w:rPr>
      <w:rFonts w:ascii="Arial" w:eastAsia="Times New Roman" w:hAnsi="Arial" w:cs="Arial"/>
      <w:b/>
      <w:bCs/>
      <w:sz w:val="20"/>
      <w:szCs w:val="18"/>
    </w:rPr>
  </w:style>
  <w:style w:type="paragraph" w:customStyle="1" w:styleId="Outline-Level3">
    <w:name w:val="Outline-Level 3"/>
    <w:basedOn w:val="Normal"/>
    <w:qFormat/>
    <w:rsid w:val="00851F42"/>
    <w:pPr>
      <w:numPr>
        <w:ilvl w:val="2"/>
        <w:numId w:val="23"/>
      </w:numPr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customStyle="1" w:styleId="Outline-Level4">
    <w:name w:val="Outline-Level 4"/>
    <w:basedOn w:val="Outline-Level3"/>
    <w:qFormat/>
    <w:rsid w:val="00851F42"/>
    <w:pPr>
      <w:numPr>
        <w:ilvl w:val="3"/>
      </w:numPr>
      <w:tabs>
        <w:tab w:val="left" w:pos="2340"/>
      </w:tabs>
      <w:outlineLvl w:val="3"/>
    </w:pPr>
  </w:style>
  <w:style w:type="paragraph" w:customStyle="1" w:styleId="Outline-Level5">
    <w:name w:val="Outline-Level 5"/>
    <w:basedOn w:val="Outline-Level4"/>
    <w:rsid w:val="00851F42"/>
    <w:pPr>
      <w:numPr>
        <w:ilvl w:val="4"/>
      </w:numPr>
      <w:outlineLvl w:val="4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332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FA"/>
    <w:rPr>
      <w:rFonts w:ascii="Segoe UI" w:hAnsi="Segoe UI" w:cs="Segoe UI"/>
      <w:sz w:val="18"/>
      <w:szCs w:val="18"/>
    </w:rPr>
  </w:style>
  <w:style w:type="character" w:styleId="Hyperlink">
    <w:name w:val="Hyperlink"/>
    <w:rsid w:val="000A0C90"/>
    <w:rPr>
      <w:strike w:val="0"/>
      <w:dstrike w:val="0"/>
      <w:color w:val="0085D5"/>
      <w:u w:val="none"/>
      <w:effect w:val="none"/>
    </w:rPr>
  </w:style>
  <w:style w:type="paragraph" w:customStyle="1" w:styleId="style2">
    <w:name w:val="style2"/>
    <w:basedOn w:val="Normal"/>
    <w:rsid w:val="000A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C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DFD0ADFD35479463E3F671804002" ma:contentTypeVersion="9" ma:contentTypeDescription="Create a new document." ma:contentTypeScope="" ma:versionID="42a62b9126a075b0cfadf6464b4d8647">
  <xsd:schema xmlns:xsd="http://www.w3.org/2001/XMLSchema" xmlns:xs="http://www.w3.org/2001/XMLSchema" xmlns:p="http://schemas.microsoft.com/office/2006/metadata/properties" xmlns:ns1="http://schemas.microsoft.com/sharepoint/v3" xmlns:ns3="06b38fde-8c44-47b8-b5bc-0dda074e40dd" targetNamespace="http://schemas.microsoft.com/office/2006/metadata/properties" ma:root="true" ma:fieldsID="a66f9606b1987a0d98ce382cddcaf01a" ns1:_="" ns3:_="">
    <xsd:import namespace="http://schemas.microsoft.com/sharepoint/v3"/>
    <xsd:import namespace="06b38fde-8c44-47b8-b5bc-0dda074e40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38fde-8c44-47b8-b5bc-0dda074e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65C01-BCFF-43E2-8275-B0BC4867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E2517-69BE-4530-B8D1-4860B6BF97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08B24C-A8AD-4E9A-9A0D-4432216BE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b38fde-8c44-47b8-b5bc-0dda074e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Saltzman</dc:creator>
  <cp:keywords/>
  <dc:description/>
  <cp:lastModifiedBy>Darlene Saltzman</cp:lastModifiedBy>
  <cp:revision>5</cp:revision>
  <cp:lastPrinted>2022-03-14T20:33:00Z</cp:lastPrinted>
  <dcterms:created xsi:type="dcterms:W3CDTF">2022-06-15T19:36:00Z</dcterms:created>
  <dcterms:modified xsi:type="dcterms:W3CDTF">2022-07-07T15:03:00Z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0x010100A98ADFD0ADFD35479463E3F671804002</vt:lpwstr>
  </property>
</Properties>
</file>