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E86" w14:textId="748D5DCD" w:rsidR="00395603" w:rsidRDefault="004C1205"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D</w:t>
      </w:r>
      <w:bookmarkStart w:id="0" w:name="_GoBack"/>
      <w:bookmarkEnd w:id="0"/>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means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E7FE3E1"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w:t>
      </w:r>
      <w:r w:rsidRPr="00111F60">
        <w:rPr>
          <w:rFonts w:ascii="Times New Roman" w:eastAsia="Times New Roman" w:hAnsi="Times New Roman" w:cs="Times New Roman"/>
          <w:sz w:val="24"/>
          <w:szCs w:val="24"/>
        </w:rPr>
        <w:lastRenderedPageBreak/>
        <w:t xml:space="preserve">forth </w:t>
      </w:r>
      <w:r w:rsidRPr="00303A2B">
        <w:rPr>
          <w:rFonts w:ascii="Times New Roman" w:eastAsia="Times New Roman" w:hAnsi="Times New Roman" w:cs="Times New Roman"/>
          <w:sz w:val="24"/>
          <w:szCs w:val="24"/>
        </w:rPr>
        <w:t xml:space="preserve">at </w:t>
      </w:r>
      <w:hyperlink r:id="rId8" w:history="1">
        <w:r w:rsidR="00303A2B" w:rsidRPr="00303A2B">
          <w:rPr>
            <w:rFonts w:ascii="Times New Roman" w:hAnsi="Times New Roman" w:cs="Times New Roman"/>
            <w:color w:val="0000FF"/>
            <w:sz w:val="24"/>
            <w:szCs w:val="24"/>
            <w:u w:val="single"/>
          </w:rPr>
          <w:t>https://omes.ok.gov/sites/g/files/gmc316/f/isd_itas.pdf</w:t>
        </w:r>
      </w:hyperlink>
      <w:r w:rsidRPr="00303A2B">
        <w:rPr>
          <w:rFonts w:ascii="Times New Roman" w:eastAsia="Times New Roman" w:hAnsi="Times New Roman" w:cs="Times New Roman"/>
          <w:sz w:val="24"/>
          <w:szCs w:val="24"/>
        </w:rPr>
        <w:t xml:space="preserve">. </w:t>
      </w:r>
      <w:r w:rsidRPr="00111F60">
        <w:rPr>
          <w:rFonts w:ascii="Times New Roman" w:eastAsia="Times New Roman" w:hAnsi="Times New Roman" w:cs="Times New Roman"/>
          <w:sz w:val="24"/>
          <w:szCs w:val="24"/>
        </w:rPr>
        <w:t xml:space="preserve"> 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required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its agents or subcontractors during the downtime (repair) of products purchased or leased through the Contract.  If a device is removed from a location for repairs, the Customer shall have sole discretion, prior to removal, to determine and implement sufficient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012D8F6C" w14:textId="43E2830A" w:rsidR="00111F60" w:rsidRP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ab/>
      </w:r>
      <w:r w:rsidR="00111F60" w:rsidRPr="00111F60">
        <w:rPr>
          <w:rFonts w:ascii="Times New Roman" w:eastAsia="Times New Roman" w:hAnsi="Times New Roman" w:cs="Times New Roman"/>
          <w:sz w:val="24"/>
          <w:szCs w:val="24"/>
        </w:rPr>
        <w:t>The Supplier agrees to adhere to the State of Oklahoma “Information Security Policy, Procedures, and Guidelines” available at</w:t>
      </w:r>
      <w:r w:rsidR="00BB3F25">
        <w:rPr>
          <w:rFonts w:ascii="Times New Roman" w:eastAsia="Times New Roman" w:hAnsi="Times New Roman" w:cs="Times New Roman"/>
          <w:sz w:val="24"/>
          <w:szCs w:val="24"/>
        </w:rPr>
        <w:t xml:space="preserve"> </w:t>
      </w:r>
      <w:hyperlink r:id="rId9" w:history="1">
        <w:r w:rsidR="00BB3F25" w:rsidRPr="00AD3672">
          <w:rPr>
            <w:rStyle w:val="Hyperlink"/>
            <w:rFonts w:ascii="Times New Roman" w:eastAsia="Times New Roman" w:hAnsi="Times New Roman" w:cs="Times New Roman"/>
            <w:sz w:val="24"/>
            <w:szCs w:val="24"/>
          </w:rPr>
          <w:t>https://omes.ok.gov/s/g/files/gmc316/f/InfoSecPPG_0.pdf</w:t>
        </w:r>
      </w:hyperlink>
      <w:r w:rsidR="00BB3F25">
        <w:rPr>
          <w:rFonts w:ascii="Times New Roman" w:eastAsia="Times New Roman" w:hAnsi="Times New Roman" w:cs="Times New Roman"/>
          <w:sz w:val="24"/>
          <w:szCs w:val="24"/>
        </w:rPr>
        <w:t xml:space="preserve">. </w:t>
      </w:r>
      <w:r w:rsidR="00111F60" w:rsidRPr="00111F60">
        <w:rPr>
          <w:rFonts w:ascii="Times New Roman" w:eastAsia="Times New Roman" w:hAnsi="Times New Roman" w:cs="Times New Roman"/>
          <w:sz w:val="24"/>
          <w:szCs w:val="24"/>
        </w:rPr>
        <w:t xml:space="preserve">  </w:t>
      </w:r>
    </w:p>
    <w:p w14:paraId="62DE8CDE" w14:textId="61BBBC01" w:rsidR="00B8565E" w:rsidRDefault="00CA5B9D" w:rsidP="00BF30ED">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r w:rsidRPr="00FA2847">
        <w:rPr>
          <w:rFonts w:ascii="Times New Roman" w:hAnsi="Times New Roman" w:cs="Times New Roman"/>
          <w:sz w:val="24"/>
          <w:szCs w:val="24"/>
        </w:rPr>
        <w:lastRenderedPageBreak/>
        <w:t xml:space="preserve">Supplier’s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0" w:history="1">
        <w:r w:rsidR="00B8565E" w:rsidRPr="00CE3915">
          <w:rPr>
            <w:rStyle w:val="Hyperlink"/>
            <w:rFonts w:ascii="Times New Roman" w:hAnsi="Times New Roman"/>
            <w:sz w:val="24"/>
            <w:szCs w:val="24"/>
          </w:rPr>
          <w:t>http://eclipse.omes.ok.gov</w:t>
        </w:r>
      </w:hyperlink>
      <w:r w:rsidR="00F46568">
        <w:rPr>
          <w:rFonts w:ascii="Times New Roman" w:hAnsi="Times New Roman"/>
          <w:sz w:val="24"/>
          <w:szCs w:val="24"/>
        </w:rPr>
        <w:t>.</w:t>
      </w:r>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commentRangeStart w:id="1"/>
      <w:r w:rsidR="00111F60" w:rsidRPr="00BF30ED">
        <w:rPr>
          <w:rFonts w:ascii="Times New Roman" w:eastAsia="Times New Roman" w:hAnsi="Times New Roman" w:cs="Times New Roman"/>
          <w:sz w:val="24"/>
          <w:szCs w:val="24"/>
        </w:rPr>
        <w:t>Supplier</w:t>
      </w:r>
      <w:commentRangeEnd w:id="1"/>
      <w:r w:rsidR="00DC6809">
        <w:rPr>
          <w:rStyle w:val="CommentReference"/>
        </w:rPr>
        <w:commentReference w:id="1"/>
      </w:r>
      <w:r w:rsidR="00111F60" w:rsidRPr="00BF30ED">
        <w:rPr>
          <w:rFonts w:ascii="Times New Roman" w:eastAsia="Times New Roman" w:hAnsi="Times New Roman" w:cs="Times New Roman"/>
          <w:sz w:val="24"/>
          <w:szCs w:val="24"/>
        </w:rPr>
        <w:t xml:space="preserve">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662A8B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third party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Commercial Off The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w:t>
      </w:r>
      <w:r w:rsidRPr="00111F60">
        <w:rPr>
          <w:rFonts w:ascii="Times New Roman" w:eastAsia="Times New Roman" w:hAnsi="Times New Roman" w:cs="Times New Roman"/>
          <w:sz w:val="24"/>
          <w:szCs w:val="24"/>
        </w:rPr>
        <w:lastRenderedPageBreak/>
        <w:t xml:space="preserve">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Third Party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w:t>
      </w:r>
      <w:r w:rsidR="00395603" w:rsidRPr="00111F60">
        <w:rPr>
          <w:rFonts w:ascii="Times New Roman" w:eastAsia="Times New Roman" w:hAnsi="Times New Roman" w:cs="Times New Roman"/>
          <w:sz w:val="24"/>
          <w:szCs w:val="24"/>
        </w:rPr>
        <w:lastRenderedPageBreak/>
        <w:t xml:space="preserve">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w:t>
      </w:r>
      <w:r w:rsidRPr="00111F60">
        <w:rPr>
          <w:rFonts w:ascii="Times New Roman" w:eastAsia="Times New Roman" w:hAnsi="Times New Roman" w:cs="Times New Roman"/>
          <w:sz w:val="24"/>
          <w:szCs w:val="24"/>
        </w:rPr>
        <w:lastRenderedPageBreak/>
        <w:t xml:space="preserve">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Third Party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Third Party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Third Party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Data  in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B694A38"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Likewise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lastRenderedPageBreak/>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as long as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and also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w:t>
      </w:r>
      <w:r w:rsidR="00395603" w:rsidRPr="00E71621">
        <w:rPr>
          <w:rFonts w:ascii="Times New Roman" w:eastAsia="Times New Roman" w:hAnsi="Times New Roman" w:cs="Times New Roman"/>
          <w:sz w:val="24"/>
          <w:szCs w:val="24"/>
        </w:rPr>
        <w:lastRenderedPageBreak/>
        <w:t xml:space="preserve">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E7A9B3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up-to-date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expense, and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minimum security standards at time the Contract was executed. Failure</w:t>
      </w:r>
      <w:r w:rsidRPr="00E71621">
        <w:rPr>
          <w:rFonts w:ascii="Times New Roman" w:eastAsia="Times New Roman" w:hAnsi="Times New Roman" w:cs="Times New Roman"/>
          <w:sz w:val="24"/>
          <w:szCs w:val="24"/>
        </w:rPr>
        <w:t xml:space="preserve"> to maintain the State’s minimum security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446A2621"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lastRenderedPageBreak/>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lastRenderedPageBreak/>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6A14FC1C"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 xml:space="preserve">damages that are the sole fault of </w:t>
      </w:r>
      <w:r w:rsidRPr="00E71621">
        <w:rPr>
          <w:rFonts w:ascii="Times New Roman" w:eastAsia="Times New Roman" w:hAnsi="Times New Roman" w:cs="Times New Roman"/>
          <w:sz w:val="24"/>
          <w:szCs w:val="24"/>
        </w:rPr>
        <w:lastRenderedPageBreak/>
        <w:t>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third party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59EB981"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0349C7" w:rsidRPr="003034E9">
        <w:rPr>
          <w:rFonts w:ascii="Times New Roman" w:eastAsia="Times New Roman" w:hAnsi="Times New Roman" w:cs="Times New Roman"/>
          <w:sz w:val="24"/>
          <w:szCs w:val="24"/>
        </w:rPr>
        <w:t>and,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lastRenderedPageBreak/>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35227D7"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60 days after the effective date of termination, if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ata in all of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lastRenderedPageBreak/>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The CJIS Security Policy outlines a number of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lastRenderedPageBreak/>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3"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4"/>
      <w:pgSz w:w="12240" w:h="15840"/>
      <w:pgMar w:top="720" w:right="720" w:bottom="1080" w:left="907"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in Meyer" w:date="2019-12-09T14:27:00Z" w:initials="RM">
    <w:p w14:paraId="07661BB9" w14:textId="77777777" w:rsidR="00DC6809" w:rsidRPr="00DC6809" w:rsidRDefault="00DC6809" w:rsidP="00DC6809">
      <w:pPr>
        <w:pStyle w:val="CommentText"/>
        <w:rPr>
          <w:rFonts w:ascii="Arial" w:eastAsia="Times New Roman" w:hAnsi="Arial" w:cs="Arial"/>
          <w:b/>
        </w:rPr>
      </w:pPr>
      <w:r>
        <w:rPr>
          <w:rStyle w:val="CommentReference"/>
        </w:rPr>
        <w:annotationRef/>
      </w:r>
      <w:r w:rsidRPr="00DC6809">
        <w:rPr>
          <w:rFonts w:ascii="Arial" w:eastAsia="Times New Roman" w:hAnsi="Arial" w:cs="Arial"/>
          <w:b/>
        </w:rPr>
        <w:t>From TX DIR Managed Services K, Attachment 17:</w:t>
      </w:r>
    </w:p>
    <w:p w14:paraId="73424592"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p>
    <w:p w14:paraId="5073E92D"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FIPS 140-2 Federal Information Processing Standards Publication, Security Requirements for Cryptographic Modules </w:t>
      </w:r>
    </w:p>
    <w:p w14:paraId="09C535FF"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FISMA – Federal Information Security Management Act </w:t>
      </w:r>
    </w:p>
    <w:p w14:paraId="6DB5388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FACTA – Fair and Accurate Credit Transactions Act </w:t>
      </w:r>
    </w:p>
    <w:p w14:paraId="5C46520E"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 ISO/IEC 27001:2005 - Information technology – Security techniques – Information security management </w:t>
      </w:r>
    </w:p>
    <w:p w14:paraId="10C6DA2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ISO/IEC 27002 – code of practice for information security management </w:t>
      </w:r>
    </w:p>
    <w:p w14:paraId="37ABAF55"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NIST 800 – National Institute of Standards and Technology standards and related publications </w:t>
      </w:r>
    </w:p>
    <w:p w14:paraId="50722D50"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Cybersecurity Act of 2015</w:t>
      </w:r>
    </w:p>
    <w:p w14:paraId="5F073BA5" w14:textId="33881A4F" w:rsidR="00DC6809" w:rsidRDefault="00DC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73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3BA5" w16cid:durableId="2198D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BD95" w14:textId="77777777" w:rsidR="00237FB9" w:rsidRDefault="00237FB9" w:rsidP="00C5661C">
      <w:pPr>
        <w:spacing w:after="0" w:line="240" w:lineRule="auto"/>
      </w:pPr>
      <w:r>
        <w:separator/>
      </w:r>
    </w:p>
  </w:endnote>
  <w:endnote w:type="continuationSeparator" w:id="0">
    <w:p w14:paraId="5B5D2369" w14:textId="77777777" w:rsidR="00237FB9" w:rsidRDefault="00237FB9"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67697"/>
      <w:docPartObj>
        <w:docPartGallery w:val="Page Numbers (Bottom of Page)"/>
        <w:docPartUnique/>
      </w:docPartObj>
    </w:sdtPr>
    <w:sdtEndPr>
      <w:rPr>
        <w:noProof/>
      </w:rPr>
    </w:sdtEndPr>
    <w:sdtContent>
      <w:p w14:paraId="72CAD919" w14:textId="541C7FB5" w:rsidR="00C5661C" w:rsidRDefault="00C5661C">
        <w:pPr>
          <w:pStyle w:val="Footer"/>
          <w:jc w:val="center"/>
        </w:pPr>
        <w:r>
          <w:fldChar w:fldCharType="begin"/>
        </w:r>
        <w:r>
          <w:instrText xml:space="preserve"> PAGE   \* MERGEFORMAT </w:instrText>
        </w:r>
        <w:r>
          <w:fldChar w:fldCharType="separate"/>
        </w:r>
        <w:r w:rsidR="004C1205">
          <w:rPr>
            <w:noProof/>
          </w:rPr>
          <w:t>1</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5809" w14:textId="77777777" w:rsidR="00237FB9" w:rsidRDefault="00237FB9" w:rsidP="00C5661C">
      <w:pPr>
        <w:spacing w:after="0" w:line="240" w:lineRule="auto"/>
      </w:pPr>
      <w:r>
        <w:separator/>
      </w:r>
    </w:p>
  </w:footnote>
  <w:footnote w:type="continuationSeparator" w:id="0">
    <w:p w14:paraId="2890996C" w14:textId="77777777" w:rsidR="00237FB9" w:rsidRDefault="00237FB9"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Meyer">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71C82"/>
    <w:rsid w:val="00184F3A"/>
    <w:rsid w:val="00194D01"/>
    <w:rsid w:val="001A40F3"/>
    <w:rsid w:val="001B1658"/>
    <w:rsid w:val="001B58B2"/>
    <w:rsid w:val="001C2879"/>
    <w:rsid w:val="001D0FAE"/>
    <w:rsid w:val="001D6298"/>
    <w:rsid w:val="001E423D"/>
    <w:rsid w:val="001F5CF0"/>
    <w:rsid w:val="00202556"/>
    <w:rsid w:val="00213E8E"/>
    <w:rsid w:val="00215549"/>
    <w:rsid w:val="002172A4"/>
    <w:rsid w:val="00237FB9"/>
    <w:rsid w:val="002775E6"/>
    <w:rsid w:val="0027796D"/>
    <w:rsid w:val="00283B18"/>
    <w:rsid w:val="002A5344"/>
    <w:rsid w:val="002E76A3"/>
    <w:rsid w:val="002F5F93"/>
    <w:rsid w:val="003034E9"/>
    <w:rsid w:val="00303A2B"/>
    <w:rsid w:val="003129C4"/>
    <w:rsid w:val="003309CC"/>
    <w:rsid w:val="003315FC"/>
    <w:rsid w:val="00354584"/>
    <w:rsid w:val="00395603"/>
    <w:rsid w:val="003A02A7"/>
    <w:rsid w:val="003A4A2A"/>
    <w:rsid w:val="003B02E5"/>
    <w:rsid w:val="003F6A60"/>
    <w:rsid w:val="00403571"/>
    <w:rsid w:val="00405085"/>
    <w:rsid w:val="0041461F"/>
    <w:rsid w:val="00421AEC"/>
    <w:rsid w:val="00435390"/>
    <w:rsid w:val="00437C19"/>
    <w:rsid w:val="00465736"/>
    <w:rsid w:val="00466003"/>
    <w:rsid w:val="00467745"/>
    <w:rsid w:val="00470204"/>
    <w:rsid w:val="004856AD"/>
    <w:rsid w:val="004A7659"/>
    <w:rsid w:val="004C1205"/>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B18E4"/>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15DC2"/>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8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openxmlformats.org/officeDocument/2006/relationships/hyperlink" Target="https://www.fbi.gov/services/cjis/cjis-security-policy-resource-cente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lipse.omes.ok.gov" TargetMode="Externa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297B-8252-4475-9B7C-A61180F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Darlene Saltzman</cp:lastModifiedBy>
  <cp:revision>7</cp:revision>
  <cp:lastPrinted>2018-12-11T19:43:00Z</cp:lastPrinted>
  <dcterms:created xsi:type="dcterms:W3CDTF">2019-12-02T20:43:00Z</dcterms:created>
  <dcterms:modified xsi:type="dcterms:W3CDTF">2020-02-03T15:59:00Z</dcterms:modified>
</cp:coreProperties>
</file>