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A787B" w14:textId="77777777" w:rsidR="008B2EB1" w:rsidRPr="008B2EB1" w:rsidRDefault="008B2EB1" w:rsidP="008B2EB1">
      <w:pPr>
        <w:rPr>
          <w:i/>
          <w:iCs/>
          <w:lang w:val="en-GB"/>
        </w:rPr>
      </w:pPr>
      <w:r w:rsidRPr="008B2EB1">
        <w:rPr>
          <w:i/>
          <w:iCs/>
          <w:lang w:val="en-GB"/>
        </w:rPr>
        <w:t>Below is a document that I have provided to previous commissioners and directors.  While it is slightly dated, the direction of thinking remains valid.</w:t>
      </w:r>
    </w:p>
    <w:p w14:paraId="7ACCBCB4" w14:textId="77777777" w:rsidR="008B2EB1" w:rsidRPr="008B2EB1" w:rsidRDefault="008B2EB1" w:rsidP="008B2EB1">
      <w:pPr>
        <w:rPr>
          <w:b/>
          <w:bCs/>
          <w:lang w:val="en-GB"/>
        </w:rPr>
      </w:pPr>
    </w:p>
    <w:p w14:paraId="1B70442C" w14:textId="77777777" w:rsidR="008B2EB1" w:rsidRPr="008B2EB1" w:rsidRDefault="008B2EB1" w:rsidP="008B2EB1">
      <w:pPr>
        <w:rPr>
          <w:b/>
          <w:bCs/>
          <w:lang w:val="en-GB"/>
        </w:rPr>
      </w:pPr>
      <w:r w:rsidRPr="008B2EB1">
        <w:rPr>
          <w:b/>
          <w:bCs/>
          <w:lang w:val="en-GB"/>
        </w:rPr>
        <w:t>By Kevin Statham</w:t>
      </w:r>
    </w:p>
    <w:p w14:paraId="3CF40C59" w14:textId="77777777" w:rsidR="008B2EB1" w:rsidRPr="008B2EB1" w:rsidRDefault="008B2EB1" w:rsidP="008B2EB1">
      <w:pPr>
        <w:rPr>
          <w:lang w:val="en-GB"/>
        </w:rPr>
      </w:pPr>
      <w:r w:rsidRPr="008B2EB1">
        <w:rPr>
          <w:b/>
          <w:bCs/>
          <w:lang w:val="en-GB"/>
        </w:rPr>
        <w:t>Chief Financial Officer</w:t>
      </w:r>
    </w:p>
    <w:p w14:paraId="798A8D4B" w14:textId="77777777" w:rsidR="008B2EB1" w:rsidRPr="008B2EB1" w:rsidRDefault="008B2EB1" w:rsidP="008B2EB1">
      <w:pPr>
        <w:rPr>
          <w:lang w:val="en-GB"/>
        </w:rPr>
      </w:pPr>
    </w:p>
    <w:p w14:paraId="535B63B7" w14:textId="77777777" w:rsidR="008B2EB1" w:rsidRPr="008B2EB1" w:rsidRDefault="008B2EB1" w:rsidP="008B2EB1">
      <w:pPr>
        <w:rPr>
          <w:lang w:val="en-GB"/>
        </w:rPr>
      </w:pPr>
      <w:proofErr w:type="gramStart"/>
      <w:r w:rsidRPr="008B2EB1">
        <w:rPr>
          <w:lang w:val="en-GB"/>
        </w:rPr>
        <w:t>In light of</w:t>
      </w:r>
      <w:proofErr w:type="gramEnd"/>
      <w:r w:rsidRPr="008B2EB1">
        <w:rPr>
          <w:lang w:val="en-GB"/>
        </w:rPr>
        <w:t xml:space="preserve"> the Health Department audit release, I have been cognizant of the need to better communicate the fiscal well-being of DRS and incorporate some of the audit recommendations regarding fiscal reporting.   </w:t>
      </w:r>
    </w:p>
    <w:p w14:paraId="740D4BDA" w14:textId="77777777" w:rsidR="008B2EB1" w:rsidRPr="008B2EB1" w:rsidRDefault="008B2EB1" w:rsidP="008B2EB1">
      <w:pPr>
        <w:rPr>
          <w:lang w:val="en-GB"/>
        </w:rPr>
      </w:pPr>
      <w:r w:rsidRPr="008B2EB1">
        <w:rPr>
          <w:lang w:val="en-GB"/>
        </w:rPr>
        <w:t xml:space="preserve">That coupled with the director’s request for developing fiscal 101 discussions for E-team, has led to many different thoughts of how to approach this topic. Former Commissioner Emily Cheng’s request helped to coalesce my thoughts and to focus in on a </w:t>
      </w:r>
      <w:proofErr w:type="gramStart"/>
      <w:r w:rsidRPr="008B2EB1">
        <w:rPr>
          <w:lang w:val="en-GB"/>
        </w:rPr>
        <w:t>higher level</w:t>
      </w:r>
      <w:proofErr w:type="gramEnd"/>
      <w:r w:rsidRPr="008B2EB1">
        <w:rPr>
          <w:lang w:val="en-GB"/>
        </w:rPr>
        <w:t xml:space="preserve"> perspective of what is in the public view and possible interpretations of what is presented.  My hope is that this can be a starting point for future discussions.</w:t>
      </w:r>
    </w:p>
    <w:p w14:paraId="3D23EB5F" w14:textId="77777777" w:rsidR="008B2EB1" w:rsidRPr="008B2EB1" w:rsidRDefault="008B2EB1" w:rsidP="008B2EB1">
      <w:pPr>
        <w:rPr>
          <w:lang w:val="en-GB"/>
        </w:rPr>
      </w:pPr>
      <w:r w:rsidRPr="008B2EB1">
        <w:rPr>
          <w:lang w:val="en-GB"/>
        </w:rPr>
        <w:t xml:space="preserve">As a commissioner or director, what should you look for in the reports and what questions can guide discussion?  </w:t>
      </w:r>
    </w:p>
    <w:p w14:paraId="26097B0C" w14:textId="77777777" w:rsidR="008B2EB1" w:rsidRPr="008B2EB1" w:rsidRDefault="008B2EB1" w:rsidP="008B2EB1">
      <w:pPr>
        <w:rPr>
          <w:lang w:val="en-GB"/>
        </w:rPr>
      </w:pPr>
      <w:proofErr w:type="gramStart"/>
      <w:r w:rsidRPr="008B2EB1">
        <w:rPr>
          <w:lang w:val="en-GB"/>
        </w:rPr>
        <w:t>In light of</w:t>
      </w:r>
      <w:proofErr w:type="gramEnd"/>
      <w:r w:rsidRPr="008B2EB1">
        <w:rPr>
          <w:lang w:val="en-GB"/>
        </w:rPr>
        <w:t xml:space="preserve"> the Health Department, this is a tricky, but an important question.  As the commissioner or the director, you may or may not have easy access to </w:t>
      </w:r>
      <w:proofErr w:type="gramStart"/>
      <w:r w:rsidRPr="008B2EB1">
        <w:rPr>
          <w:lang w:val="en-GB"/>
        </w:rPr>
        <w:t>all of</w:t>
      </w:r>
      <w:proofErr w:type="gramEnd"/>
      <w:r w:rsidRPr="008B2EB1">
        <w:rPr>
          <w:lang w:val="en-GB"/>
        </w:rPr>
        <w:t xml:space="preserve"> the detail. Also, the person telling you what to look for is the CFO with whom you are charged with oversight.  </w:t>
      </w:r>
    </w:p>
    <w:p w14:paraId="54C2458A" w14:textId="77777777" w:rsidR="008B2EB1" w:rsidRPr="008B2EB1" w:rsidRDefault="008B2EB1" w:rsidP="008B2EB1">
      <w:pPr>
        <w:rPr>
          <w:lang w:val="en-GB"/>
        </w:rPr>
      </w:pPr>
      <w:r w:rsidRPr="008B2EB1">
        <w:rPr>
          <w:lang w:val="en-GB"/>
        </w:rPr>
        <w:t>If ever my words sound like double speak, hold me accountable and ask me why.</w:t>
      </w:r>
    </w:p>
    <w:p w14:paraId="3BF2923B" w14:textId="77777777" w:rsidR="008B2EB1" w:rsidRPr="008B2EB1" w:rsidRDefault="008B2EB1" w:rsidP="008B2EB1">
      <w:pPr>
        <w:rPr>
          <w:lang w:val="en-GB"/>
        </w:rPr>
      </w:pPr>
      <w:r w:rsidRPr="008B2EB1">
        <w:rPr>
          <w:lang w:val="en-GB"/>
        </w:rPr>
        <w:t xml:space="preserve">Without seeing into the detail, there are </w:t>
      </w:r>
      <w:proofErr w:type="gramStart"/>
      <w:r w:rsidRPr="008B2EB1">
        <w:rPr>
          <w:lang w:val="en-GB"/>
        </w:rPr>
        <w:t>a number of</w:t>
      </w:r>
      <w:proofErr w:type="gramEnd"/>
      <w:r w:rsidRPr="008B2EB1">
        <w:rPr>
          <w:lang w:val="en-GB"/>
        </w:rPr>
        <w:t xml:space="preserve"> questions that can be asked and can serve as a barometer. Many of these questions can transfer across a great many settings. Keep in mind, numbers and percentages mean very little without context. </w:t>
      </w:r>
    </w:p>
    <w:p w14:paraId="63E0A5C4" w14:textId="77777777" w:rsidR="008B2EB1" w:rsidRPr="008B2EB1" w:rsidRDefault="008B2EB1" w:rsidP="008B2EB1">
      <w:pPr>
        <w:rPr>
          <w:lang w:val="en-GB"/>
        </w:rPr>
      </w:pPr>
      <w:r w:rsidRPr="008B2EB1">
        <w:rPr>
          <w:lang w:val="en-GB"/>
        </w:rPr>
        <w:t xml:space="preserve">DRS is a relatively static program with consistent fiscal patterns. Programs may have small shifts in activity, but </w:t>
      </w:r>
      <w:proofErr w:type="gramStart"/>
      <w:r w:rsidRPr="008B2EB1">
        <w:rPr>
          <w:lang w:val="en-GB"/>
        </w:rPr>
        <w:t>overall</w:t>
      </w:r>
      <w:proofErr w:type="gramEnd"/>
      <w:r w:rsidRPr="008B2EB1">
        <w:rPr>
          <w:lang w:val="en-GB"/>
        </w:rPr>
        <w:t xml:space="preserve"> the statutory processes dictate </w:t>
      </w:r>
      <w:proofErr w:type="gramStart"/>
      <w:r w:rsidRPr="008B2EB1">
        <w:rPr>
          <w:lang w:val="en-GB"/>
        </w:rPr>
        <w:t>a number of</w:t>
      </w:r>
      <w:proofErr w:type="gramEnd"/>
      <w:r w:rsidRPr="008B2EB1">
        <w:rPr>
          <w:lang w:val="en-GB"/>
        </w:rPr>
        <w:t xml:space="preserve"> patterns.  </w:t>
      </w:r>
    </w:p>
    <w:p w14:paraId="3C444338" w14:textId="77777777" w:rsidR="008B2EB1" w:rsidRPr="008B2EB1" w:rsidRDefault="008B2EB1" w:rsidP="008B2EB1">
      <w:pPr>
        <w:rPr>
          <w:lang w:val="en-GB"/>
        </w:rPr>
      </w:pPr>
      <w:r w:rsidRPr="008B2EB1">
        <w:rPr>
          <w:lang w:val="en-GB"/>
        </w:rPr>
        <w:t xml:space="preserve">There is probably no higher profile issue for the DRS Commission and director than that of VR client services. Client service payments tend to have a strong emotional aspect, and I have long been fascinated by this data set. </w:t>
      </w:r>
      <w:proofErr w:type="gramStart"/>
      <w:r w:rsidRPr="008B2EB1">
        <w:rPr>
          <w:lang w:val="en-GB"/>
        </w:rPr>
        <w:t>Taking action</w:t>
      </w:r>
      <w:proofErr w:type="gramEnd"/>
      <w:r w:rsidRPr="008B2EB1">
        <w:rPr>
          <w:lang w:val="en-GB"/>
        </w:rPr>
        <w:t xml:space="preserve"> on the order of selection status and closing one or all priority groups is the only cost containment measure for the VR program.  </w:t>
      </w:r>
    </w:p>
    <w:p w14:paraId="21D38E37" w14:textId="77777777" w:rsidR="008B2EB1" w:rsidRPr="008B2EB1" w:rsidRDefault="008B2EB1" w:rsidP="008B2EB1">
      <w:pPr>
        <w:rPr>
          <w:lang w:val="en-GB"/>
        </w:rPr>
      </w:pPr>
      <w:r w:rsidRPr="008B2EB1">
        <w:rPr>
          <w:lang w:val="en-GB"/>
        </w:rPr>
        <w:lastRenderedPageBreak/>
        <w:t>It is a terrible thing to have to shutter a priority group and potentially delay services to someone that is needing them, but that is the way the program is designed to function.</w:t>
      </w:r>
    </w:p>
    <w:p w14:paraId="4C03A9C6" w14:textId="77777777" w:rsidR="008B2EB1" w:rsidRPr="008B2EB1" w:rsidRDefault="008B2EB1" w:rsidP="008B2EB1">
      <w:pPr>
        <w:rPr>
          <w:lang w:val="en-GB"/>
        </w:rPr>
      </w:pPr>
      <w:r w:rsidRPr="008B2EB1">
        <w:rPr>
          <w:lang w:val="en-GB"/>
        </w:rPr>
        <w:t xml:space="preserve">During the last decade, we have worked to mitigate the damage of closing groups.  Instead of a hard open or closed, DRS has worked to pull individuals off the waiting list each month. Because each case is unique, this is not a hard and fast science.  </w:t>
      </w:r>
    </w:p>
    <w:p w14:paraId="4394E9F2" w14:textId="77777777" w:rsidR="008B2EB1" w:rsidRPr="008B2EB1" w:rsidRDefault="008B2EB1" w:rsidP="008B2EB1">
      <w:pPr>
        <w:rPr>
          <w:lang w:val="en-GB"/>
        </w:rPr>
      </w:pPr>
      <w:r w:rsidRPr="008B2EB1">
        <w:rPr>
          <w:lang w:val="en-GB"/>
        </w:rPr>
        <w:t xml:space="preserve">The bulk of expenditures on a case occur in the first quartile of its life. This is when you will see the bigger ticket services in the form of medical procedures and home or vehicle modifications.  However, the longer an individual is on the waiting list, the lower the chance of them making a case or having a successful closure.  </w:t>
      </w:r>
    </w:p>
    <w:p w14:paraId="42DFBAA9" w14:textId="77777777" w:rsidR="008B2EB1" w:rsidRPr="008B2EB1" w:rsidRDefault="008B2EB1" w:rsidP="008B2EB1">
      <w:pPr>
        <w:rPr>
          <w:lang w:val="en-GB"/>
        </w:rPr>
      </w:pPr>
      <w:r w:rsidRPr="008B2EB1">
        <w:rPr>
          <w:lang w:val="en-GB"/>
        </w:rPr>
        <w:t xml:space="preserve">Additionally, the longer groups are closed, the field’s perception of their workload changes.  While perception is reality, your perception can also shape your reality. Where the data gets fascinating is in the realm of authorization on the overall caseload. Regardless of the total caseload activity, it is normal that approximately 60% of the cases have had an authorization in the last 12 months.  </w:t>
      </w:r>
    </w:p>
    <w:p w14:paraId="1C08C5C1" w14:textId="77777777" w:rsidR="008B2EB1" w:rsidRPr="008B2EB1" w:rsidRDefault="008B2EB1" w:rsidP="008B2EB1">
      <w:pPr>
        <w:rPr>
          <w:lang w:val="en-GB"/>
        </w:rPr>
      </w:pPr>
      <w:r w:rsidRPr="008B2EB1">
        <w:rPr>
          <w:lang w:val="en-GB"/>
        </w:rPr>
        <w:t xml:space="preserve">That would mean there could be 40% of the cases that have had no authorizations over the last twelve months.  </w:t>
      </w:r>
    </w:p>
    <w:p w14:paraId="17974738" w14:textId="77777777" w:rsidR="008B2EB1" w:rsidRPr="008B2EB1" w:rsidRDefault="008B2EB1" w:rsidP="008B2EB1">
      <w:pPr>
        <w:rPr>
          <w:lang w:val="en-GB"/>
        </w:rPr>
      </w:pPr>
      <w:r w:rsidRPr="008B2EB1">
        <w:rPr>
          <w:lang w:val="en-GB"/>
        </w:rPr>
        <w:t xml:space="preserve">This 40% could be made up of cases that are on the waiting list, employed and waiting for closure, cases delayed due to medical issues, cases that are receiving no cost services or cases we have lost. </w:t>
      </w:r>
    </w:p>
    <w:p w14:paraId="2193FB79" w14:textId="77777777" w:rsidR="008B2EB1" w:rsidRPr="008B2EB1" w:rsidRDefault="008B2EB1" w:rsidP="008B2EB1">
      <w:pPr>
        <w:rPr>
          <w:lang w:val="en-GB"/>
        </w:rPr>
      </w:pPr>
      <w:r w:rsidRPr="008B2EB1">
        <w:rPr>
          <w:lang w:val="en-GB"/>
        </w:rPr>
        <w:t xml:space="preserve">The total case load size is a soft variable when deciding to open or close groups as it is an indicator of the utilization of personnel resources. The longer the groups are closed the field’s perception becomes that there is nothing to do and yet the same percentage of cases appear to remain fallow.  </w:t>
      </w:r>
    </w:p>
    <w:p w14:paraId="4523196A" w14:textId="77777777" w:rsidR="008B2EB1" w:rsidRPr="008B2EB1" w:rsidRDefault="008B2EB1" w:rsidP="008B2EB1">
      <w:pPr>
        <w:rPr>
          <w:lang w:val="en-GB"/>
        </w:rPr>
      </w:pPr>
      <w:r w:rsidRPr="008B2EB1">
        <w:rPr>
          <w:lang w:val="en-GB"/>
        </w:rPr>
        <w:t>When groups are closed, subtracting out the waiting list number can provide a reference point of cases being worked.</w:t>
      </w:r>
    </w:p>
    <w:p w14:paraId="6E92C3C8" w14:textId="77777777" w:rsidR="008B2EB1" w:rsidRPr="008B2EB1" w:rsidRDefault="008B2EB1" w:rsidP="008B2EB1">
      <w:pPr>
        <w:rPr>
          <w:lang w:val="en-GB"/>
        </w:rPr>
      </w:pPr>
      <w:r w:rsidRPr="008B2EB1">
        <w:rPr>
          <w:lang w:val="en-GB"/>
        </w:rPr>
        <w:t xml:space="preserve">To monitor this, I use a couple of measurements as a lead into other questions.  The Average Daily Rate (ADR) measures authorization activity. Trained statisticians can throw rocks at the simplicity, but it is designed to measure spending above or below the daily budgeted level.  </w:t>
      </w:r>
    </w:p>
    <w:p w14:paraId="0F6DCC6A" w14:textId="77777777" w:rsidR="008B2EB1" w:rsidRPr="008B2EB1" w:rsidRDefault="008B2EB1" w:rsidP="008B2EB1">
      <w:pPr>
        <w:rPr>
          <w:lang w:val="en-GB"/>
        </w:rPr>
      </w:pPr>
      <w:proofErr w:type="gramStart"/>
      <w:r w:rsidRPr="008B2EB1">
        <w:rPr>
          <w:lang w:val="en-GB"/>
        </w:rPr>
        <w:t>Certainly</w:t>
      </w:r>
      <w:proofErr w:type="gramEnd"/>
      <w:r w:rsidRPr="008B2EB1">
        <w:rPr>
          <w:lang w:val="en-GB"/>
        </w:rPr>
        <w:t xml:space="preserve"> spikes in spending would not warrant deeper review, but sustained periods beyond the budgeted level would be </w:t>
      </w:r>
      <w:proofErr w:type="gramStart"/>
      <w:r w:rsidRPr="008B2EB1">
        <w:rPr>
          <w:lang w:val="en-GB"/>
        </w:rPr>
        <w:t>cause</w:t>
      </w:r>
      <w:proofErr w:type="gramEnd"/>
      <w:r w:rsidRPr="008B2EB1">
        <w:rPr>
          <w:lang w:val="en-GB"/>
        </w:rPr>
        <w:t xml:space="preserve"> to look at authorization patterns. Another quick view is total caseload versus the active caseload. This measures the number on the caseload versus the cases receiving authorizations. Again, you cannot derive a final answer, just the need to ask more questions as to why.</w:t>
      </w:r>
    </w:p>
    <w:p w14:paraId="0247C29F" w14:textId="77777777" w:rsidR="008B2EB1" w:rsidRPr="008B2EB1" w:rsidRDefault="008B2EB1" w:rsidP="008B2EB1">
      <w:pPr>
        <w:rPr>
          <w:lang w:val="en-GB"/>
        </w:rPr>
      </w:pPr>
      <w:r w:rsidRPr="008B2EB1">
        <w:rPr>
          <w:lang w:val="en-GB"/>
        </w:rPr>
        <w:lastRenderedPageBreak/>
        <w:t xml:space="preserve">Within the programs there are cycles of expenditures. For example, VR/SBVI payments spike in conjunction with tuition payments for the fall and spring semesters. Authorization activity slows during May and June. Other variables can be the time of year and how long it is taking to work clients into the service category.  </w:t>
      </w:r>
    </w:p>
    <w:p w14:paraId="16020583" w14:textId="77777777" w:rsidR="008B2EB1" w:rsidRPr="008B2EB1" w:rsidRDefault="008B2EB1" w:rsidP="008B2EB1">
      <w:pPr>
        <w:rPr>
          <w:lang w:val="en-GB"/>
        </w:rPr>
      </w:pPr>
      <w:r w:rsidRPr="008B2EB1">
        <w:rPr>
          <w:lang w:val="en-GB"/>
        </w:rPr>
        <w:t xml:space="preserve">A large budget balance toward the end of the year could lead to more clients being released from the waiting list. </w:t>
      </w:r>
      <w:proofErr w:type="gramStart"/>
      <w:r w:rsidRPr="008B2EB1">
        <w:rPr>
          <w:lang w:val="en-GB"/>
        </w:rPr>
        <w:t>A large number of</w:t>
      </w:r>
      <w:proofErr w:type="gramEnd"/>
      <w:r w:rsidRPr="008B2EB1">
        <w:rPr>
          <w:lang w:val="en-GB"/>
        </w:rPr>
        <w:t xml:space="preserve"> unworked cases from a previous release could lower the number in the next release. A question regarding client services would be in the form of; in the fiscal review meeting, have you seen any anomalies or deviations from previous years spending patterns?</w:t>
      </w:r>
    </w:p>
    <w:p w14:paraId="669A2B76" w14:textId="77777777" w:rsidR="008B2EB1" w:rsidRPr="008B2EB1" w:rsidRDefault="008B2EB1" w:rsidP="008B2EB1">
      <w:pPr>
        <w:rPr>
          <w:lang w:val="en-GB"/>
        </w:rPr>
      </w:pPr>
      <w:r w:rsidRPr="008B2EB1">
        <w:rPr>
          <w:lang w:val="en-GB"/>
        </w:rPr>
        <w:t xml:space="preserve">Keep in mind, I am speaking of </w:t>
      </w:r>
      <w:proofErr w:type="gramStart"/>
      <w:r w:rsidRPr="008B2EB1">
        <w:rPr>
          <w:lang w:val="en-GB"/>
        </w:rPr>
        <w:t>broad brush</w:t>
      </w:r>
      <w:proofErr w:type="gramEnd"/>
      <w:r w:rsidRPr="008B2EB1">
        <w:rPr>
          <w:lang w:val="en-GB"/>
        </w:rPr>
        <w:t xml:space="preserve"> views of the fiscal and program activity for VR/SBVI. There is rarely one piece of information that is the lynch pin. </w:t>
      </w:r>
      <w:proofErr w:type="gramStart"/>
      <w:r w:rsidRPr="008B2EB1">
        <w:rPr>
          <w:lang w:val="en-GB"/>
        </w:rPr>
        <w:t>Often times</w:t>
      </w:r>
      <w:proofErr w:type="gramEnd"/>
      <w:r w:rsidRPr="008B2EB1">
        <w:rPr>
          <w:lang w:val="en-GB"/>
        </w:rPr>
        <w:t xml:space="preserve"> it is a combination of data and listening to internal and external noise that guides my analysis.  Aggregate client service data is not something ordinarily presented at the Commission meeting for public view, but discussions occur </w:t>
      </w:r>
      <w:proofErr w:type="gramStart"/>
      <w:r w:rsidRPr="008B2EB1">
        <w:rPr>
          <w:lang w:val="en-GB"/>
        </w:rPr>
        <w:t>on a monthly basis</w:t>
      </w:r>
      <w:proofErr w:type="gramEnd"/>
      <w:r w:rsidRPr="008B2EB1">
        <w:rPr>
          <w:lang w:val="en-GB"/>
        </w:rPr>
        <w:t xml:space="preserve"> and can be addressed if needed. Using the Commission packet as a guide, the following is intended to add depth to the reports as they are presented and possible ways to interpret the information.   </w:t>
      </w:r>
    </w:p>
    <w:p w14:paraId="4382398A" w14:textId="77777777" w:rsidR="008B2EB1" w:rsidRPr="008B2EB1" w:rsidRDefault="008B2EB1" w:rsidP="008B2EB1">
      <w:pPr>
        <w:rPr>
          <w:lang w:val="en-GB"/>
        </w:rPr>
      </w:pPr>
      <w:r w:rsidRPr="008B2EB1">
        <w:rPr>
          <w:lang w:val="en-GB"/>
        </w:rPr>
        <w:t xml:space="preserve">The Financial Status Report (FSR) identifies the status at a point in time regarding the budget.  </w:t>
      </w:r>
    </w:p>
    <w:p w14:paraId="75E63DA5" w14:textId="77777777" w:rsidR="008B2EB1" w:rsidRPr="008B2EB1" w:rsidRDefault="008B2EB1" w:rsidP="008B2EB1">
      <w:pPr>
        <w:rPr>
          <w:lang w:val="en-GB"/>
        </w:rPr>
      </w:pPr>
      <w:r w:rsidRPr="008B2EB1">
        <w:rPr>
          <w:lang w:val="en-GB"/>
        </w:rPr>
        <w:t>Typically, this report should illustrate within 95% of the budget being utilized across each program. If a program is below 95% or worse, below 90% it would warrant a question as to why. As an example, if OSB were showing only 89% of the budget as used, that would indicate a potential carryover amount of $800,000 dollars. There could be a reason for the underutilization, but it warrants the question, why.</w:t>
      </w:r>
    </w:p>
    <w:p w14:paraId="1CD7CCF8" w14:textId="77777777" w:rsidR="008B2EB1" w:rsidRPr="008B2EB1" w:rsidRDefault="008B2EB1" w:rsidP="008B2EB1">
      <w:pPr>
        <w:rPr>
          <w:lang w:val="en-GB"/>
        </w:rPr>
      </w:pPr>
      <w:r w:rsidRPr="008B2EB1">
        <w:rPr>
          <w:lang w:val="en-GB"/>
        </w:rPr>
        <w:t>Keeping in mind the static nature of DRS, when looking at the FSR in total, questions of: How does this month compare to last month or the same period last year? The answer to this question should illustrate some consistency. If there is a significant deviation, that would warrant a follow up question as to why.</w:t>
      </w:r>
    </w:p>
    <w:p w14:paraId="1DDEFA79" w14:textId="77777777" w:rsidR="008B2EB1" w:rsidRPr="008B2EB1" w:rsidRDefault="008B2EB1" w:rsidP="008B2EB1">
      <w:pPr>
        <w:rPr>
          <w:lang w:val="en-GB"/>
        </w:rPr>
      </w:pPr>
      <w:r w:rsidRPr="008B2EB1">
        <w:rPr>
          <w:lang w:val="en-GB"/>
        </w:rPr>
        <w:t xml:space="preserve">The Personnel Activity Report also provides a snapshot. In fund accounting, payroll costs are budgeted as though they will be filled every month.  A vacancy in a budgeted FTE generates payroll lapse. Large vacancies will mean that the line on the FSR that shows payroll as 100% used, may be overstating the full liability. </w:t>
      </w:r>
    </w:p>
    <w:p w14:paraId="0E3BA62A" w14:textId="77777777" w:rsidR="008B2EB1" w:rsidRPr="008B2EB1" w:rsidRDefault="008B2EB1" w:rsidP="008B2EB1">
      <w:pPr>
        <w:rPr>
          <w:lang w:val="en-GB"/>
        </w:rPr>
      </w:pPr>
      <w:r w:rsidRPr="008B2EB1">
        <w:rPr>
          <w:lang w:val="en-GB"/>
        </w:rPr>
        <w:t xml:space="preserve">Policy changes are put before you to react to a situation. When policy changes are requested, a good question is, why?  The next question is to ask: How will we know this change is providing the intended result?  How will we measure the change? If the fiscal impact is zero, is there an expected offset?  </w:t>
      </w:r>
    </w:p>
    <w:p w14:paraId="21624132" w14:textId="77777777" w:rsidR="008B2EB1" w:rsidRPr="008B2EB1" w:rsidRDefault="008B2EB1" w:rsidP="008B2EB1">
      <w:pPr>
        <w:rPr>
          <w:lang w:val="en-GB"/>
        </w:rPr>
      </w:pPr>
      <w:r w:rsidRPr="008B2EB1">
        <w:rPr>
          <w:lang w:val="en-GB"/>
        </w:rPr>
        <w:lastRenderedPageBreak/>
        <w:t xml:space="preserve">The next item that you would routinely see would be audit results. It is not uncommon to have audit points. Auditors and audit points are not bad. Conversely, no audit points </w:t>
      </w:r>
      <w:proofErr w:type="gramStart"/>
      <w:r w:rsidRPr="008B2EB1">
        <w:rPr>
          <w:lang w:val="en-GB"/>
        </w:rPr>
        <w:t>does</w:t>
      </w:r>
      <w:proofErr w:type="gramEnd"/>
      <w:r w:rsidRPr="008B2EB1">
        <w:rPr>
          <w:lang w:val="en-GB"/>
        </w:rPr>
        <w:t xml:space="preserve"> not mean everything is okay within a program.  The audit is simply an objective look into the inner workings of the program. What you would be looking for in audit reports is a lack of internal controls, unreconciled accounts, misstatements on reports and anything that pointed towards </w:t>
      </w:r>
      <w:proofErr w:type="spellStart"/>
      <w:r w:rsidRPr="008B2EB1">
        <w:rPr>
          <w:lang w:val="en-GB"/>
        </w:rPr>
        <w:t>willful</w:t>
      </w:r>
      <w:proofErr w:type="spellEnd"/>
      <w:r w:rsidRPr="008B2EB1">
        <w:rPr>
          <w:lang w:val="en-GB"/>
        </w:rPr>
        <w:t xml:space="preserve"> intent. Again, the continual absence of findings could call into question the strength of the audit.</w:t>
      </w:r>
    </w:p>
    <w:p w14:paraId="516BEDE2" w14:textId="77777777" w:rsidR="008B2EB1" w:rsidRPr="008B2EB1" w:rsidRDefault="008B2EB1" w:rsidP="008B2EB1">
      <w:pPr>
        <w:rPr>
          <w:lang w:val="en-GB"/>
        </w:rPr>
      </w:pPr>
      <w:r w:rsidRPr="008B2EB1">
        <w:rPr>
          <w:lang w:val="en-GB"/>
        </w:rPr>
        <w:t xml:space="preserve">Government regulations have been around a long time. If there is a process in place there is likely a statute that </w:t>
      </w:r>
      <w:proofErr w:type="gramStart"/>
      <w:r w:rsidRPr="008B2EB1">
        <w:rPr>
          <w:lang w:val="en-GB"/>
        </w:rPr>
        <w:t>guides</w:t>
      </w:r>
      <w:proofErr w:type="gramEnd"/>
      <w:r w:rsidRPr="008B2EB1">
        <w:rPr>
          <w:lang w:val="en-GB"/>
        </w:rPr>
        <w:t xml:space="preserve"> it. </w:t>
      </w:r>
    </w:p>
    <w:p w14:paraId="3491E552" w14:textId="77777777" w:rsidR="008B2EB1" w:rsidRPr="008B2EB1" w:rsidRDefault="008B2EB1" w:rsidP="008B2EB1">
      <w:pPr>
        <w:rPr>
          <w:lang w:val="en-GB"/>
        </w:rPr>
      </w:pPr>
      <w:r w:rsidRPr="008B2EB1">
        <w:rPr>
          <w:lang w:val="en-GB"/>
        </w:rPr>
        <w:t xml:space="preserve">Fiscal statutes tend to be comprehensive and restrictive while program statutes lean toward greater latitude and seemingly vague.  Conversationally, if you were to hear that DRS is setting new processes for seemingly routine transactions or multiple ways to do a transaction, this could indicate a lack of structure in place or too much flexibility in processes. This could be the result of poor internal controls on processes and would warrant a question as to why there isn’t a process in place.  </w:t>
      </w:r>
    </w:p>
    <w:p w14:paraId="5C175C0B" w14:textId="77777777" w:rsidR="008B2EB1" w:rsidRPr="008B2EB1" w:rsidRDefault="008B2EB1" w:rsidP="008B2EB1">
      <w:pPr>
        <w:rPr>
          <w:lang w:val="en-GB"/>
        </w:rPr>
      </w:pPr>
      <w:r w:rsidRPr="008B2EB1">
        <w:rPr>
          <w:lang w:val="en-GB"/>
        </w:rPr>
        <w:t xml:space="preserve">Over the last two decades, most every process change has been driven by advancements in internal or external technology.  </w:t>
      </w:r>
    </w:p>
    <w:p w14:paraId="0733095C" w14:textId="77777777" w:rsidR="008B2EB1" w:rsidRPr="008B2EB1" w:rsidRDefault="008B2EB1" w:rsidP="008B2EB1">
      <w:pPr>
        <w:rPr>
          <w:lang w:val="en-GB"/>
        </w:rPr>
      </w:pPr>
      <w:r w:rsidRPr="008B2EB1">
        <w:rPr>
          <w:lang w:val="en-GB"/>
        </w:rPr>
        <w:t xml:space="preserve">In 2004, DRS moved away from the DHS legacy system and went directly to the PeopleSoft Accounting System hosted by OMES. This change strengthened the integrity of the DRS fiscal operations. Data repositories are </w:t>
      </w:r>
      <w:proofErr w:type="gramStart"/>
      <w:r w:rsidRPr="008B2EB1">
        <w:rPr>
          <w:lang w:val="en-GB"/>
        </w:rPr>
        <w:t>centralized</w:t>
      </w:r>
      <w:proofErr w:type="gramEnd"/>
      <w:r w:rsidRPr="008B2EB1">
        <w:rPr>
          <w:lang w:val="en-GB"/>
        </w:rPr>
        <w:t xml:space="preserve"> and reconciliations are shared across multiple areas. Federal and state reporting use the same data extracts and reconcile across periods.  </w:t>
      </w:r>
    </w:p>
    <w:p w14:paraId="4BFACF76" w14:textId="77777777" w:rsidR="008B2EB1" w:rsidRPr="008B2EB1" w:rsidRDefault="008B2EB1" w:rsidP="008B2EB1">
      <w:pPr>
        <w:rPr>
          <w:lang w:val="en-GB"/>
        </w:rPr>
      </w:pPr>
      <w:r w:rsidRPr="008B2EB1">
        <w:rPr>
          <w:lang w:val="en-GB"/>
        </w:rPr>
        <w:t xml:space="preserve">Maintaining the integrity of reporting is paramount within the FSD Division. The FSR is built using a data feed into a SQL database.  This is a fixed process that reports the data as it is, without manipulation. The federal reports are generated from comprehensive Excel spreadsheets to derive the granular level of reporting required, but both reconcile back to fund reconciliations. All the data sets and reconciliations are housed on the FSD COMPASS site to be used and available to all FSD employees.  </w:t>
      </w:r>
    </w:p>
    <w:p w14:paraId="6FF5AED1" w14:textId="77777777" w:rsidR="008B2EB1" w:rsidRPr="008B2EB1" w:rsidRDefault="008B2EB1" w:rsidP="008B2EB1">
      <w:pPr>
        <w:rPr>
          <w:lang w:val="en-GB"/>
        </w:rPr>
      </w:pPr>
      <w:r w:rsidRPr="008B2EB1">
        <w:rPr>
          <w:lang w:val="en-GB"/>
        </w:rPr>
        <w:t xml:space="preserve">Hopefully this information will provide a platform for our discussions and builds on the background and knowledge that each of you already possess. </w:t>
      </w:r>
    </w:p>
    <w:p w14:paraId="5778C22E" w14:textId="3F4076AC" w:rsidR="00F67024" w:rsidRDefault="008B2EB1" w:rsidP="008B2EB1">
      <w:r w:rsidRPr="008B2EB1">
        <w:rPr>
          <w:lang w:val="en-GB"/>
        </w:rPr>
        <w:t>My apologies for the lengthy read, but I hope it has helped to add depth to the items before you in the commission packet.  I look forward to our future conversations.</w:t>
      </w:r>
    </w:p>
    <w:sectPr w:rsidR="00F67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B1"/>
    <w:rsid w:val="00003FEB"/>
    <w:rsid w:val="008B2EB1"/>
    <w:rsid w:val="00937A47"/>
    <w:rsid w:val="00B06951"/>
    <w:rsid w:val="00D40712"/>
    <w:rsid w:val="00F67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33F6"/>
  <w15:chartTrackingRefBased/>
  <w15:docId w15:val="{F8A7EC49-7F82-4C3B-A2B8-6D8E049A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E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E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E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E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E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E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E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E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E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E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E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E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E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E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E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E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E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EB1"/>
    <w:rPr>
      <w:rFonts w:eastAsiaTheme="majorEastAsia" w:cstheme="majorBidi"/>
      <w:color w:val="272727" w:themeColor="text1" w:themeTint="D8"/>
    </w:rPr>
  </w:style>
  <w:style w:type="paragraph" w:styleId="Title">
    <w:name w:val="Title"/>
    <w:basedOn w:val="Normal"/>
    <w:next w:val="Normal"/>
    <w:link w:val="TitleChar"/>
    <w:uiPriority w:val="10"/>
    <w:qFormat/>
    <w:rsid w:val="008B2E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E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E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E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EB1"/>
    <w:pPr>
      <w:spacing w:before="160"/>
      <w:jc w:val="center"/>
    </w:pPr>
    <w:rPr>
      <w:i/>
      <w:iCs/>
      <w:color w:val="404040" w:themeColor="text1" w:themeTint="BF"/>
    </w:rPr>
  </w:style>
  <w:style w:type="character" w:customStyle="1" w:styleId="QuoteChar">
    <w:name w:val="Quote Char"/>
    <w:basedOn w:val="DefaultParagraphFont"/>
    <w:link w:val="Quote"/>
    <w:uiPriority w:val="29"/>
    <w:rsid w:val="008B2EB1"/>
    <w:rPr>
      <w:i/>
      <w:iCs/>
      <w:color w:val="404040" w:themeColor="text1" w:themeTint="BF"/>
    </w:rPr>
  </w:style>
  <w:style w:type="paragraph" w:styleId="ListParagraph">
    <w:name w:val="List Paragraph"/>
    <w:basedOn w:val="Normal"/>
    <w:uiPriority w:val="34"/>
    <w:qFormat/>
    <w:rsid w:val="008B2EB1"/>
    <w:pPr>
      <w:ind w:left="720"/>
      <w:contextualSpacing/>
    </w:pPr>
  </w:style>
  <w:style w:type="character" w:styleId="IntenseEmphasis">
    <w:name w:val="Intense Emphasis"/>
    <w:basedOn w:val="DefaultParagraphFont"/>
    <w:uiPriority w:val="21"/>
    <w:qFormat/>
    <w:rsid w:val="008B2EB1"/>
    <w:rPr>
      <w:i/>
      <w:iCs/>
      <w:color w:val="0F4761" w:themeColor="accent1" w:themeShade="BF"/>
    </w:rPr>
  </w:style>
  <w:style w:type="paragraph" w:styleId="IntenseQuote">
    <w:name w:val="Intense Quote"/>
    <w:basedOn w:val="Normal"/>
    <w:next w:val="Normal"/>
    <w:link w:val="IntenseQuoteChar"/>
    <w:uiPriority w:val="30"/>
    <w:qFormat/>
    <w:rsid w:val="008B2E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EB1"/>
    <w:rPr>
      <w:i/>
      <w:iCs/>
      <w:color w:val="0F4761" w:themeColor="accent1" w:themeShade="BF"/>
    </w:rPr>
  </w:style>
  <w:style w:type="character" w:styleId="IntenseReference">
    <w:name w:val="Intense Reference"/>
    <w:basedOn w:val="DefaultParagraphFont"/>
    <w:uiPriority w:val="32"/>
    <w:qFormat/>
    <w:rsid w:val="008B2E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1490</Words>
  <Characters>8499</Characters>
  <Application>Microsoft Office Word</Application>
  <DocSecurity>0</DocSecurity>
  <Lines>70</Lines>
  <Paragraphs>19</Paragraphs>
  <ScaleCrop>false</ScaleCrop>
  <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A. Jones</dc:creator>
  <cp:keywords/>
  <dc:description/>
  <cp:lastModifiedBy>Brett A. Jones</cp:lastModifiedBy>
  <cp:revision>1</cp:revision>
  <dcterms:created xsi:type="dcterms:W3CDTF">2025-07-22T12:56:00Z</dcterms:created>
  <dcterms:modified xsi:type="dcterms:W3CDTF">2025-07-22T12:57:00Z</dcterms:modified>
</cp:coreProperties>
</file>