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686E" w14:textId="487690A3" w:rsidR="00B3793C" w:rsidRDefault="00B3793C" w:rsidP="00B3793C">
      <w:pPr>
        <w:jc w:val="center"/>
        <w:rPr>
          <w:rFonts w:ascii="Arial Black" w:hAnsi="Arial Black" w:cs="Tahoma Bold"/>
          <w:b/>
          <w:color w:val="2E74B5" w:themeColor="accent1" w:themeShade="BF"/>
          <w:sz w:val="32"/>
          <w:szCs w:val="32"/>
        </w:rPr>
      </w:pPr>
      <w:r>
        <w:rPr>
          <w:rFonts w:ascii="Arial Black" w:hAnsi="Arial Black" w:cs="Tahoma Bold"/>
          <w:b/>
          <w:color w:val="2E74B5" w:themeColor="accent1" w:themeShade="BF"/>
          <w:sz w:val="32"/>
          <w:szCs w:val="32"/>
        </w:rPr>
        <w:t>PSTD</w:t>
      </w:r>
    </w:p>
    <w:p w14:paraId="375EF21E" w14:textId="7FB767A7" w:rsidR="00345906" w:rsidRPr="00B3793C" w:rsidRDefault="00B3793C" w:rsidP="00B3793C">
      <w:pPr>
        <w:jc w:val="center"/>
        <w:rPr>
          <w:rFonts w:ascii="Arial Black" w:hAnsi="Arial Black"/>
          <w:b/>
          <w:sz w:val="32"/>
          <w:szCs w:val="32"/>
        </w:rPr>
      </w:pPr>
      <w:r w:rsidRPr="00B3793C">
        <w:rPr>
          <w:rFonts w:ascii="Arial Black" w:hAnsi="Arial Black" w:cs="Tahoma Bold"/>
          <w:b/>
          <w:color w:val="2E74B5" w:themeColor="accent1" w:themeShade="BF"/>
          <w:sz w:val="32"/>
          <w:szCs w:val="32"/>
        </w:rPr>
        <w:t>AST CLOSURE SAMPLING REQUIREMENTS</w:t>
      </w:r>
    </w:p>
    <w:p w14:paraId="507B3746" w14:textId="7E2D596A" w:rsidR="00345906" w:rsidRDefault="00345906" w:rsidP="00345906"/>
    <w:p w14:paraId="2CCC2761" w14:textId="77777777" w:rsidR="00B3793C" w:rsidRPr="00345906" w:rsidRDefault="00B3793C" w:rsidP="00345906"/>
    <w:p w14:paraId="2204521F" w14:textId="1637A126" w:rsidR="00345906" w:rsidRPr="00B3793C" w:rsidRDefault="00345906" w:rsidP="00B3793C">
      <w:pPr>
        <w:ind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TANKS SITTING ON THE GROUND</w:t>
      </w:r>
    </w:p>
    <w:p w14:paraId="1ACF3300" w14:textId="77777777" w:rsidR="00345906" w:rsidRPr="00B3793C" w:rsidRDefault="00345906" w:rsidP="00B3793C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rPr>
          <w:sz w:val="20"/>
          <w:szCs w:val="20"/>
        </w:rPr>
      </w:pPr>
      <w:r w:rsidRPr="00B3793C">
        <w:rPr>
          <w:spacing w:val="-7"/>
          <w:sz w:val="20"/>
          <w:szCs w:val="20"/>
        </w:rPr>
        <w:t xml:space="preserve">One </w:t>
      </w:r>
      <w:r w:rsidRPr="00B3793C">
        <w:rPr>
          <w:sz w:val="20"/>
          <w:szCs w:val="20"/>
        </w:rPr>
        <w:t>sample</w:t>
      </w:r>
      <w:r w:rsidRPr="00B3793C">
        <w:rPr>
          <w:spacing w:val="-9"/>
          <w:sz w:val="20"/>
          <w:szCs w:val="20"/>
        </w:rPr>
        <w:t xml:space="preserve"> </w:t>
      </w:r>
      <w:r w:rsidRPr="00B3793C">
        <w:rPr>
          <w:sz w:val="20"/>
          <w:szCs w:val="20"/>
        </w:rPr>
        <w:t>under</w:t>
      </w:r>
      <w:r w:rsidRPr="00B3793C">
        <w:rPr>
          <w:spacing w:val="-8"/>
          <w:sz w:val="20"/>
          <w:szCs w:val="20"/>
        </w:rPr>
        <w:t xml:space="preserve"> </w:t>
      </w:r>
      <w:r w:rsidRPr="00B3793C">
        <w:rPr>
          <w:b/>
          <w:sz w:val="20"/>
          <w:szCs w:val="20"/>
          <w:u w:val="single"/>
        </w:rPr>
        <w:t>each</w:t>
      </w:r>
      <w:r w:rsidRPr="00B3793C">
        <w:rPr>
          <w:b/>
          <w:spacing w:val="-8"/>
          <w:sz w:val="20"/>
          <w:szCs w:val="20"/>
        </w:rPr>
        <w:t xml:space="preserve"> </w:t>
      </w:r>
      <w:r w:rsidRPr="00B3793C">
        <w:rPr>
          <w:sz w:val="20"/>
          <w:szCs w:val="20"/>
        </w:rPr>
        <w:t>tank,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on</w:t>
      </w:r>
      <w:r w:rsidRPr="00B3793C">
        <w:rPr>
          <w:spacing w:val="-9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12"/>
          <w:sz w:val="20"/>
          <w:szCs w:val="20"/>
        </w:rPr>
        <w:t xml:space="preserve"> </w:t>
      </w:r>
      <w:r w:rsidRPr="00B3793C">
        <w:rPr>
          <w:sz w:val="20"/>
          <w:szCs w:val="20"/>
        </w:rPr>
        <w:t>fill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side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or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at</w:t>
      </w:r>
      <w:r w:rsidRPr="00B3793C">
        <w:rPr>
          <w:spacing w:val="-8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9"/>
          <w:sz w:val="20"/>
          <w:szCs w:val="20"/>
        </w:rPr>
        <w:t xml:space="preserve"> </w:t>
      </w:r>
      <w:r w:rsidRPr="00B3793C">
        <w:rPr>
          <w:sz w:val="20"/>
          <w:szCs w:val="20"/>
        </w:rPr>
        <w:t>remote fill (most likely source of contamination).</w:t>
      </w:r>
    </w:p>
    <w:p w14:paraId="19E44245" w14:textId="77777777" w:rsidR="00345906" w:rsidRPr="00B3793C" w:rsidRDefault="00345906" w:rsidP="00B3793C">
      <w:pPr>
        <w:pStyle w:val="ListParagraph"/>
        <w:numPr>
          <w:ilvl w:val="0"/>
          <w:numId w:val="4"/>
        </w:numPr>
        <w:tabs>
          <w:tab w:val="left" w:pos="1198"/>
          <w:tab w:val="left" w:pos="1199"/>
        </w:tabs>
        <w:spacing w:before="120"/>
        <w:ind w:right="360"/>
        <w:rPr>
          <w:sz w:val="20"/>
          <w:szCs w:val="20"/>
        </w:rPr>
      </w:pPr>
      <w:r w:rsidRPr="00B3793C">
        <w:rPr>
          <w:spacing w:val="-4"/>
          <w:sz w:val="20"/>
          <w:szCs w:val="20"/>
        </w:rPr>
        <w:t xml:space="preserve">One </w:t>
      </w:r>
      <w:r w:rsidRPr="00B3793C">
        <w:rPr>
          <w:sz w:val="20"/>
          <w:szCs w:val="20"/>
        </w:rPr>
        <w:t>sample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down-gradient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of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pacing w:val="-2"/>
          <w:sz w:val="20"/>
          <w:szCs w:val="20"/>
        </w:rPr>
        <w:t>tanks.</w:t>
      </w:r>
    </w:p>
    <w:p w14:paraId="45A36A8B" w14:textId="77777777" w:rsidR="00B3793C" w:rsidRPr="00B3793C" w:rsidRDefault="00B3793C" w:rsidP="00B3793C">
      <w:pPr>
        <w:spacing w:before="216"/>
        <w:ind w:left="217" w:right="360"/>
        <w:jc w:val="center"/>
        <w:rPr>
          <w:rFonts w:eastAsia="Times New Roman"/>
          <w:b/>
          <w:sz w:val="20"/>
          <w:szCs w:val="20"/>
        </w:rPr>
      </w:pPr>
    </w:p>
    <w:p w14:paraId="64CF1E8A" w14:textId="03B158AC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TANKS SITTING ON A CONCRETE PAD</w:t>
      </w:r>
    </w:p>
    <w:p w14:paraId="78D38D4A" w14:textId="77777777" w:rsidR="00345906" w:rsidRPr="00B3793C" w:rsidRDefault="00345906" w:rsidP="00B3793C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20" w:line="242" w:lineRule="auto"/>
        <w:ind w:right="360"/>
        <w:rPr>
          <w:sz w:val="20"/>
          <w:szCs w:val="20"/>
        </w:rPr>
      </w:pPr>
      <w:r w:rsidRPr="00B3793C">
        <w:rPr>
          <w:spacing w:val="-7"/>
          <w:sz w:val="20"/>
          <w:szCs w:val="20"/>
        </w:rPr>
        <w:t xml:space="preserve">One </w:t>
      </w:r>
      <w:r w:rsidRPr="00B3793C">
        <w:rPr>
          <w:sz w:val="20"/>
          <w:szCs w:val="20"/>
        </w:rPr>
        <w:t>sample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for</w:t>
      </w:r>
      <w:r w:rsidRPr="00B3793C">
        <w:rPr>
          <w:spacing w:val="-1"/>
          <w:sz w:val="20"/>
          <w:szCs w:val="20"/>
        </w:rPr>
        <w:t xml:space="preserve"> </w:t>
      </w:r>
      <w:r w:rsidRPr="00B3793C">
        <w:rPr>
          <w:b/>
          <w:sz w:val="20"/>
          <w:szCs w:val="20"/>
          <w:u w:val="single"/>
        </w:rPr>
        <w:t>each</w:t>
      </w:r>
      <w:r w:rsidRPr="00B3793C">
        <w:rPr>
          <w:b/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tank,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taken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directly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off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concrete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pad,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on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fill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end side of the tank or at the remote fill.</w:t>
      </w:r>
    </w:p>
    <w:p w14:paraId="66E04512" w14:textId="77777777" w:rsidR="00345906" w:rsidRPr="00B3793C" w:rsidRDefault="00345906" w:rsidP="00B3793C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120" w:line="265" w:lineRule="exact"/>
        <w:ind w:right="360"/>
        <w:rPr>
          <w:sz w:val="20"/>
          <w:szCs w:val="20"/>
        </w:rPr>
      </w:pPr>
      <w:r w:rsidRPr="00B3793C">
        <w:rPr>
          <w:spacing w:val="-7"/>
          <w:sz w:val="20"/>
          <w:szCs w:val="20"/>
        </w:rPr>
        <w:t xml:space="preserve">One </w:t>
      </w:r>
      <w:r w:rsidRPr="00B3793C">
        <w:rPr>
          <w:sz w:val="20"/>
          <w:szCs w:val="20"/>
        </w:rPr>
        <w:t>sample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down-gradient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of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pacing w:val="-2"/>
          <w:sz w:val="20"/>
          <w:szCs w:val="20"/>
        </w:rPr>
        <w:t>tanks.</w:t>
      </w:r>
    </w:p>
    <w:p w14:paraId="4D50D9AD" w14:textId="360CB696" w:rsidR="00B3793C" w:rsidRPr="00B3793C" w:rsidRDefault="00B3793C" w:rsidP="00B3793C">
      <w:pPr>
        <w:spacing w:before="216"/>
        <w:ind w:right="360"/>
        <w:rPr>
          <w:rFonts w:eastAsia="Times New Roman"/>
          <w:b/>
          <w:sz w:val="20"/>
          <w:szCs w:val="20"/>
        </w:rPr>
      </w:pPr>
    </w:p>
    <w:p w14:paraId="130EDE39" w14:textId="46DDFD72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TANKS ON A CONCRETE PAD IN A STEEL OR CONCRETE CONTAINMENT DIKE</w:t>
      </w:r>
    </w:p>
    <w:p w14:paraId="3C6FEE39" w14:textId="77777777" w:rsidR="00345906" w:rsidRPr="00B3793C" w:rsidRDefault="00345906" w:rsidP="00B3793C">
      <w:pPr>
        <w:pStyle w:val="ListParagraph"/>
        <w:numPr>
          <w:ilvl w:val="0"/>
          <w:numId w:val="6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00B3793C">
        <w:rPr>
          <w:sz w:val="20"/>
          <w:szCs w:val="20"/>
        </w:rPr>
        <w:t>Sample where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piping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enters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containment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(over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or</w:t>
      </w:r>
      <w:r w:rsidRPr="00B3793C">
        <w:rPr>
          <w:spacing w:val="-8"/>
          <w:sz w:val="20"/>
          <w:szCs w:val="20"/>
        </w:rPr>
        <w:t xml:space="preserve"> </w:t>
      </w:r>
      <w:r w:rsidRPr="00B3793C">
        <w:rPr>
          <w:sz w:val="20"/>
          <w:szCs w:val="20"/>
        </w:rPr>
        <w:t>through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pacing w:val="-2"/>
          <w:sz w:val="20"/>
          <w:szCs w:val="20"/>
        </w:rPr>
        <w:t>wall).</w:t>
      </w:r>
    </w:p>
    <w:p w14:paraId="2D12DF6B" w14:textId="77777777" w:rsidR="00345906" w:rsidRPr="00B3793C" w:rsidRDefault="00345906" w:rsidP="00B3793C">
      <w:pPr>
        <w:pStyle w:val="ListParagraph"/>
        <w:numPr>
          <w:ilvl w:val="0"/>
          <w:numId w:val="6"/>
        </w:numPr>
        <w:tabs>
          <w:tab w:val="left" w:pos="840"/>
          <w:tab w:val="left" w:pos="842"/>
        </w:tabs>
        <w:spacing w:before="120" w:line="269" w:lineRule="exact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Sample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at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remote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fill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 xml:space="preserve">(if </w:t>
      </w:r>
      <w:r w:rsidRPr="00B3793C">
        <w:rPr>
          <w:spacing w:val="-2"/>
          <w:sz w:val="20"/>
          <w:szCs w:val="20"/>
        </w:rPr>
        <w:t>applicable).</w:t>
      </w:r>
    </w:p>
    <w:p w14:paraId="4811D620" w14:textId="77777777" w:rsidR="00345906" w:rsidRPr="00B3793C" w:rsidRDefault="00345906" w:rsidP="00B3793C">
      <w:pPr>
        <w:pStyle w:val="ListParagraph"/>
        <w:numPr>
          <w:ilvl w:val="0"/>
          <w:numId w:val="6"/>
        </w:numPr>
        <w:tabs>
          <w:tab w:val="left" w:pos="841"/>
          <w:tab w:val="left" w:pos="842"/>
        </w:tabs>
        <w:spacing w:before="120" w:line="268" w:lineRule="exact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Sample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at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any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opening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in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dike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(i.e.,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drains,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pacing w:val="-2"/>
          <w:sz w:val="20"/>
          <w:szCs w:val="20"/>
        </w:rPr>
        <w:t>cracks).</w:t>
      </w:r>
    </w:p>
    <w:p w14:paraId="5DF5E00A" w14:textId="0B6D1AA2" w:rsidR="00B3793C" w:rsidRPr="00B3793C" w:rsidRDefault="00345906" w:rsidP="00B3793C">
      <w:pPr>
        <w:pStyle w:val="ListParagraph"/>
        <w:numPr>
          <w:ilvl w:val="0"/>
          <w:numId w:val="6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00B3793C">
        <w:rPr>
          <w:spacing w:val="-7"/>
          <w:sz w:val="20"/>
          <w:szCs w:val="20"/>
        </w:rPr>
        <w:t xml:space="preserve">One </w:t>
      </w:r>
      <w:r w:rsidRPr="00B3793C">
        <w:rPr>
          <w:sz w:val="20"/>
          <w:szCs w:val="20"/>
        </w:rPr>
        <w:t>sample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taken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down-</w:t>
      </w:r>
      <w:r w:rsidRPr="00B3793C">
        <w:rPr>
          <w:spacing w:val="-2"/>
          <w:sz w:val="20"/>
          <w:szCs w:val="20"/>
        </w:rPr>
        <w:t>gradient.</w:t>
      </w:r>
    </w:p>
    <w:p w14:paraId="7E4D5DB0" w14:textId="77777777" w:rsidR="00B3793C" w:rsidRDefault="00B3793C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</w:p>
    <w:p w14:paraId="7A0D3D83" w14:textId="17F071E0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ABOVEGROUND PIPING</w:t>
      </w:r>
    </w:p>
    <w:p w14:paraId="68FDBE0D" w14:textId="77777777" w:rsidR="00345906" w:rsidRPr="00B3793C" w:rsidRDefault="00345906" w:rsidP="00B3793C">
      <w:pPr>
        <w:pStyle w:val="ListParagraph"/>
        <w:numPr>
          <w:ilvl w:val="0"/>
          <w:numId w:val="7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00B3793C">
        <w:rPr>
          <w:sz w:val="20"/>
          <w:szCs w:val="20"/>
        </w:rPr>
        <w:t>Sample in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locations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with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visible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pacing w:val="-2"/>
          <w:sz w:val="20"/>
          <w:szCs w:val="20"/>
        </w:rPr>
        <w:t>staining.</w:t>
      </w:r>
    </w:p>
    <w:p w14:paraId="62F18E6E" w14:textId="00EE4DD2" w:rsidR="00B3793C" w:rsidRPr="00B3793C" w:rsidRDefault="00B3793C" w:rsidP="00B3793C">
      <w:pPr>
        <w:spacing w:before="216"/>
        <w:ind w:right="360"/>
        <w:rPr>
          <w:rFonts w:eastAsia="Times New Roman"/>
          <w:b/>
          <w:sz w:val="20"/>
          <w:szCs w:val="20"/>
        </w:rPr>
      </w:pPr>
    </w:p>
    <w:p w14:paraId="2D8633B8" w14:textId="7799D0F0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UNDERGROUND PIPING</w:t>
      </w:r>
    </w:p>
    <w:p w14:paraId="107AF0FD" w14:textId="77777777" w:rsidR="00345906" w:rsidRPr="00B3793C" w:rsidRDefault="00345906" w:rsidP="00B3793C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Sample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at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joints,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elbows,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or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at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least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every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20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pacing w:val="-4"/>
          <w:sz w:val="20"/>
          <w:szCs w:val="20"/>
        </w:rPr>
        <w:t>feet.</w:t>
      </w:r>
    </w:p>
    <w:p w14:paraId="577BD6E7" w14:textId="77777777" w:rsidR="00345906" w:rsidRPr="00B3793C" w:rsidRDefault="00345906" w:rsidP="00B3793C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Sample excavated backfill from lines to determine if it can be returned to the line trench(es).</w:t>
      </w:r>
      <w:r w:rsidRPr="00B3793C">
        <w:rPr>
          <w:spacing w:val="-1"/>
          <w:sz w:val="20"/>
          <w:szCs w:val="20"/>
        </w:rPr>
        <w:t xml:space="preserve"> </w:t>
      </w:r>
      <w:r w:rsidRPr="00B3793C">
        <w:rPr>
          <w:sz w:val="20"/>
          <w:szCs w:val="20"/>
        </w:rPr>
        <w:t>Contact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7"/>
          <w:sz w:val="20"/>
          <w:szCs w:val="20"/>
        </w:rPr>
        <w:t xml:space="preserve"> </w:t>
      </w:r>
      <w:r w:rsidRPr="00B3793C">
        <w:rPr>
          <w:sz w:val="20"/>
          <w:szCs w:val="20"/>
        </w:rPr>
        <w:t>Technical</w:t>
      </w:r>
      <w:r w:rsidRPr="00B3793C">
        <w:rPr>
          <w:spacing w:val="-6"/>
          <w:sz w:val="20"/>
          <w:szCs w:val="20"/>
        </w:rPr>
        <w:t xml:space="preserve"> </w:t>
      </w:r>
      <w:r w:rsidRPr="00B3793C">
        <w:rPr>
          <w:sz w:val="20"/>
          <w:szCs w:val="20"/>
        </w:rPr>
        <w:t>Department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prior</w:t>
      </w:r>
      <w:r w:rsidRPr="00B3793C">
        <w:rPr>
          <w:spacing w:val="-4"/>
          <w:sz w:val="20"/>
          <w:szCs w:val="20"/>
        </w:rPr>
        <w:t xml:space="preserve"> </w:t>
      </w:r>
      <w:r w:rsidRPr="00B3793C">
        <w:rPr>
          <w:sz w:val="20"/>
          <w:szCs w:val="20"/>
        </w:rPr>
        <w:t>to</w:t>
      </w:r>
      <w:r w:rsidRPr="00B3793C">
        <w:rPr>
          <w:spacing w:val="-5"/>
          <w:sz w:val="20"/>
          <w:szCs w:val="20"/>
        </w:rPr>
        <w:t xml:space="preserve"> the </w:t>
      </w:r>
      <w:r w:rsidRPr="00B3793C">
        <w:rPr>
          <w:sz w:val="20"/>
          <w:szCs w:val="20"/>
        </w:rPr>
        <w:t>over-excavation</w:t>
      </w:r>
      <w:r w:rsidRPr="00B3793C">
        <w:rPr>
          <w:spacing w:val="-3"/>
          <w:sz w:val="20"/>
          <w:szCs w:val="20"/>
        </w:rPr>
        <w:t xml:space="preserve"> </w:t>
      </w:r>
      <w:r w:rsidRPr="00B3793C">
        <w:rPr>
          <w:sz w:val="20"/>
          <w:szCs w:val="20"/>
        </w:rPr>
        <w:t xml:space="preserve">of the line trench(es). Collect one composite sample (made up of 10 grab samples) every 50 cubic </w:t>
      </w:r>
      <w:r w:rsidRPr="00B3793C">
        <w:rPr>
          <w:spacing w:val="-2"/>
          <w:sz w:val="20"/>
          <w:szCs w:val="20"/>
        </w:rPr>
        <w:t>yards.</w:t>
      </w:r>
    </w:p>
    <w:p w14:paraId="6F89BA7B" w14:textId="77777777" w:rsidR="00B3793C" w:rsidRDefault="00B3793C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</w:p>
    <w:p w14:paraId="44F03036" w14:textId="693D4B96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DISPENSERS</w:t>
      </w:r>
    </w:p>
    <w:p w14:paraId="4D766EB8" w14:textId="77777777" w:rsidR="00345906" w:rsidRPr="00B3793C" w:rsidRDefault="00345906" w:rsidP="00B3793C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20" w:line="267" w:lineRule="exact"/>
        <w:ind w:right="360"/>
        <w:rPr>
          <w:sz w:val="20"/>
          <w:szCs w:val="20"/>
        </w:rPr>
      </w:pPr>
      <w:r w:rsidRPr="00B3793C">
        <w:rPr>
          <w:spacing w:val="-2"/>
          <w:sz w:val="20"/>
          <w:szCs w:val="20"/>
        </w:rPr>
        <w:t xml:space="preserve">One sample beneath </w:t>
      </w:r>
      <w:r w:rsidRPr="00B3793C">
        <w:rPr>
          <w:sz w:val="20"/>
          <w:szCs w:val="20"/>
        </w:rPr>
        <w:t>each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dispenser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on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the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z w:val="20"/>
          <w:szCs w:val="20"/>
        </w:rPr>
        <w:t>supply</w:t>
      </w:r>
      <w:r w:rsidRPr="00B3793C">
        <w:rPr>
          <w:spacing w:val="-5"/>
          <w:sz w:val="20"/>
          <w:szCs w:val="20"/>
        </w:rPr>
        <w:t xml:space="preserve"> </w:t>
      </w:r>
      <w:r w:rsidRPr="00B3793C">
        <w:rPr>
          <w:spacing w:val="-4"/>
          <w:sz w:val="20"/>
          <w:szCs w:val="20"/>
        </w:rPr>
        <w:t>side.</w:t>
      </w:r>
    </w:p>
    <w:p w14:paraId="53826049" w14:textId="77777777" w:rsidR="00345906" w:rsidRPr="00B3793C" w:rsidRDefault="00345906" w:rsidP="00B3793C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20" w:line="249" w:lineRule="auto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If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dispensers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are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located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within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15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feet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of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each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other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on</w:t>
      </w:r>
      <w:r w:rsidRPr="00B3793C">
        <w:rPr>
          <w:spacing w:val="-2"/>
          <w:sz w:val="20"/>
          <w:szCs w:val="20"/>
        </w:rPr>
        <w:t xml:space="preserve"> the </w:t>
      </w:r>
      <w:r w:rsidRPr="00B3793C">
        <w:rPr>
          <w:sz w:val="20"/>
          <w:szCs w:val="20"/>
        </w:rPr>
        <w:t>same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fuel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island,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collect</w:t>
      </w:r>
      <w:r w:rsidRPr="00B3793C">
        <w:rPr>
          <w:spacing w:val="-2"/>
          <w:sz w:val="20"/>
          <w:szCs w:val="20"/>
        </w:rPr>
        <w:t xml:space="preserve"> </w:t>
      </w:r>
      <w:r w:rsidRPr="00B3793C">
        <w:rPr>
          <w:sz w:val="20"/>
          <w:szCs w:val="20"/>
        </w:rPr>
        <w:t>one sample per fuel island on the supply side.</w:t>
      </w:r>
    </w:p>
    <w:p w14:paraId="6C498B5D" w14:textId="77777777" w:rsidR="00B3793C" w:rsidRDefault="00B3793C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</w:p>
    <w:p w14:paraId="4BB4A962" w14:textId="46D2A94B" w:rsidR="00345906" w:rsidRPr="00B3793C" w:rsidRDefault="00345906" w:rsidP="00B3793C">
      <w:pPr>
        <w:spacing w:before="216"/>
        <w:ind w:left="217" w:right="360"/>
        <w:jc w:val="center"/>
        <w:rPr>
          <w:rFonts w:eastAsia="Times New Roman"/>
          <w:b/>
          <w:sz w:val="24"/>
          <w:szCs w:val="24"/>
        </w:rPr>
      </w:pPr>
      <w:r w:rsidRPr="00B3793C">
        <w:rPr>
          <w:rFonts w:eastAsia="Times New Roman"/>
          <w:b/>
          <w:sz w:val="24"/>
          <w:szCs w:val="24"/>
        </w:rPr>
        <w:t>SAMPLES</w:t>
      </w:r>
    </w:p>
    <w:p w14:paraId="6CD2FEC6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jc w:val="both"/>
        <w:rPr>
          <w:sz w:val="20"/>
          <w:szCs w:val="20"/>
        </w:rPr>
      </w:pPr>
      <w:r w:rsidRPr="00B3793C">
        <w:rPr>
          <w:bCs/>
          <w:sz w:val="20"/>
          <w:szCs w:val="20"/>
        </w:rPr>
        <w:t>All</w:t>
      </w:r>
      <w:r w:rsidRPr="00B3793C">
        <w:rPr>
          <w:bCs/>
          <w:spacing w:val="-1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samples</w:t>
      </w:r>
      <w:r w:rsidRPr="00B3793C">
        <w:rPr>
          <w:bCs/>
          <w:spacing w:val="-3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should</w:t>
      </w:r>
      <w:r w:rsidRPr="00B3793C">
        <w:rPr>
          <w:bCs/>
          <w:spacing w:val="-1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be</w:t>
      </w:r>
      <w:r w:rsidRPr="00B3793C">
        <w:rPr>
          <w:bCs/>
          <w:spacing w:val="-5"/>
          <w:sz w:val="20"/>
          <w:szCs w:val="20"/>
        </w:rPr>
        <w:t xml:space="preserve"> </w:t>
      </w:r>
      <w:r w:rsidRPr="00B3793C">
        <w:rPr>
          <w:bCs/>
          <w:spacing w:val="-4"/>
          <w:sz w:val="20"/>
          <w:szCs w:val="20"/>
        </w:rPr>
        <w:t xml:space="preserve">collected </w:t>
      </w:r>
      <w:r w:rsidRPr="00B3793C">
        <w:rPr>
          <w:bCs/>
          <w:sz w:val="20"/>
          <w:szCs w:val="20"/>
        </w:rPr>
        <w:t>1-1/2</w:t>
      </w:r>
      <w:r w:rsidRPr="00B3793C">
        <w:rPr>
          <w:bCs/>
          <w:spacing w:val="-5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to</w:t>
      </w:r>
      <w:r w:rsidRPr="00B3793C">
        <w:rPr>
          <w:bCs/>
          <w:spacing w:val="-2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2</w:t>
      </w:r>
      <w:r w:rsidRPr="00B3793C">
        <w:rPr>
          <w:bCs/>
          <w:spacing w:val="-4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feet</w:t>
      </w:r>
      <w:r w:rsidRPr="00B3793C">
        <w:rPr>
          <w:bCs/>
          <w:spacing w:val="-1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deep</w:t>
      </w:r>
      <w:r w:rsidRPr="00B3793C">
        <w:rPr>
          <w:bCs/>
          <w:spacing w:val="-4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into</w:t>
      </w:r>
      <w:r w:rsidRPr="00B3793C">
        <w:rPr>
          <w:bCs/>
          <w:spacing w:val="-5"/>
          <w:sz w:val="20"/>
          <w:szCs w:val="20"/>
        </w:rPr>
        <w:t xml:space="preserve"> </w:t>
      </w:r>
      <w:r w:rsidRPr="00B3793C">
        <w:rPr>
          <w:bCs/>
          <w:sz w:val="20"/>
          <w:szCs w:val="20"/>
        </w:rPr>
        <w:t>native</w:t>
      </w:r>
      <w:r w:rsidRPr="00B3793C">
        <w:rPr>
          <w:bCs/>
          <w:spacing w:val="-2"/>
          <w:sz w:val="20"/>
          <w:szCs w:val="20"/>
        </w:rPr>
        <w:t xml:space="preserve"> </w:t>
      </w:r>
      <w:r w:rsidRPr="00B3793C">
        <w:rPr>
          <w:bCs/>
          <w:spacing w:val="-4"/>
          <w:sz w:val="20"/>
          <w:szCs w:val="20"/>
        </w:rPr>
        <w:t>soil.</w:t>
      </w:r>
    </w:p>
    <w:p w14:paraId="7584DA87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jc w:val="both"/>
        <w:rPr>
          <w:sz w:val="20"/>
          <w:szCs w:val="20"/>
        </w:rPr>
      </w:pPr>
      <w:r w:rsidRPr="00B3793C">
        <w:rPr>
          <w:sz w:val="20"/>
          <w:szCs w:val="20"/>
        </w:rPr>
        <w:t>BTEX analysis of soil samples by EPA methods 8021 or 8260, or TPH-GRO analysis of soil samples by the OK DEQ GRO method should be collected in accordance with EPA Method 5035A.</w:t>
      </w:r>
    </w:p>
    <w:p w14:paraId="04C05CC4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BTEX analysis of water samples by EPA methods 8021 or 8260, or TPH-GRO analysis of water samples by the OK DEQ GRO method should be collected in accordance with EPA Method 5030C.</w:t>
      </w:r>
    </w:p>
    <w:p w14:paraId="62B37815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jc w:val="both"/>
        <w:rPr>
          <w:sz w:val="20"/>
          <w:szCs w:val="20"/>
        </w:rPr>
      </w:pPr>
      <w:r w:rsidRPr="00B3793C">
        <w:rPr>
          <w:sz w:val="20"/>
          <w:szCs w:val="20"/>
        </w:rPr>
        <w:t>TPH-DRO analysis of samples should be collected and analyzed in accordance with the OK DEQ DRO method.</w:t>
      </w:r>
    </w:p>
    <w:p w14:paraId="1A12B644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 xml:space="preserve">Alternatively, TPH can be collected and analyzed in accordance with method TNRCC 1005 </w:t>
      </w:r>
      <w:proofErr w:type="gramStart"/>
      <w:r w:rsidRPr="00B3793C">
        <w:rPr>
          <w:sz w:val="20"/>
          <w:szCs w:val="20"/>
        </w:rPr>
        <w:t>as long as</w:t>
      </w:r>
      <w:proofErr w:type="gramEnd"/>
      <w:r w:rsidRPr="00B3793C">
        <w:rPr>
          <w:sz w:val="20"/>
          <w:szCs w:val="20"/>
        </w:rPr>
        <w:t xml:space="preserve"> the laboratory’s reporting limit meets the OCC action levels for low concentration samples.</w:t>
      </w:r>
    </w:p>
    <w:p w14:paraId="5AE7131D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All samples should be analyzed for BTEX and the appropriate TPH range(s).</w:t>
      </w:r>
    </w:p>
    <w:p w14:paraId="6DD51327" w14:textId="77777777" w:rsidR="00345906" w:rsidRPr="00B3793C" w:rsidRDefault="00345906" w:rsidP="00B3793C">
      <w:pPr>
        <w:pStyle w:val="ListParagraph"/>
        <w:numPr>
          <w:ilvl w:val="0"/>
          <w:numId w:val="9"/>
        </w:numPr>
        <w:tabs>
          <w:tab w:val="left" w:pos="938"/>
        </w:tabs>
        <w:spacing w:before="120"/>
        <w:ind w:right="360"/>
        <w:rPr>
          <w:sz w:val="20"/>
          <w:szCs w:val="20"/>
        </w:rPr>
      </w:pPr>
      <w:r w:rsidRPr="00B3793C">
        <w:rPr>
          <w:sz w:val="20"/>
          <w:szCs w:val="20"/>
        </w:rPr>
        <w:t>All samples should be analyzed by a laboratory that has current DEQ accreditations for the matrix, method, and analyte of the specific analysis being performed.</w:t>
      </w:r>
    </w:p>
    <w:p w14:paraId="224CB448" w14:textId="77777777" w:rsidR="009D3AFA" w:rsidRPr="00B3793C" w:rsidRDefault="00641E39" w:rsidP="00B3793C">
      <w:pPr>
        <w:ind w:right="360"/>
        <w:rPr>
          <w:sz w:val="20"/>
          <w:szCs w:val="20"/>
        </w:rPr>
      </w:pPr>
    </w:p>
    <w:p w14:paraId="0F6C2D83" w14:textId="1516630C" w:rsidR="00938F47" w:rsidRDefault="00938F47" w:rsidP="00938F47">
      <w:pPr>
        <w:ind w:right="360"/>
        <w:rPr>
          <w:sz w:val="20"/>
          <w:szCs w:val="20"/>
        </w:rPr>
      </w:pPr>
    </w:p>
    <w:p w14:paraId="5D40C6FA" w14:textId="2BDA1DC4" w:rsidR="6C7BE184" w:rsidRDefault="6C7BE184" w:rsidP="00938F47">
      <w:pPr>
        <w:ind w:right="360"/>
        <w:jc w:val="center"/>
      </w:pPr>
      <w:r w:rsidRPr="00938F47">
        <w:rPr>
          <w:rFonts w:ascii="Arial Black" w:eastAsia="Arial Black" w:hAnsi="Arial Black" w:cs="Arial Black"/>
          <w:color w:val="365F91"/>
          <w:sz w:val="32"/>
          <w:szCs w:val="32"/>
        </w:rPr>
        <w:t xml:space="preserve">CHANGE IN SERVICE REQUIREMENTS </w:t>
      </w:r>
    </w:p>
    <w:p w14:paraId="52E5E660" w14:textId="569BE118" w:rsidR="002F24B4" w:rsidRPr="002F24B4" w:rsidRDefault="6C7BE184" w:rsidP="002F24B4">
      <w:pPr>
        <w:ind w:right="360"/>
      </w:pPr>
      <w:r w:rsidRPr="00938F47">
        <w:rPr>
          <w:color w:val="365F91"/>
          <w:sz w:val="24"/>
          <w:szCs w:val="24"/>
        </w:rPr>
        <w:t xml:space="preserve"> </w:t>
      </w:r>
    </w:p>
    <w:p w14:paraId="58C3D61A" w14:textId="2DFB8125" w:rsidR="002F24B4" w:rsidRDefault="002F24B4" w:rsidP="002F24B4">
      <w:pPr>
        <w:spacing w:line="259" w:lineRule="auto"/>
        <w:ind w:right="360"/>
        <w:rPr>
          <w:sz w:val="20"/>
          <w:szCs w:val="20"/>
        </w:rPr>
      </w:pPr>
      <w:r w:rsidRPr="5C5D71A1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completing </w:t>
      </w:r>
      <w:r w:rsidRPr="5C5D71A1">
        <w:rPr>
          <w:sz w:val="20"/>
          <w:szCs w:val="20"/>
        </w:rPr>
        <w:t>a change in service</w:t>
      </w:r>
      <w:r>
        <w:rPr>
          <w:sz w:val="20"/>
          <w:szCs w:val="20"/>
        </w:rPr>
        <w:t xml:space="preserve"> for an </w:t>
      </w:r>
      <w:r>
        <w:rPr>
          <w:sz w:val="20"/>
          <w:szCs w:val="20"/>
        </w:rPr>
        <w:t>A</w:t>
      </w:r>
      <w:r>
        <w:rPr>
          <w:sz w:val="20"/>
          <w:szCs w:val="20"/>
        </w:rPr>
        <w:t>ST</w:t>
      </w:r>
      <w:r w:rsidRPr="5C5D71A1">
        <w:rPr>
          <w:sz w:val="20"/>
          <w:szCs w:val="20"/>
        </w:rPr>
        <w:t xml:space="preserve">, that is </w:t>
      </w:r>
      <w:r>
        <w:rPr>
          <w:sz w:val="20"/>
          <w:szCs w:val="20"/>
        </w:rPr>
        <w:t xml:space="preserve">going </w:t>
      </w:r>
      <w:r w:rsidRPr="5C5D71A1">
        <w:rPr>
          <w:sz w:val="20"/>
          <w:szCs w:val="20"/>
        </w:rPr>
        <w:t xml:space="preserve">from currently in use </w:t>
      </w:r>
      <w:r>
        <w:rPr>
          <w:sz w:val="20"/>
          <w:szCs w:val="20"/>
        </w:rPr>
        <w:t xml:space="preserve">status </w:t>
      </w:r>
      <w:r w:rsidRPr="5C5D71A1">
        <w:rPr>
          <w:sz w:val="20"/>
          <w:szCs w:val="20"/>
        </w:rPr>
        <w:t>to temporarily out of use</w:t>
      </w:r>
      <w:r>
        <w:rPr>
          <w:sz w:val="20"/>
          <w:szCs w:val="20"/>
        </w:rPr>
        <w:t xml:space="preserve"> status</w:t>
      </w:r>
      <w:r w:rsidRPr="5C5D71A1">
        <w:rPr>
          <w:sz w:val="20"/>
          <w:szCs w:val="20"/>
        </w:rPr>
        <w:t xml:space="preserve">, the following options are </w:t>
      </w:r>
      <w:r>
        <w:rPr>
          <w:sz w:val="20"/>
          <w:szCs w:val="20"/>
        </w:rPr>
        <w:t>available</w:t>
      </w:r>
      <w:r w:rsidRPr="5C5D71A1">
        <w:rPr>
          <w:sz w:val="20"/>
          <w:szCs w:val="20"/>
        </w:rPr>
        <w:t xml:space="preserve"> achieve compliance</w:t>
      </w:r>
      <w:r>
        <w:rPr>
          <w:sz w:val="20"/>
          <w:szCs w:val="20"/>
        </w:rPr>
        <w:t xml:space="preserve"> with OAC 165:2</w:t>
      </w:r>
      <w:r>
        <w:rPr>
          <w:sz w:val="20"/>
          <w:szCs w:val="20"/>
        </w:rPr>
        <w:t>6-2-</w:t>
      </w:r>
      <w:r w:rsidR="00641E39">
        <w:rPr>
          <w:sz w:val="20"/>
          <w:szCs w:val="20"/>
        </w:rPr>
        <w:t>214</w:t>
      </w:r>
      <w:r>
        <w:rPr>
          <w:sz w:val="20"/>
          <w:szCs w:val="20"/>
        </w:rPr>
        <w:t>.</w:t>
      </w:r>
    </w:p>
    <w:p w14:paraId="6BF98C7E" w14:textId="77777777" w:rsidR="002F24B4" w:rsidRDefault="002F24B4" w:rsidP="002F24B4">
      <w:pPr>
        <w:pStyle w:val="ListParagraph"/>
        <w:numPr>
          <w:ilvl w:val="0"/>
          <w:numId w:val="4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5C5D71A1">
        <w:rPr>
          <w:sz w:val="20"/>
          <w:szCs w:val="20"/>
        </w:rPr>
        <w:t xml:space="preserve">Conduct a complete site assessment with sampling locations meeting the above-mentioned </w:t>
      </w:r>
      <w:proofErr w:type="gramStart"/>
      <w:r w:rsidRPr="5C5D71A1">
        <w:rPr>
          <w:sz w:val="20"/>
          <w:szCs w:val="20"/>
        </w:rPr>
        <w:t>requirements</w:t>
      </w:r>
      <w:r>
        <w:rPr>
          <w:sz w:val="20"/>
          <w:szCs w:val="20"/>
        </w:rPr>
        <w:t>;</w:t>
      </w:r>
      <w:proofErr w:type="gramEnd"/>
    </w:p>
    <w:p w14:paraId="5F8FB0F0" w14:textId="77777777" w:rsidR="002F24B4" w:rsidRDefault="002F24B4" w:rsidP="002F24B4">
      <w:pPr>
        <w:pStyle w:val="ListParagraph"/>
        <w:numPr>
          <w:ilvl w:val="0"/>
          <w:numId w:val="4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5C5D71A1">
        <w:rPr>
          <w:sz w:val="20"/>
          <w:szCs w:val="20"/>
        </w:rPr>
        <w:t xml:space="preserve">Provide twelve (12) </w:t>
      </w:r>
      <w:r>
        <w:rPr>
          <w:sz w:val="20"/>
          <w:szCs w:val="20"/>
        </w:rPr>
        <w:t xml:space="preserve">continuous </w:t>
      </w:r>
      <w:r w:rsidRPr="5C5D71A1">
        <w:rPr>
          <w:sz w:val="20"/>
          <w:szCs w:val="20"/>
        </w:rPr>
        <w:t xml:space="preserve">periods of compliant 30-day release detection for </w:t>
      </w:r>
      <w:r w:rsidRPr="5C5D71A1">
        <w:rPr>
          <w:b/>
          <w:bCs/>
          <w:sz w:val="20"/>
          <w:szCs w:val="20"/>
          <w:u w:val="single"/>
        </w:rPr>
        <w:t>ALL</w:t>
      </w:r>
      <w:r w:rsidRPr="5C5D71A1">
        <w:rPr>
          <w:sz w:val="20"/>
          <w:szCs w:val="20"/>
        </w:rPr>
        <w:t xml:space="preserve"> tanks and lines that will be subject to the change in service</w:t>
      </w:r>
      <w:r>
        <w:rPr>
          <w:sz w:val="20"/>
          <w:szCs w:val="20"/>
        </w:rPr>
        <w:t>; or</w:t>
      </w:r>
    </w:p>
    <w:p w14:paraId="2683C812" w14:textId="77777777" w:rsidR="002F24B4" w:rsidRDefault="002F24B4" w:rsidP="002F24B4">
      <w:pPr>
        <w:pStyle w:val="ListParagraph"/>
        <w:numPr>
          <w:ilvl w:val="0"/>
          <w:numId w:val="4"/>
        </w:numPr>
        <w:tabs>
          <w:tab w:val="left" w:pos="938"/>
        </w:tabs>
        <w:spacing w:before="120" w:line="251" w:lineRule="exact"/>
        <w:ind w:right="360"/>
        <w:jc w:val="both"/>
        <w:rPr>
          <w:sz w:val="20"/>
          <w:szCs w:val="20"/>
        </w:rPr>
      </w:pPr>
      <w:r w:rsidRPr="5C5D71A1">
        <w:rPr>
          <w:sz w:val="20"/>
          <w:szCs w:val="20"/>
        </w:rPr>
        <w:t xml:space="preserve">Perform a tank tightness test and line tightness test for </w:t>
      </w:r>
      <w:r w:rsidRPr="5C5D71A1">
        <w:rPr>
          <w:b/>
          <w:bCs/>
          <w:sz w:val="20"/>
          <w:szCs w:val="20"/>
          <w:u w:val="single"/>
        </w:rPr>
        <w:t>ALL</w:t>
      </w:r>
      <w:r w:rsidRPr="5C5D71A1">
        <w:rPr>
          <w:sz w:val="20"/>
          <w:szCs w:val="20"/>
        </w:rPr>
        <w:t xml:space="preserve"> tanks and lines that will be subject to the change in service.</w:t>
      </w:r>
    </w:p>
    <w:p w14:paraId="02DC038F" w14:textId="3EFA9558" w:rsidR="00938F47" w:rsidRDefault="00938F47" w:rsidP="00938F47">
      <w:pPr>
        <w:ind w:right="360"/>
        <w:rPr>
          <w:sz w:val="20"/>
          <w:szCs w:val="20"/>
        </w:rPr>
      </w:pPr>
    </w:p>
    <w:sectPr w:rsidR="00938F47" w:rsidSect="00B3793C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E0F4" w14:textId="77777777" w:rsidR="009964D0" w:rsidRDefault="009964D0" w:rsidP="00345906">
      <w:r>
        <w:separator/>
      </w:r>
    </w:p>
  </w:endnote>
  <w:endnote w:type="continuationSeparator" w:id="0">
    <w:p w14:paraId="2829B4FA" w14:textId="77777777" w:rsidR="009964D0" w:rsidRDefault="009964D0" w:rsidP="0034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984" w14:textId="24A3559F" w:rsidR="00BD3454" w:rsidRDefault="00B3793C" w:rsidP="00345906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5F7C6D">
      <w:rPr>
        <w:b/>
        <w:sz w:val="20"/>
        <w:szCs w:val="20"/>
      </w:rPr>
      <w:t>AST Closure Sampling Requirements</w:t>
    </w:r>
    <w:r>
      <w:ptab w:relativeTo="margin" w:alignment="center" w:leader="none"/>
    </w:r>
    <w:r w:rsidRPr="005F7C6D">
      <w:rPr>
        <w:sz w:val="20"/>
        <w:szCs w:val="20"/>
      </w:rPr>
      <w:t xml:space="preserve">Page </w:t>
    </w:r>
    <w:r w:rsidRPr="005F7C6D">
      <w:rPr>
        <w:b/>
        <w:sz w:val="20"/>
        <w:szCs w:val="20"/>
      </w:rPr>
      <w:fldChar w:fldCharType="begin"/>
    </w:r>
    <w:r w:rsidRPr="005F7C6D">
      <w:rPr>
        <w:b/>
        <w:sz w:val="20"/>
        <w:szCs w:val="20"/>
      </w:rPr>
      <w:instrText xml:space="preserve"> PAGE  \* Arabic  \* MERGEFORMAT </w:instrText>
    </w:r>
    <w:r w:rsidRPr="005F7C6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5F7C6D">
      <w:rPr>
        <w:b/>
        <w:sz w:val="20"/>
        <w:szCs w:val="20"/>
      </w:rPr>
      <w:fldChar w:fldCharType="end"/>
    </w:r>
    <w:r w:rsidRPr="005F7C6D">
      <w:rPr>
        <w:b/>
        <w:sz w:val="20"/>
        <w:szCs w:val="20"/>
      </w:rPr>
      <w:t xml:space="preserve"> </w:t>
    </w:r>
    <w:r w:rsidRPr="005F7C6D">
      <w:rPr>
        <w:sz w:val="20"/>
        <w:szCs w:val="20"/>
      </w:rPr>
      <w:t xml:space="preserve">of </w:t>
    </w:r>
    <w:r w:rsidRPr="005F7C6D">
      <w:rPr>
        <w:b/>
        <w:sz w:val="20"/>
        <w:szCs w:val="20"/>
      </w:rPr>
      <w:fldChar w:fldCharType="begin"/>
    </w:r>
    <w:r w:rsidRPr="005F7C6D">
      <w:rPr>
        <w:b/>
        <w:sz w:val="20"/>
        <w:szCs w:val="20"/>
      </w:rPr>
      <w:instrText xml:space="preserve"> NUMPAGES   \* MERGEFORMAT </w:instrText>
    </w:r>
    <w:r w:rsidRPr="005F7C6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5F7C6D">
      <w:rPr>
        <w:b/>
        <w:sz w:val="20"/>
        <w:szCs w:val="20"/>
      </w:rPr>
      <w:fldChar w:fldCharType="end"/>
    </w:r>
    <w:r>
      <w:ptab w:relativeTo="margin" w:alignment="right" w:leader="none"/>
    </w:r>
    <w:r w:rsidRPr="005F7C6D">
      <w:rPr>
        <w:b/>
        <w:color w:val="2E74B5" w:themeColor="accent1" w:themeShade="BF"/>
        <w:sz w:val="20"/>
        <w:szCs w:val="20"/>
      </w:rPr>
      <w:t xml:space="preserve">Revised </w:t>
    </w:r>
    <w:r w:rsidR="002F24B4">
      <w:rPr>
        <w:b/>
        <w:color w:val="2E74B5" w:themeColor="accent1" w:themeShade="BF"/>
        <w:sz w:val="20"/>
        <w:szCs w:val="20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3C7D" w14:textId="77777777" w:rsidR="009964D0" w:rsidRDefault="009964D0" w:rsidP="00345906">
      <w:r>
        <w:separator/>
      </w:r>
    </w:p>
  </w:footnote>
  <w:footnote w:type="continuationSeparator" w:id="0">
    <w:p w14:paraId="33B15197" w14:textId="77777777" w:rsidR="009964D0" w:rsidRDefault="009964D0" w:rsidP="0034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8F2"/>
    <w:multiLevelType w:val="hybridMultilevel"/>
    <w:tmpl w:val="79FAE0B0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E3C"/>
    <w:multiLevelType w:val="hybridMultilevel"/>
    <w:tmpl w:val="FB4E9B14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CBF"/>
    <w:multiLevelType w:val="hybridMultilevel"/>
    <w:tmpl w:val="6A188724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FD95"/>
    <w:multiLevelType w:val="hybridMultilevel"/>
    <w:tmpl w:val="4D7631C8"/>
    <w:lvl w:ilvl="0" w:tplc="137E36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58E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8F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1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8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C1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41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8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A2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76F9"/>
    <w:multiLevelType w:val="hybridMultilevel"/>
    <w:tmpl w:val="1ABAB5E6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0013"/>
    <w:multiLevelType w:val="hybridMultilevel"/>
    <w:tmpl w:val="510E0818"/>
    <w:lvl w:ilvl="0" w:tplc="F55EB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76D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4B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88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2B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26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27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0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FFF3"/>
    <w:multiLevelType w:val="hybridMultilevel"/>
    <w:tmpl w:val="A5400CC4"/>
    <w:lvl w:ilvl="0" w:tplc="3D46F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66D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85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2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8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E3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23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5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9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44F5"/>
    <w:multiLevelType w:val="hybridMultilevel"/>
    <w:tmpl w:val="6E4E0F12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4ECF"/>
    <w:multiLevelType w:val="hybridMultilevel"/>
    <w:tmpl w:val="5B2066E8"/>
    <w:lvl w:ilvl="0" w:tplc="613E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854606">
    <w:abstractNumId w:val="3"/>
  </w:num>
  <w:num w:numId="2" w16cid:durableId="101993028">
    <w:abstractNumId w:val="6"/>
  </w:num>
  <w:num w:numId="3" w16cid:durableId="791751293">
    <w:abstractNumId w:val="5"/>
  </w:num>
  <w:num w:numId="4" w16cid:durableId="2074428356">
    <w:abstractNumId w:val="2"/>
  </w:num>
  <w:num w:numId="5" w16cid:durableId="48236862">
    <w:abstractNumId w:val="8"/>
  </w:num>
  <w:num w:numId="6" w16cid:durableId="1355421821">
    <w:abstractNumId w:val="4"/>
  </w:num>
  <w:num w:numId="7" w16cid:durableId="1986621666">
    <w:abstractNumId w:val="0"/>
  </w:num>
  <w:num w:numId="8" w16cid:durableId="493186088">
    <w:abstractNumId w:val="1"/>
  </w:num>
  <w:num w:numId="9" w16cid:durableId="1074353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TAxNzUxMzIzNzdR0lEKTi0uzszPAykwrgUAf5MkrSwAAAA="/>
  </w:docVars>
  <w:rsids>
    <w:rsidRoot w:val="00345906"/>
    <w:rsid w:val="000F10F5"/>
    <w:rsid w:val="00102975"/>
    <w:rsid w:val="002F24B4"/>
    <w:rsid w:val="00345906"/>
    <w:rsid w:val="004E46AE"/>
    <w:rsid w:val="00641E39"/>
    <w:rsid w:val="00938F47"/>
    <w:rsid w:val="009964D0"/>
    <w:rsid w:val="00A16CDC"/>
    <w:rsid w:val="00B3793C"/>
    <w:rsid w:val="5F9AE5D0"/>
    <w:rsid w:val="6C7BE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9A6A3B"/>
  <w15:chartTrackingRefBased/>
  <w15:docId w15:val="{3FA1D3F9-B9AA-4AB0-A8C1-B5F9B55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45906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906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45906"/>
    <w:pPr>
      <w:ind w:left="841" w:hanging="361"/>
    </w:pPr>
  </w:style>
  <w:style w:type="paragraph" w:styleId="Footer">
    <w:name w:val="footer"/>
    <w:basedOn w:val="Normal"/>
    <w:link w:val="FooterChar"/>
    <w:uiPriority w:val="99"/>
    <w:unhideWhenUsed/>
    <w:rsid w:val="00345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0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4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CAF2E73A20B4AA7373AAC2A38544B" ma:contentTypeVersion="14" ma:contentTypeDescription="Create a new document." ma:contentTypeScope="" ma:versionID="b7830db68f4c14a2d92addfe4eaf251f">
  <xsd:schema xmlns:xsd="http://www.w3.org/2001/XMLSchema" xmlns:xs="http://www.w3.org/2001/XMLSchema" xmlns:p="http://schemas.microsoft.com/office/2006/metadata/properties" xmlns:ns1="http://schemas.microsoft.com/sharepoint/v3" xmlns:ns3="602b2887-c6f2-4ac1-93b7-1e5a31376cda" xmlns:ns4="a135d356-4ec0-40e1-a5ad-22e9eecb7bcf" targetNamespace="http://schemas.microsoft.com/office/2006/metadata/properties" ma:root="true" ma:fieldsID="138b287ce6cc63e911fc5fb0c53d5bca" ns1:_="" ns3:_="" ns4:_="">
    <xsd:import namespace="http://schemas.microsoft.com/sharepoint/v3"/>
    <xsd:import namespace="602b2887-c6f2-4ac1-93b7-1e5a31376cda"/>
    <xsd:import namespace="a135d356-4ec0-40e1-a5ad-22e9eecb7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2887-c6f2-4ac1-93b7-1e5a31376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5d356-4ec0-40e1-a5ad-22e9eecb7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15FE-43A6-4B91-8C14-6CE36072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2b2887-c6f2-4ac1-93b7-1e5a31376cda"/>
    <ds:schemaRef ds:uri="a135d356-4ec0-40e1-a5ad-22e9eecb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82B30-B757-4155-8EFB-D41D7D1FF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7A2B2-F62E-454E-9E55-76A345339532}">
  <ds:schemaRefs>
    <ds:schemaRef ds:uri="http://schemas.openxmlformats.org/package/2006/metadata/core-properties"/>
    <ds:schemaRef ds:uri="http://schemas.microsoft.com/office/2006/documentManagement/types"/>
    <ds:schemaRef ds:uri="602b2887-c6f2-4ac1-93b7-1e5a31376cda"/>
    <ds:schemaRef ds:uri="http://purl.org/dc/elements/1.1/"/>
    <ds:schemaRef ds:uri="http://schemas.microsoft.com/office/2006/metadata/properties"/>
    <ds:schemaRef ds:uri="http://schemas.microsoft.com/sharepoint/v3"/>
    <ds:schemaRef ds:uri="a135d356-4ec0-40e1-a5ad-22e9eecb7bc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00028-ECCA-4876-B22C-B22BE54E3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>State of Oklahoma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Houston</dc:creator>
  <cp:keywords/>
  <dc:description/>
  <cp:lastModifiedBy>Brock Stuber</cp:lastModifiedBy>
  <cp:revision>5</cp:revision>
  <dcterms:created xsi:type="dcterms:W3CDTF">2022-11-02T19:22:00Z</dcterms:created>
  <dcterms:modified xsi:type="dcterms:W3CDTF">2024-05-03T20:29:00Z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0x010100493CAF2E73A20B4AA7373AAC2A38544B</vt:lpwstr>
  </property>
</Properties>
</file>