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AC" w:rsidRDefault="008C6819">
      <w:pPr>
        <w:rPr>
          <w:rFonts w:asciiTheme="majorHAnsi" w:hAnsiTheme="majorHAnsi"/>
          <w:smallCaps/>
          <w:color w:val="FE8637" w:themeColor="accent1"/>
          <w:spacing w:val="10"/>
          <w:sz w:val="48"/>
          <w:szCs w:val="48"/>
        </w:rPr>
      </w:pPr>
      <w:r w:rsidRPr="008C6819">
        <w:rPr>
          <w:rFonts w:ascii="Century Schoolbook" w:hAnsi="Century Schoolbook"/>
          <w:smallCaps/>
          <w:noProof/>
          <w:color w:val="4F271C"/>
          <w:spacing w:val="10"/>
          <w:sz w:val="32"/>
          <w:szCs w:val="32"/>
        </w:rPr>
        <w:pict>
          <v:rect id="_x0000_s1091" style="position:absolute;margin-left:0;margin-top:0;width:367.2pt;height:73.3pt;z-index:251674624;mso-width-percent:600;mso-position-horizontal:left;mso-position-horizontal-relative:margin;mso-position-vertical:bottom;mso-position-vertical-relative:margin;mso-width-percent:600" o:allowincell="f" stroked="f">
            <v:textbox style="mso-next-textbox:#_x0000_s1091">
              <w:txbxContent>
                <w:p w:rsidR="00475A31" w:rsidRDefault="00475A31" w:rsidP="00083B6C">
                  <w:pPr>
                    <w:spacing w:after="0"/>
                    <w:rPr>
                      <w:color w:val="E65B01" w:themeColor="accent1" w:themeShade="BF"/>
                      <w:sz w:val="24"/>
                      <w:szCs w:val="24"/>
                    </w:rPr>
                  </w:pPr>
                  <w:sdt>
                    <w:sdtPr>
                      <w:rPr>
                        <w:color w:val="E65B01" w:themeColor="accent1" w:themeShade="BF"/>
                        <w:sz w:val="24"/>
                        <w:szCs w:val="24"/>
                      </w:rPr>
                      <w:alias w:val="Author"/>
                      <w:id w:val="280430085"/>
                      <w:text/>
                    </w:sdtPr>
                    <w:sdtContent>
                      <w:r>
                        <w:rPr>
                          <w:color w:val="E65B01" w:themeColor="accent1" w:themeShade="BF"/>
                          <w:sz w:val="24"/>
                          <w:szCs w:val="24"/>
                        </w:rPr>
                        <w:t>Jennifer Han, Ph.D.</w:t>
                      </w:r>
                    </w:sdtContent>
                  </w:sdt>
                </w:p>
                <w:p w:rsidR="00475A31" w:rsidRDefault="00475A31" w:rsidP="00083B6C">
                  <w:pPr>
                    <w:spacing w:after="0"/>
                    <w:rPr>
                      <w:color w:val="E65B01" w:themeColor="accent1" w:themeShade="BF"/>
                      <w:sz w:val="24"/>
                      <w:szCs w:val="24"/>
                    </w:rPr>
                  </w:pPr>
                  <w:r>
                    <w:rPr>
                      <w:color w:val="E65B01" w:themeColor="accent1" w:themeShade="BF"/>
                      <w:sz w:val="24"/>
                      <w:szCs w:val="24"/>
                    </w:rPr>
                    <w:t>Community Epidemiology and Evaluation</w:t>
                  </w:r>
                </w:p>
                <w:p w:rsidR="00475A31" w:rsidRDefault="00475A31" w:rsidP="00083B6C">
                  <w:pPr>
                    <w:spacing w:after="0"/>
                    <w:rPr>
                      <w:color w:val="E65B01" w:themeColor="accent1" w:themeShade="BF"/>
                      <w:sz w:val="24"/>
                      <w:szCs w:val="24"/>
                    </w:rPr>
                  </w:pPr>
                  <w:r>
                    <w:rPr>
                      <w:color w:val="E65B01" w:themeColor="accent1" w:themeShade="BF"/>
                      <w:sz w:val="24"/>
                      <w:szCs w:val="24"/>
                    </w:rPr>
                    <w:t>Community and Family Health Service</w:t>
                  </w:r>
                </w:p>
                <w:p w:rsidR="00475A31" w:rsidRDefault="00475A31" w:rsidP="00083B6C">
                  <w:pPr>
                    <w:spacing w:after="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2-05-11T00:00:00Z">
                        <w:dateFormat w:val="M/d/yyyy"/>
                        <w:lid w:val="en-US"/>
                        <w:storeMappedDataAs w:val="dateTime"/>
                        <w:calendar w:val="gregorian"/>
                      </w:date>
                    </w:sdtPr>
                    <w:sdtContent>
                      <w:r>
                        <w:rPr>
                          <w:color w:val="E65B01" w:themeColor="accent1" w:themeShade="BF"/>
                          <w:sz w:val="24"/>
                          <w:szCs w:val="24"/>
                        </w:rPr>
                        <w:t>5/11/2012</w:t>
                      </w:r>
                    </w:sdtContent>
                  </w:sdt>
                </w:p>
              </w:txbxContent>
            </v:textbox>
            <w10:wrap anchorx="margin" anchory="margin"/>
          </v:rect>
        </w:pict>
      </w:r>
      <w:sdt>
        <w:sdtPr>
          <w:id w:val="726775094"/>
          <w:docPartObj>
            <w:docPartGallery w:val="Cover Pages"/>
            <w:docPartUnique/>
          </w:docPartObj>
        </w:sdtPr>
        <w:sdtContent>
          <w:r>
            <w:rPr>
              <w:rFonts w:asciiTheme="majorHAnsi" w:hAnsiTheme="majorHAnsi"/>
              <w:smallCaps/>
              <w:noProof/>
              <w:color w:val="FE8637" w:themeColor="accent1"/>
              <w:spacing w:val="10"/>
              <w:sz w:val="48"/>
              <w:szCs w:val="48"/>
              <w:lang w:eastAsia="en-US"/>
            </w:rPr>
            <w:pict>
              <v:rect id="_x0000_s1104"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w:txbxContent>
                    <w:p w:rsidR="00475A31" w:rsidRDefault="00475A31">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smallCaps/>
                              <w:color w:val="244583" w:themeColor="accent2" w:themeShade="80"/>
                              <w:spacing w:val="20"/>
                              <w:sz w:val="56"/>
                              <w:szCs w:val="56"/>
                            </w:rPr>
                            <w:t>The State of Obesity in Oklahoma</w:t>
                          </w:r>
                        </w:sdtContent>
                      </w:sdt>
                    </w:p>
                    <w:p w:rsidR="00475A31" w:rsidRDefault="00475A31">
                      <w:pPr>
                        <w:rPr>
                          <w:i/>
                          <w:color w:val="244583" w:themeColor="accent2" w:themeShade="80"/>
                          <w:sz w:val="28"/>
                          <w:szCs w:val="28"/>
                        </w:rPr>
                      </w:pPr>
                    </w:p>
                    <w:p w:rsidR="00475A31" w:rsidRDefault="00475A31"/>
                  </w:txbxContent>
                </v:textbox>
                <w10:wrap anchorx="margin" anchory="page"/>
              </v:rect>
            </w:pict>
          </w:r>
          <w:r w:rsidRPr="008C6819">
            <w:rPr>
              <w:rFonts w:ascii="Century Schoolbook" w:hAnsi="Century Schoolbook"/>
              <w:smallCaps/>
              <w:noProof/>
              <w:color w:val="4F271C"/>
              <w:spacing w:val="10"/>
              <w:sz w:val="32"/>
              <w:szCs w:val="32"/>
              <w:lang w:eastAsia="en-US"/>
            </w:rPr>
            <w:pict>
              <v:group id="_x0000_s1093" style="position:absolute;margin-left:436.55pt;margin-top:0;width:139.1pt;height:805.7pt;z-index:251676672;mso-left-percent:750;mso-position-horizontal-relative:page;mso-position-vertical:center;mso-position-vertical-relative:page;mso-left-percent:750" coordorigin="8731,45" coordsize="2782,16114" o:allowincell="f">
                <v:group id="_x0000_s1094" style="position:absolute;left:9203;top:45;width:2310;height:16114;mso-left-percent:750;mso-position-horizontal-relative:page;mso-position-vertical:top;mso-position-vertical-relative:page;mso-left-percent:750" coordorigin="6022,8835" coordsize="2310,16114" o:allowincell="f">
                  <v:rect id="_x0000_s1095" style="position:absolute;left:6676;top:883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096" type="#_x0000_t32" style="position:absolute;left:6359;top:8835;width:0;height:16114;mso-position-horizontal-relative:margin;mso-position-vertical-relative:page;mso-width-relative:right-margin-area" o:connectortype="straight" strokecolor="#feceae [1300]" strokeweight="1pt"/>
                  <v:shape id="_x0000_s1097" type="#_x0000_t32" style="position:absolute;left:8332;top:8835;width:0;height:16111;mso-height-percent:1020;mso-position-horizontal-relative:margin;mso-position-vertical-relative:page;mso-height-percent:1020;mso-width-relative:right-margin-area" o:connectortype="straight" strokecolor="#fe8637 [3204]" strokeweight="2.25pt"/>
                  <v:shape id="_x0000_s1098" type="#_x0000_t32" style="position:absolute;left:6587;top:8835;width:0;height:16114;mso-position-horizontal-relative:margin;mso-position-vertical-relative:page;mso-width-relative:right-margin-area" o:connectortype="straight" strokecolor="#feceae [1300]" strokeweight="4.5pt"/>
                  <v:shape id="_x0000_s1099" type="#_x0000_t32" style="position:absolute;left:6022;top:8835;width:0;height:16109;mso-height-percent:1020;mso-position-horizontal-relative:margin;mso-position-vertical-relative:page;mso-height-percent:1020;mso-width-relative:right-margin-area" o:connectortype="straight" strokecolor="#fee6d6 [660]" strokeweight="2.25pt"/>
                </v:group>
                <v:oval id="_x0000_s1100" style="position:absolute;left:8731;top:12549;width:1737;height:1687;mso-position-horizontal-relative:margin;mso-position-vertical-relative:page" fillcolor="#fe8637 [3204]" strokecolor="#fe8637 [3204]" strokeweight="3pt">
                  <v:stroke linestyle="thinThin"/>
                </v:oval>
                <v:group id="_x0000_s1101" style="position:absolute;left:8931;top:14606;width:864;height:864;mso-position-horizontal-relative:margin;mso-position-vertical-relative:bottom-margin-area;mso-width-relative:margin;mso-height-relative:margin" coordorigin="10653,14697" coordsize="864,864">
                  <v:oval id="_x0000_s1102" style="position:absolute;left:10860;top:14898;width:297;height:303;flip:x" fillcolor="#fe8637 [3204]" strokecolor="#fe8637 [3204]" strokeweight="3pt">
                    <v:fill rotate="t"/>
                    <v:stroke linestyle="thinThin"/>
                    <v:shadow color="#1f2f3f" opacity=".5" offset=",3pt" offset2=",2pt"/>
                  </v:oval>
                  <v:rect id="_x0000_s1103" style="position:absolute;left:10653;top:14697;width:864;height:864" filled="f" stroked="f"/>
                </v:group>
                <w10:wrap anchorx="page" anchory="page"/>
              </v:group>
            </w:pict>
          </w:r>
          <w:r w:rsidRPr="008C6819">
            <w:rPr>
              <w:rFonts w:ascii="Century Schoolbook" w:hAnsi="Century Schoolbook"/>
              <w:smallCaps/>
              <w:noProof/>
              <w:color w:val="4F271C"/>
              <w:spacing w:val="10"/>
              <w:sz w:val="32"/>
              <w:szCs w:val="32"/>
            </w:rPr>
            <w:pict>
              <v:oval id="_x0000_s1092"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003D2E3C">
            <w:br w:type="page"/>
          </w:r>
        </w:sdtContent>
      </w:sdt>
    </w:p>
    <w:p w:rsidR="001623AC" w:rsidRDefault="008C6819" w:rsidP="00662402">
      <w:pPr>
        <w:pStyle w:val="Title"/>
      </w:pPr>
      <w:sdt>
        <w:sdtPr>
          <w:id w:val="112299847"/>
          <w:docPartObj>
            <w:docPartGallery w:val="Quick Parts"/>
            <w:docPartUnique/>
          </w:docPartObj>
        </w:sdtPr>
        <w:sdtContent>
          <w:r w:rsidRPr="008C6819">
            <w:rPr>
              <w:rFonts w:ascii="Century Schoolbook" w:hAnsi="Century Schoolbook"/>
              <w:noProof/>
              <w:color w:val="4F271C"/>
              <w:sz w:val="32"/>
              <w:szCs w:val="32"/>
            </w:rPr>
            <w:pict>
              <v:oval id="_x0000_s1090"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ahoma" w:hAnsi="Tahoma" w:cs="Tahoma"/>
            <w:spacing w:val="0"/>
          </w:rPr>
          <w:alias w:val="Title"/>
          <w:tag w:val="Title"/>
          <w:id w:val="221498486"/>
          <w:placeholder>
            <w:docPart w:val="32B19E73DFB340E8BFD59201FFACF1D9"/>
          </w:placeholder>
          <w:dataBinding w:prefixMappings="xmlns:ns0='http://purl.org/dc/elements/1.1/' xmlns:ns1='http://schemas.openxmlformats.org/package/2006/metadata/core-properties' " w:xpath="/ns1:coreProperties[1]/ns0:title[1]" w:storeItemID="{6C3C8BC8-F283-45AE-878A-BAB7291924A1}"/>
          <w:text/>
        </w:sdtPr>
        <w:sdtContent>
          <w:r w:rsidR="00662402" w:rsidRPr="004A109D">
            <w:rPr>
              <w:rFonts w:ascii="Tahoma" w:hAnsi="Tahoma" w:cs="Tahoma"/>
              <w:spacing w:val="0"/>
            </w:rPr>
            <w:t>The State of Obesity in Oklahoma</w:t>
          </w:r>
        </w:sdtContent>
      </w:sdt>
      <w:r w:rsidRPr="008C6819">
        <w:rPr>
          <w:szCs w:val="52"/>
        </w:rPr>
        <w:pict>
          <v:group id="_x0000_s102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r w:rsidRPr="008C6819">
        <w:rPr>
          <w:szCs w:val="52"/>
        </w:rPr>
        <w:pict>
          <v:group id="_x0000_s1029"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8C6819">
        <w:rPr>
          <w:szCs w:val="52"/>
        </w:rPr>
        <w:pict>
          <v:group id="_x0000_s1032"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8C6819">
        <w:rPr>
          <w:szCs w:val="52"/>
        </w:rPr>
        <w:pict>
          <v:group id="_x0000_s1035"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8C6819">
        <w:rPr>
          <w:szCs w:val="52"/>
        </w:rPr>
        <w:pict>
          <v:group id="_x0000_s1038"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8C6819">
        <w:rPr>
          <w:szCs w:val="52"/>
        </w:rPr>
        <w:pict>
          <v:group id="_x0000_s104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8C6819">
        <w:rPr>
          <w:szCs w:val="52"/>
        </w:rPr>
        <w:pict>
          <v:group id="_x0000_s1044"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8C6819">
        <w:rPr>
          <w:szCs w:val="52"/>
        </w:rPr>
        <w:pict>
          <v:group id="_x0000_s1047"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8C6819">
        <w:rPr>
          <w:szCs w:val="52"/>
        </w:rPr>
        <w:pict>
          <v:group id="_x0000_s1050"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8C6819">
        <w:rPr>
          <w:szCs w:val="52"/>
        </w:rPr>
        <w:pict>
          <v:group id="_x0000_s1053"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8C6819">
        <w:rPr>
          <w:szCs w:val="52"/>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8C6819">
        <w:rPr>
          <w:szCs w:val="52"/>
        </w:rPr>
        <w:pict>
          <v:group id="_x0000_s1059"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8C6819">
        <w:rPr>
          <w:szCs w:val="52"/>
        </w:rPr>
        <w:pict>
          <v:group id="_x0000_s1062"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8C6819">
        <w:rPr>
          <w:szCs w:val="52"/>
        </w:rPr>
        <w:pict>
          <v:group id="_x0000_s1065"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8C6819">
        <w:rPr>
          <w:szCs w:val="52"/>
        </w:rPr>
        <w:pict>
          <v:group id="_x0000_s1068"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8C6819">
        <w:rPr>
          <w:szCs w:val="52"/>
        </w:rPr>
        <w:pict>
          <v:group id="_x0000_s107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8C6819">
        <w:rPr>
          <w:szCs w:val="52"/>
        </w:rPr>
        <w:pict>
          <v:group id="_x0000_s1074"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8C6819">
        <w:rPr>
          <w:szCs w:val="52"/>
        </w:rPr>
        <w:pict>
          <v:group id="_x0000_s1077"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8C6819">
        <w:rPr>
          <w:szCs w:val="52"/>
        </w:rPr>
        <w:pict>
          <v:group id="_x0000_s1080"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8C6819">
        <w:rPr>
          <w:szCs w:val="52"/>
        </w:rPr>
        <w:pict>
          <v:group id="_x0000_s1083"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8C6819">
        <w:rPr>
          <w:szCs w:val="52"/>
        </w:rPr>
        <w:pict>
          <v:group id="_x0000_s108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p>
    <w:p w:rsidR="00662402" w:rsidRDefault="00662402" w:rsidP="00662402">
      <w:r>
        <w:t>According to data from the Behavioral Risk Factor Surveillance System (BRFSS</w:t>
      </w:r>
      <w:proofErr w:type="gramStart"/>
      <w:r>
        <w:t>)</w:t>
      </w:r>
      <w:r w:rsidRPr="002709FE">
        <w:rPr>
          <w:vertAlign w:val="superscript"/>
        </w:rPr>
        <w:t>1</w:t>
      </w:r>
      <w:proofErr w:type="gramEnd"/>
      <w:r>
        <w:t xml:space="preserve"> on adults aged 18 years and older, obesity has increased in the United States at an alarming rate. In the 1980’s, most states had obesity rates of less than 15%. Currently, every state in the union has an obesity rate that exceeds 20%. While 36 states have rates exceeding 25%, 12 of those states, including Oklahoma, that have obesity rates higher than 30%.</w:t>
      </w:r>
    </w:p>
    <w:p w:rsidR="00662402" w:rsidRDefault="00662402" w:rsidP="00662402">
      <w:r>
        <w:t xml:space="preserve">This report assesses the prevalence of obesity in Oklahoma using data from the Oklahoma BRFSS. Obesity prevalence by demographic are presented for 2000 and 2010, along with percent change in obesity from 2000 to 2010. County rates and percent change are shown for data years 2000-2004 and 2005-2010 (the large time span ensures more stable statistics for smaller counties). Select health behaviors and outcomes are presented with the current obesity prevalence to assess the relationships that may exist between obesity and the select health indicator using Chi-Square analysis (data presented in tables with significance set at α = 0.05). Indicators included in this assessment are fruit and vegetable consumption, recent physical activity, diabetes, quality of life, inadequate sleep, and life satisfaction. </w:t>
      </w:r>
    </w:p>
    <w:p w:rsidR="00662402" w:rsidRPr="00B22472" w:rsidRDefault="00662402" w:rsidP="00662402">
      <w:pPr>
        <w:rPr>
          <w:b/>
          <w:color w:val="E65B01" w:themeColor="accent1" w:themeShade="BF"/>
          <w:sz w:val="22"/>
          <w:szCs w:val="22"/>
        </w:rPr>
      </w:pPr>
      <w:r w:rsidRPr="00B22472">
        <w:rPr>
          <w:b/>
          <w:color w:val="E65B01" w:themeColor="accent1" w:themeShade="BF"/>
          <w:sz w:val="22"/>
          <w:szCs w:val="22"/>
        </w:rPr>
        <w:t>A Look at Obesity across the Oklahoma Population</w:t>
      </w:r>
    </w:p>
    <w:p w:rsidR="00662402" w:rsidRDefault="00662402" w:rsidP="00662402">
      <w:r>
        <w:t>Current trends in Oklahoma demonstrate that the obesity rate fluctuates by demographic, though the general patterns are consistent from 2000 to 2010 (Table 1).</w:t>
      </w:r>
      <w:r w:rsidRPr="002709FE">
        <w:rPr>
          <w:vertAlign w:val="superscript"/>
        </w:rPr>
        <w:t>2</w:t>
      </w:r>
      <w:r>
        <w:t xml:space="preserve"> For example, obesity rates in 2000 were highest among Blacks, American Indians, and those with less education and income, and rates continued to be the highest among those same demographics in 2010. While patterns were similar, the magnitude of change differed by group. Some of the greatest rate increases occurred among groups that had some of the lowest rates in 2000, such as males, Whites, and those aged 55-64 years.  </w:t>
      </w:r>
    </w:p>
    <w:p w:rsidR="00662402" w:rsidRPr="00475A31" w:rsidRDefault="00475A31" w:rsidP="00662402">
      <w:pPr>
        <w:spacing w:after="0"/>
        <w:rPr>
          <w:b/>
        </w:rPr>
      </w:pPr>
      <w:r>
        <w:rPr>
          <w:b/>
        </w:rPr>
        <w:t>Table</w:t>
      </w:r>
      <w:r w:rsidR="00662402" w:rsidRPr="00475A31">
        <w:rPr>
          <w:b/>
        </w:rPr>
        <w:t xml:space="preserve">1. </w:t>
      </w:r>
      <w:proofErr w:type="gramStart"/>
      <w:r w:rsidR="00662402" w:rsidRPr="00475A31">
        <w:rPr>
          <w:b/>
        </w:rPr>
        <w:t>Percentage o</w:t>
      </w:r>
      <w:r>
        <w:rPr>
          <w:b/>
        </w:rPr>
        <w:t>f the Oklahoma Adult Population who are</w:t>
      </w:r>
      <w:r w:rsidR="00662402" w:rsidRPr="00475A31">
        <w:rPr>
          <w:b/>
        </w:rPr>
        <w:t xml:space="preserve"> Obese, by Demographic, OK BRFSS.</w:t>
      </w:r>
      <w:proofErr w:type="gramEnd"/>
    </w:p>
    <w:tbl>
      <w:tblPr>
        <w:tblStyle w:val="TableGrid"/>
        <w:tblW w:w="9792" w:type="dxa"/>
        <w:tblLook w:val="04A0"/>
      </w:tblPr>
      <w:tblGrid>
        <w:gridCol w:w="2304"/>
        <w:gridCol w:w="3168"/>
        <w:gridCol w:w="1440"/>
        <w:gridCol w:w="1440"/>
        <w:gridCol w:w="1440"/>
      </w:tblGrid>
      <w:tr w:rsidR="005F19D2" w:rsidRPr="00873465" w:rsidTr="004A109D">
        <w:trPr>
          <w:cnfStyle w:val="100000000000"/>
        </w:trPr>
        <w:tc>
          <w:tcPr>
            <w:cnfStyle w:val="001000000000"/>
            <w:tcW w:w="2304" w:type="dxa"/>
            <w:tcBorders>
              <w:bottom w:val="single" w:sz="8" w:space="0" w:color="FE8637" w:themeColor="accent1"/>
            </w:tcBorders>
          </w:tcPr>
          <w:p w:rsidR="00662402" w:rsidRPr="00873465" w:rsidRDefault="00662402" w:rsidP="005F19D2"/>
        </w:tc>
        <w:tc>
          <w:tcPr>
            <w:tcW w:w="3168" w:type="dxa"/>
            <w:tcBorders>
              <w:bottom w:val="single" w:sz="8" w:space="0" w:color="FE8637" w:themeColor="accent1"/>
            </w:tcBorders>
          </w:tcPr>
          <w:p w:rsidR="00662402" w:rsidRPr="00873465" w:rsidRDefault="00662402" w:rsidP="005F19D2">
            <w:pPr>
              <w:cnfStyle w:val="100000000000"/>
            </w:pPr>
          </w:p>
        </w:tc>
        <w:tc>
          <w:tcPr>
            <w:tcW w:w="1440" w:type="dxa"/>
            <w:vAlign w:val="bottom"/>
          </w:tcPr>
          <w:p w:rsidR="00662402" w:rsidRPr="00873465" w:rsidRDefault="00662402" w:rsidP="005F19D2">
            <w:pPr>
              <w:jc w:val="right"/>
              <w:cnfStyle w:val="100000000000"/>
            </w:pPr>
            <w:r w:rsidRPr="00873465">
              <w:t>2000</w:t>
            </w:r>
          </w:p>
        </w:tc>
        <w:tc>
          <w:tcPr>
            <w:tcW w:w="1440" w:type="dxa"/>
            <w:vAlign w:val="bottom"/>
          </w:tcPr>
          <w:p w:rsidR="00662402" w:rsidRPr="00873465" w:rsidRDefault="00662402" w:rsidP="005F19D2">
            <w:pPr>
              <w:jc w:val="right"/>
              <w:cnfStyle w:val="100000000000"/>
            </w:pPr>
            <w:r w:rsidRPr="00873465">
              <w:t>2010</w:t>
            </w:r>
          </w:p>
        </w:tc>
        <w:tc>
          <w:tcPr>
            <w:tcW w:w="1440" w:type="dxa"/>
            <w:vAlign w:val="bottom"/>
          </w:tcPr>
          <w:p w:rsidR="00662402" w:rsidRPr="00873465" w:rsidRDefault="00662402" w:rsidP="005F19D2">
            <w:pPr>
              <w:jc w:val="right"/>
              <w:cnfStyle w:val="100000000000"/>
            </w:pPr>
            <w:r>
              <w:t xml:space="preserve">% </w:t>
            </w:r>
            <w:r w:rsidRPr="00873465">
              <w:t>Increase</w:t>
            </w:r>
          </w:p>
        </w:tc>
      </w:tr>
      <w:tr w:rsidR="005F19D2" w:rsidRPr="00873465" w:rsidTr="004A109D">
        <w:trPr>
          <w:cnfStyle w:val="000000100000"/>
        </w:trPr>
        <w:tc>
          <w:tcPr>
            <w:cnfStyle w:val="001000000000"/>
            <w:tcW w:w="2304" w:type="dxa"/>
            <w:tcBorders>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5F19D2">
            <w:r>
              <w:t>Total</w:t>
            </w:r>
          </w:p>
        </w:tc>
        <w:tc>
          <w:tcPr>
            <w:tcW w:w="3168" w:type="dxa"/>
            <w:tcBorders>
              <w:bottom w:val="single" w:sz="4" w:space="0" w:color="000000" w:themeColor="text1"/>
            </w:tcBorders>
            <w:shd w:val="clear" w:color="auto" w:fill="D9D9D9" w:themeFill="background1" w:themeFillShade="D9"/>
          </w:tcPr>
          <w:p w:rsidR="00662402" w:rsidRPr="00873465" w:rsidRDefault="00662402" w:rsidP="005F19D2">
            <w:pPr>
              <w:jc w:val="right"/>
              <w:cnfStyle w:val="000000100000"/>
            </w:pPr>
            <w:r w:rsidRPr="00873465">
              <w:t>Total</w:t>
            </w:r>
          </w:p>
        </w:tc>
        <w:tc>
          <w:tcPr>
            <w:tcW w:w="1440" w:type="dxa"/>
            <w:tcBorders>
              <w:bottom w:val="single" w:sz="4" w:space="0" w:color="000000" w:themeColor="text1"/>
            </w:tcBorders>
          </w:tcPr>
          <w:p w:rsidR="00662402" w:rsidRPr="00873465" w:rsidRDefault="00662402" w:rsidP="005F19D2">
            <w:pPr>
              <w:jc w:val="right"/>
              <w:cnfStyle w:val="000000100000"/>
            </w:pPr>
            <w:r w:rsidRPr="00873465">
              <w:t>19.7</w:t>
            </w:r>
          </w:p>
        </w:tc>
        <w:tc>
          <w:tcPr>
            <w:tcW w:w="1440" w:type="dxa"/>
            <w:tcBorders>
              <w:bottom w:val="single" w:sz="4" w:space="0" w:color="000000" w:themeColor="text1"/>
            </w:tcBorders>
          </w:tcPr>
          <w:p w:rsidR="00662402" w:rsidRPr="00873465" w:rsidRDefault="00662402" w:rsidP="005F19D2">
            <w:pPr>
              <w:jc w:val="right"/>
              <w:cnfStyle w:val="000000100000"/>
            </w:pPr>
            <w:r w:rsidRPr="00873465">
              <w:t>31.3</w:t>
            </w:r>
          </w:p>
        </w:tc>
        <w:tc>
          <w:tcPr>
            <w:tcW w:w="1440" w:type="dxa"/>
            <w:tcBorders>
              <w:bottom w:val="single" w:sz="4" w:space="0" w:color="000000" w:themeColor="text1"/>
              <w:right w:val="single" w:sz="4" w:space="0" w:color="000000" w:themeColor="text1"/>
            </w:tcBorders>
          </w:tcPr>
          <w:p w:rsidR="00662402" w:rsidRPr="00873465" w:rsidRDefault="00662402" w:rsidP="005F19D2">
            <w:pPr>
              <w:jc w:val="right"/>
              <w:cnfStyle w:val="000000100000"/>
            </w:pPr>
            <w:r w:rsidRPr="00873465">
              <w:t>58.9</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5F19D2">
            <w:r>
              <w:t>Sex</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Male</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19.0</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31.9</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67.9</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5F19D2">
            <w:pPr>
              <w:jc w:val="right"/>
              <w:cnfStyle w:val="000000100000"/>
            </w:pPr>
            <w:r w:rsidRPr="00873465">
              <w:t>Female</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20.3</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30.6</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73465" w:rsidRDefault="00662402" w:rsidP="005F19D2">
            <w:pPr>
              <w:jc w:val="right"/>
              <w:cnfStyle w:val="000000100000"/>
            </w:pPr>
            <w:r w:rsidRPr="00873465">
              <w:t>50.7</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5F19D2">
            <w:r>
              <w:t>Race/Ethnicity</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White non-Hispanic</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18.5</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29.3</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58.4</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100000"/>
            </w:pPr>
            <w:r w:rsidRPr="00873465">
              <w:t>Black non-Hispanic</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26.6</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41.8</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73465" w:rsidRDefault="00662402" w:rsidP="005F19D2">
            <w:pPr>
              <w:jc w:val="right"/>
              <w:cnfStyle w:val="000000100000"/>
            </w:pPr>
            <w:r w:rsidRPr="00873465">
              <w:t>57.1</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American Indian non-Hispanic</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28.1</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40.2</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43.1</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5F19D2">
            <w:pPr>
              <w:jc w:val="right"/>
              <w:cnfStyle w:val="000000100000"/>
            </w:pPr>
            <w:r w:rsidRPr="00873465">
              <w:t>Hispanic</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22.8</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31.9</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73465" w:rsidRDefault="00662402" w:rsidP="005F19D2">
            <w:pPr>
              <w:jc w:val="right"/>
              <w:cnfStyle w:val="000000100000"/>
            </w:pPr>
            <w:r w:rsidRPr="00873465">
              <w:t>39.9</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5F19D2">
            <w:r>
              <w:t>Age Group</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18 to 24</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12.9</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20.7</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60.5</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100000"/>
            </w:pPr>
            <w:r w:rsidRPr="00873465">
              <w:t>25 to 34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20.0</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29.4</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73465" w:rsidRDefault="00662402" w:rsidP="005F19D2">
            <w:pPr>
              <w:jc w:val="right"/>
              <w:cnfStyle w:val="000000100000"/>
            </w:pPr>
            <w:r w:rsidRPr="00873465">
              <w:t>47.0</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35 to 44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24.0</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35.6</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48.3</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100000"/>
            </w:pPr>
            <w:r w:rsidRPr="00873465">
              <w:t>45 to 54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25.7</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35.6</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73465" w:rsidRDefault="00662402" w:rsidP="005F19D2">
            <w:pPr>
              <w:jc w:val="right"/>
              <w:cnfStyle w:val="000000100000"/>
            </w:pPr>
            <w:r w:rsidRPr="00873465">
              <w:t>38.5</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55 to 64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18.2</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35.6</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95.6</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5F19D2">
            <w:pPr>
              <w:jc w:val="right"/>
              <w:cnfStyle w:val="000000100000"/>
            </w:pPr>
            <w:r w:rsidRPr="00873465">
              <w:t>65 and older</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14.7</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26.1</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73465" w:rsidRDefault="00662402" w:rsidP="005F19D2">
            <w:pPr>
              <w:jc w:val="right"/>
              <w:cnfStyle w:val="000000100000"/>
            </w:pPr>
            <w:r w:rsidRPr="00873465">
              <w:t>77.6</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5F19D2">
            <w:r>
              <w:t>Education</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Less than high school</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24.2</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36.9</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52.5</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100000"/>
            </w:pPr>
            <w:r w:rsidRPr="00873465">
              <w:t>High school graduate/GED</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19.8</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33.3</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73465" w:rsidRDefault="00662402" w:rsidP="005F19D2">
            <w:pPr>
              <w:jc w:val="right"/>
              <w:cnfStyle w:val="000000100000"/>
            </w:pPr>
            <w:r w:rsidRPr="00873465">
              <w:t>68.2</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Some post-secondary school</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19.0</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32.3</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70.0</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5F19D2">
            <w:pPr>
              <w:jc w:val="right"/>
              <w:cnfStyle w:val="000000100000"/>
            </w:pPr>
            <w:r w:rsidRPr="00873465">
              <w:t>College graduate</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17.7</w:t>
            </w:r>
          </w:p>
        </w:tc>
        <w:tc>
          <w:tcPr>
            <w:tcW w:w="1440" w:type="dxa"/>
            <w:tcBorders>
              <w:top w:val="single" w:sz="4" w:space="0" w:color="808080" w:themeColor="background1" w:themeShade="80"/>
              <w:bottom w:val="single" w:sz="4" w:space="0" w:color="000000" w:themeColor="text1"/>
            </w:tcBorders>
          </w:tcPr>
          <w:p w:rsidR="00662402" w:rsidRPr="00873465" w:rsidRDefault="00662402" w:rsidP="005F19D2">
            <w:pPr>
              <w:jc w:val="right"/>
              <w:cnfStyle w:val="000000100000"/>
            </w:pPr>
            <w:r w:rsidRPr="00873465">
              <w:t>25.6</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73465" w:rsidRDefault="00662402" w:rsidP="005F19D2">
            <w:pPr>
              <w:jc w:val="right"/>
              <w:cnfStyle w:val="000000100000"/>
            </w:pPr>
            <w:r w:rsidRPr="00873465">
              <w:t>44.6</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662402">
            <w:r>
              <w:t xml:space="preserve">Household </w:t>
            </w:r>
            <w:r w:rsidR="00083B6C">
              <w:t>Income</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&lt; $15,000</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24.5</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38.7</w:t>
            </w:r>
          </w:p>
        </w:tc>
        <w:tc>
          <w:tcPr>
            <w:tcW w:w="1440" w:type="dxa"/>
            <w:tcBorders>
              <w:bottom w:val="single" w:sz="4" w:space="0" w:color="808080" w:themeColor="background1" w:themeShade="80"/>
            </w:tcBorders>
          </w:tcPr>
          <w:p w:rsidR="00662402" w:rsidRPr="00873465" w:rsidRDefault="00662402" w:rsidP="005F19D2">
            <w:pPr>
              <w:jc w:val="right"/>
              <w:cnfStyle w:val="000000000000"/>
            </w:pPr>
            <w:r w:rsidRPr="00873465">
              <w:t>58.0</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100000"/>
            </w:pPr>
            <w:r w:rsidRPr="00873465">
              <w:t>$15,000 – 24,999</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23.1</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37.4</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73465" w:rsidRDefault="00662402" w:rsidP="005F19D2">
            <w:pPr>
              <w:jc w:val="right"/>
              <w:cnfStyle w:val="000000100000"/>
            </w:pPr>
            <w:r w:rsidRPr="00873465">
              <w:t>61.9</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$25,000 – 34,999</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20.1</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33.4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000000"/>
            </w:pPr>
            <w:r w:rsidRPr="00873465">
              <w:t>66.2</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100000"/>
            </w:pPr>
            <w:r w:rsidRPr="00873465">
              <w:t>$35,000 – 49,999</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19.6</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5F19D2">
            <w:pPr>
              <w:jc w:val="right"/>
              <w:cnfStyle w:val="000000100000"/>
            </w:pPr>
            <w:r w:rsidRPr="00873465">
              <w:t>29.6</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73465" w:rsidRDefault="00662402" w:rsidP="005F19D2">
            <w:pPr>
              <w:jc w:val="right"/>
              <w:cnfStyle w:val="000000100000"/>
            </w:pPr>
            <w:r w:rsidRPr="00873465">
              <w:t>51.0</w:t>
            </w:r>
          </w:p>
        </w:tc>
      </w:tr>
      <w:tr w:rsidR="005F19D2" w:rsidRPr="00873465" w:rsidTr="004A109D">
        <w:tc>
          <w:tcPr>
            <w:cnfStyle w:val="001000000000"/>
            <w:tcW w:w="2304" w:type="dxa"/>
            <w:tcBorders>
              <w:top w:val="nil"/>
            </w:tcBorders>
            <w:shd w:val="clear" w:color="auto" w:fill="D9D9D9" w:themeFill="background1" w:themeFillShade="D9"/>
          </w:tcPr>
          <w:p w:rsidR="00662402" w:rsidRPr="00873465" w:rsidRDefault="00662402" w:rsidP="005F19D2"/>
        </w:tc>
        <w:tc>
          <w:tcPr>
            <w:tcW w:w="3168" w:type="dxa"/>
            <w:tcBorders>
              <w:top w:val="single" w:sz="4" w:space="0" w:color="808080" w:themeColor="background1" w:themeShade="80"/>
            </w:tcBorders>
            <w:shd w:val="clear" w:color="auto" w:fill="D9D9D9" w:themeFill="background1" w:themeFillShade="D9"/>
          </w:tcPr>
          <w:p w:rsidR="00662402" w:rsidRPr="00873465" w:rsidRDefault="00662402" w:rsidP="005F19D2">
            <w:pPr>
              <w:jc w:val="right"/>
              <w:cnfStyle w:val="000000000000"/>
            </w:pPr>
            <w:r w:rsidRPr="00873465">
              <w:t>≥ $50,000</w:t>
            </w:r>
          </w:p>
        </w:tc>
        <w:tc>
          <w:tcPr>
            <w:tcW w:w="1440" w:type="dxa"/>
            <w:tcBorders>
              <w:top w:val="single" w:sz="4" w:space="0" w:color="808080" w:themeColor="background1" w:themeShade="80"/>
            </w:tcBorders>
          </w:tcPr>
          <w:p w:rsidR="00662402" w:rsidRPr="00873465" w:rsidRDefault="00662402" w:rsidP="005F19D2">
            <w:pPr>
              <w:jc w:val="right"/>
              <w:cnfStyle w:val="000000000000"/>
            </w:pPr>
            <w:r w:rsidRPr="00873465">
              <w:t>17.3</w:t>
            </w:r>
          </w:p>
        </w:tc>
        <w:tc>
          <w:tcPr>
            <w:tcW w:w="1440" w:type="dxa"/>
            <w:tcBorders>
              <w:top w:val="single" w:sz="4" w:space="0" w:color="808080" w:themeColor="background1" w:themeShade="80"/>
            </w:tcBorders>
          </w:tcPr>
          <w:p w:rsidR="00662402" w:rsidRPr="00873465" w:rsidRDefault="00662402" w:rsidP="005F19D2">
            <w:pPr>
              <w:jc w:val="right"/>
              <w:cnfStyle w:val="000000000000"/>
            </w:pPr>
            <w:r w:rsidRPr="00873465">
              <w:t>27.8</w:t>
            </w:r>
          </w:p>
        </w:tc>
        <w:tc>
          <w:tcPr>
            <w:tcW w:w="1440" w:type="dxa"/>
            <w:tcBorders>
              <w:top w:val="single" w:sz="4" w:space="0" w:color="808080" w:themeColor="background1" w:themeShade="80"/>
            </w:tcBorders>
          </w:tcPr>
          <w:p w:rsidR="00662402" w:rsidRPr="00873465" w:rsidRDefault="00662402" w:rsidP="005F19D2">
            <w:pPr>
              <w:jc w:val="right"/>
              <w:cnfStyle w:val="000000000000"/>
            </w:pPr>
            <w:r w:rsidRPr="00873465">
              <w:t>60.7</w:t>
            </w:r>
          </w:p>
        </w:tc>
      </w:tr>
    </w:tbl>
    <w:p w:rsidR="001623AC" w:rsidRDefault="001623AC" w:rsidP="00662402">
      <w:pPr>
        <w:rPr>
          <w:color w:val="auto"/>
        </w:rPr>
      </w:pPr>
    </w:p>
    <w:p w:rsidR="00D55502" w:rsidRDefault="00D55502" w:rsidP="00D55502">
      <w:r>
        <w:t xml:space="preserve">Rates of obesity differ by county, and tend to be lower in the counties with the most populous cities (Oklahoma, Tulsa, and Cleveland Counties). Hughes (21.2%), Woods (21.7%), and Grant (24.2%) Counties had the lowest obesity rates in the state, while Noble (39.1%), Jefferson (39.3%), and Latimer (42.2%) Counties had the highest rates. The most populous counties experienced great increases in obesity rates from 2000 to 2010 (Oklahoma County, 72.6%; Tulsa County, 61.2%; and Cleveland County, 71.5%). </w:t>
      </w:r>
    </w:p>
    <w:p w:rsidR="00D55502" w:rsidRDefault="008C6819" w:rsidP="00D55502">
      <w:r>
        <w:rPr>
          <w:noProof/>
        </w:rPr>
        <w:pict>
          <v:shapetype id="_x0000_t202" coordsize="21600,21600" o:spt="202" path="m,l,21600r21600,l21600,xe">
            <v:stroke joinstyle="miter"/>
            <v:path gradientshapeok="t" o:connecttype="rect"/>
          </v:shapetype>
          <v:shape id="_x0000_s1106" type="#_x0000_t202" style="position:absolute;margin-left:295.55pt;margin-top:21.35pt;width:204pt;height:149.1pt;z-index:251679744" stroked="f">
            <v:textbox>
              <w:txbxContent>
                <w:p w:rsidR="00475A31" w:rsidRDefault="00475A31" w:rsidP="00D55502">
                  <w:pPr>
                    <w:spacing w:after="0"/>
                  </w:pPr>
                  <w:r>
                    <w:t>Comparing county data from 2000-2004 and 2005-2010 (Table 2), the counties of Ellis, Craig, and Atoka experienced the greatest increases in obesity rates (134.4%, 90.7%, and 90.6%, respectively). Rates in 12 Oklahoma counties declined, with the largest declines occurring in Major, Hughes, and Lincoln Counties (declines of 37.1%, 13.1%, and 10.5%, respectively).</w:t>
                  </w:r>
                </w:p>
                <w:p w:rsidR="00475A31" w:rsidRDefault="00475A31" w:rsidP="00D55502"/>
              </w:txbxContent>
            </v:textbox>
          </v:shape>
        </w:pict>
      </w:r>
      <w:r w:rsidR="00D55502">
        <w:rPr>
          <w:noProof/>
          <w:lang w:eastAsia="en-US"/>
        </w:rPr>
        <w:drawing>
          <wp:inline distT="0" distB="0" distL="0" distR="0">
            <wp:extent cx="3238546" cy="2502488"/>
            <wp:effectExtent l="19050" t="0" r="0" b="0"/>
            <wp:docPr id="16" name="Picture 1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2" cstate="print"/>
                    <a:stretch>
                      <a:fillRect/>
                    </a:stretch>
                  </pic:blipFill>
                  <pic:spPr>
                    <a:xfrm>
                      <a:off x="0" y="0"/>
                      <a:ext cx="3247976" cy="2509775"/>
                    </a:xfrm>
                    <a:prstGeom prst="rect">
                      <a:avLst/>
                    </a:prstGeom>
                  </pic:spPr>
                </pic:pic>
              </a:graphicData>
            </a:graphic>
          </wp:inline>
        </w:drawing>
      </w:r>
    </w:p>
    <w:p w:rsidR="00D55502" w:rsidRPr="00475A31" w:rsidRDefault="00D55502" w:rsidP="00D55502">
      <w:pPr>
        <w:spacing w:after="0"/>
        <w:rPr>
          <w:b/>
        </w:rPr>
      </w:pPr>
      <w:proofErr w:type="gramStart"/>
      <w:r w:rsidRPr="00475A31">
        <w:rPr>
          <w:b/>
        </w:rPr>
        <w:t>Table 2.</w:t>
      </w:r>
      <w:proofErr w:type="gramEnd"/>
      <w:r w:rsidRPr="00475A31">
        <w:rPr>
          <w:b/>
        </w:rPr>
        <w:t xml:space="preserve"> County Obesity Rates and Percent Change between 2000-2004 and 2005-2010.</w:t>
      </w:r>
    </w:p>
    <w:tbl>
      <w:tblPr>
        <w:tblStyle w:val="TableGrid"/>
        <w:tblW w:w="11340" w:type="dxa"/>
        <w:tblInd w:w="-162" w:type="dxa"/>
        <w:tblBorders>
          <w:insideH w:val="single" w:sz="4" w:space="0" w:color="595959" w:themeColor="text1" w:themeTint="A6"/>
          <w:insideV w:val="single" w:sz="4" w:space="0" w:color="595959" w:themeColor="text1" w:themeTint="A6"/>
        </w:tblBorders>
        <w:tblLayout w:type="fixed"/>
        <w:tblLook w:val="04A0"/>
      </w:tblPr>
      <w:tblGrid>
        <w:gridCol w:w="1188"/>
        <w:gridCol w:w="720"/>
        <w:gridCol w:w="713"/>
        <w:gridCol w:w="1031"/>
        <w:gridCol w:w="1226"/>
        <w:gridCol w:w="713"/>
        <w:gridCol w:w="713"/>
        <w:gridCol w:w="1074"/>
        <w:gridCol w:w="1532"/>
        <w:gridCol w:w="683"/>
        <w:gridCol w:w="713"/>
        <w:gridCol w:w="1034"/>
      </w:tblGrid>
      <w:tr w:rsidR="00475A31" w:rsidRPr="00873465" w:rsidTr="004A109D">
        <w:trPr>
          <w:cnfStyle w:val="100000000000"/>
        </w:trPr>
        <w:tc>
          <w:tcPr>
            <w:cnfStyle w:val="001000000000"/>
            <w:tcW w:w="1188" w:type="dxa"/>
            <w:vAlign w:val="center"/>
          </w:tcPr>
          <w:p w:rsidR="00D55502" w:rsidRPr="00873465" w:rsidRDefault="004A109D" w:rsidP="004A109D">
            <w:pPr>
              <w:jc w:val="center"/>
            </w:pPr>
            <w:r>
              <w:t>County Name</w:t>
            </w:r>
          </w:p>
        </w:tc>
        <w:tc>
          <w:tcPr>
            <w:tcW w:w="720" w:type="dxa"/>
            <w:vAlign w:val="center"/>
          </w:tcPr>
          <w:p w:rsidR="00D55502" w:rsidRPr="00873465" w:rsidRDefault="00D55502" w:rsidP="004A109D">
            <w:pPr>
              <w:jc w:val="center"/>
              <w:cnfStyle w:val="100000000000"/>
            </w:pPr>
            <w:r w:rsidRPr="00873465">
              <w:t>2000-2004</w:t>
            </w:r>
          </w:p>
        </w:tc>
        <w:tc>
          <w:tcPr>
            <w:tcW w:w="713" w:type="dxa"/>
            <w:vAlign w:val="center"/>
          </w:tcPr>
          <w:p w:rsidR="00D55502" w:rsidRPr="00873465" w:rsidRDefault="00D55502" w:rsidP="004A109D">
            <w:pPr>
              <w:jc w:val="center"/>
              <w:cnfStyle w:val="100000000000"/>
            </w:pPr>
            <w:r w:rsidRPr="00873465">
              <w:t>2005-2010</w:t>
            </w:r>
          </w:p>
        </w:tc>
        <w:tc>
          <w:tcPr>
            <w:tcW w:w="1031" w:type="dxa"/>
            <w:vAlign w:val="center"/>
          </w:tcPr>
          <w:p w:rsidR="00D55502" w:rsidRPr="00873465" w:rsidRDefault="00D55502" w:rsidP="004A109D">
            <w:pPr>
              <w:jc w:val="center"/>
              <w:cnfStyle w:val="100000000000"/>
            </w:pPr>
            <w:r>
              <w:t xml:space="preserve">% </w:t>
            </w:r>
            <w:r w:rsidRPr="00873465">
              <w:t>Change</w:t>
            </w:r>
          </w:p>
        </w:tc>
        <w:tc>
          <w:tcPr>
            <w:tcW w:w="1226" w:type="dxa"/>
            <w:vAlign w:val="center"/>
          </w:tcPr>
          <w:p w:rsidR="00D55502" w:rsidRPr="00873465" w:rsidRDefault="004A109D" w:rsidP="004A109D">
            <w:pPr>
              <w:jc w:val="center"/>
              <w:cnfStyle w:val="100000000000"/>
            </w:pPr>
            <w:r>
              <w:t>County Name</w:t>
            </w:r>
          </w:p>
        </w:tc>
        <w:tc>
          <w:tcPr>
            <w:tcW w:w="713" w:type="dxa"/>
            <w:vAlign w:val="center"/>
          </w:tcPr>
          <w:p w:rsidR="00D55502" w:rsidRPr="00873465" w:rsidRDefault="00D55502" w:rsidP="004A109D">
            <w:pPr>
              <w:jc w:val="center"/>
              <w:cnfStyle w:val="100000000000"/>
            </w:pPr>
            <w:r w:rsidRPr="00873465">
              <w:t>2000-2004</w:t>
            </w:r>
          </w:p>
        </w:tc>
        <w:tc>
          <w:tcPr>
            <w:tcW w:w="713" w:type="dxa"/>
            <w:vAlign w:val="center"/>
          </w:tcPr>
          <w:p w:rsidR="00D55502" w:rsidRPr="00873465" w:rsidRDefault="00D55502" w:rsidP="004A109D">
            <w:pPr>
              <w:jc w:val="center"/>
              <w:cnfStyle w:val="100000000000"/>
            </w:pPr>
            <w:r w:rsidRPr="00873465">
              <w:t>2005-2010</w:t>
            </w:r>
          </w:p>
        </w:tc>
        <w:tc>
          <w:tcPr>
            <w:tcW w:w="1074" w:type="dxa"/>
            <w:vAlign w:val="center"/>
          </w:tcPr>
          <w:p w:rsidR="00D55502" w:rsidRPr="00873465" w:rsidRDefault="00D55502" w:rsidP="004A109D">
            <w:pPr>
              <w:jc w:val="center"/>
              <w:cnfStyle w:val="100000000000"/>
            </w:pPr>
            <w:r>
              <w:t xml:space="preserve">% </w:t>
            </w:r>
            <w:r w:rsidRPr="00873465">
              <w:t>Change</w:t>
            </w:r>
          </w:p>
        </w:tc>
        <w:tc>
          <w:tcPr>
            <w:tcW w:w="1532" w:type="dxa"/>
            <w:vAlign w:val="center"/>
          </w:tcPr>
          <w:p w:rsidR="00D55502" w:rsidRDefault="004A109D" w:rsidP="004A109D">
            <w:pPr>
              <w:jc w:val="center"/>
              <w:cnfStyle w:val="100000000000"/>
            </w:pPr>
            <w:r>
              <w:t>County Name</w:t>
            </w:r>
          </w:p>
        </w:tc>
        <w:tc>
          <w:tcPr>
            <w:tcW w:w="683" w:type="dxa"/>
            <w:vAlign w:val="center"/>
          </w:tcPr>
          <w:p w:rsidR="00D55502" w:rsidRPr="00873465" w:rsidRDefault="00D55502" w:rsidP="004A109D">
            <w:pPr>
              <w:jc w:val="center"/>
              <w:cnfStyle w:val="100000000000"/>
            </w:pPr>
            <w:r w:rsidRPr="00873465">
              <w:t>2000-2004</w:t>
            </w:r>
          </w:p>
        </w:tc>
        <w:tc>
          <w:tcPr>
            <w:tcW w:w="713" w:type="dxa"/>
            <w:vAlign w:val="center"/>
          </w:tcPr>
          <w:p w:rsidR="00D55502" w:rsidRPr="00873465" w:rsidRDefault="00D55502" w:rsidP="004A109D">
            <w:pPr>
              <w:jc w:val="center"/>
              <w:cnfStyle w:val="100000000000"/>
            </w:pPr>
            <w:r w:rsidRPr="00873465">
              <w:t>2005-2010</w:t>
            </w:r>
          </w:p>
        </w:tc>
        <w:tc>
          <w:tcPr>
            <w:tcW w:w="1034" w:type="dxa"/>
            <w:vAlign w:val="center"/>
          </w:tcPr>
          <w:p w:rsidR="00D55502" w:rsidRPr="00873465" w:rsidRDefault="00D55502" w:rsidP="004A109D">
            <w:pPr>
              <w:jc w:val="center"/>
              <w:cnfStyle w:val="100000000000"/>
            </w:pPr>
            <w:r>
              <w:t xml:space="preserve">% </w:t>
            </w:r>
            <w:r w:rsidRPr="00873465">
              <w:t>Change</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Adair</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30.2</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35.4</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+17.2</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Grant</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26.5</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24.2</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-8.7</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Nowata</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29.7</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33.1</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+11.4</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Alfalfa</w:t>
            </w:r>
          </w:p>
        </w:tc>
        <w:tc>
          <w:tcPr>
            <w:tcW w:w="720" w:type="dxa"/>
          </w:tcPr>
          <w:p w:rsidR="00D55502" w:rsidRPr="00873465" w:rsidRDefault="00D55502" w:rsidP="005F19D2">
            <w:pPr>
              <w:jc w:val="right"/>
              <w:cnfStyle w:val="000000000000"/>
            </w:pPr>
            <w:r w:rsidRPr="00873465">
              <w:t>33.7</w:t>
            </w:r>
          </w:p>
        </w:tc>
        <w:tc>
          <w:tcPr>
            <w:tcW w:w="713" w:type="dxa"/>
          </w:tcPr>
          <w:p w:rsidR="00D55502" w:rsidRPr="00873465" w:rsidRDefault="00D55502" w:rsidP="005F19D2">
            <w:pPr>
              <w:jc w:val="right"/>
              <w:cnfStyle w:val="000000000000"/>
            </w:pPr>
            <w:r w:rsidRPr="00873465">
              <w:t>31.9</w:t>
            </w:r>
          </w:p>
        </w:tc>
        <w:tc>
          <w:tcPr>
            <w:tcW w:w="1031" w:type="dxa"/>
          </w:tcPr>
          <w:p w:rsidR="00D55502" w:rsidRPr="00873465" w:rsidRDefault="00D55502" w:rsidP="005F19D2">
            <w:pPr>
              <w:jc w:val="right"/>
              <w:cnfStyle w:val="000000000000"/>
            </w:pPr>
            <w:r w:rsidRPr="00873465">
              <w:t>-5.3</w:t>
            </w:r>
          </w:p>
        </w:tc>
        <w:tc>
          <w:tcPr>
            <w:tcW w:w="1226" w:type="dxa"/>
            <w:shd w:val="clear" w:color="auto" w:fill="D9D9D9" w:themeFill="background1" w:themeFillShade="D9"/>
          </w:tcPr>
          <w:p w:rsidR="00D55502" w:rsidRPr="00475A31" w:rsidRDefault="00D55502" w:rsidP="005F19D2">
            <w:pPr>
              <w:cnfStyle w:val="000000000000"/>
            </w:pPr>
            <w:r w:rsidRPr="00475A31">
              <w:t>Greer</w:t>
            </w:r>
          </w:p>
        </w:tc>
        <w:tc>
          <w:tcPr>
            <w:tcW w:w="713" w:type="dxa"/>
          </w:tcPr>
          <w:p w:rsidR="00D55502" w:rsidRPr="00873465" w:rsidRDefault="00D55502" w:rsidP="005F19D2">
            <w:pPr>
              <w:jc w:val="right"/>
              <w:cnfStyle w:val="000000000000"/>
            </w:pPr>
            <w:r w:rsidRPr="00873465">
              <w:t>-</w:t>
            </w:r>
          </w:p>
        </w:tc>
        <w:tc>
          <w:tcPr>
            <w:tcW w:w="713" w:type="dxa"/>
          </w:tcPr>
          <w:p w:rsidR="00D55502" w:rsidRPr="00873465" w:rsidRDefault="00D55502" w:rsidP="005F19D2">
            <w:pPr>
              <w:jc w:val="right"/>
              <w:cnfStyle w:val="000000000000"/>
            </w:pPr>
            <w:r w:rsidRPr="00873465">
              <w:t>34.9</w:t>
            </w:r>
          </w:p>
        </w:tc>
        <w:tc>
          <w:tcPr>
            <w:tcW w:w="1074" w:type="dxa"/>
          </w:tcPr>
          <w:p w:rsidR="00D55502" w:rsidRPr="00873465" w:rsidRDefault="00D55502" w:rsidP="005F19D2">
            <w:pPr>
              <w:jc w:val="right"/>
              <w:cnfStyle w:val="000000000000"/>
            </w:pPr>
            <w:r w:rsidRPr="00873465">
              <w:t>-</w:t>
            </w:r>
          </w:p>
        </w:tc>
        <w:tc>
          <w:tcPr>
            <w:tcW w:w="1532" w:type="dxa"/>
            <w:shd w:val="clear" w:color="auto" w:fill="D9D9D9" w:themeFill="background1" w:themeFillShade="D9"/>
          </w:tcPr>
          <w:p w:rsidR="00D55502" w:rsidRPr="00873465" w:rsidRDefault="00D55502" w:rsidP="005F19D2">
            <w:pPr>
              <w:cnfStyle w:val="000000000000"/>
            </w:pPr>
            <w:r w:rsidRPr="00873465">
              <w:t>Okfuskee</w:t>
            </w:r>
          </w:p>
        </w:tc>
        <w:tc>
          <w:tcPr>
            <w:tcW w:w="683" w:type="dxa"/>
          </w:tcPr>
          <w:p w:rsidR="00D55502" w:rsidRPr="00873465" w:rsidRDefault="00D55502" w:rsidP="005F19D2">
            <w:pPr>
              <w:jc w:val="right"/>
              <w:cnfStyle w:val="000000000000"/>
            </w:pPr>
            <w:r w:rsidRPr="00873465">
              <w:t>19.7</w:t>
            </w:r>
          </w:p>
        </w:tc>
        <w:tc>
          <w:tcPr>
            <w:tcW w:w="713" w:type="dxa"/>
          </w:tcPr>
          <w:p w:rsidR="00D55502" w:rsidRPr="00873465" w:rsidRDefault="00D55502" w:rsidP="005F19D2">
            <w:pPr>
              <w:jc w:val="right"/>
              <w:cnfStyle w:val="000000000000"/>
            </w:pPr>
            <w:r w:rsidRPr="00873465">
              <w:t>31.7</w:t>
            </w:r>
          </w:p>
        </w:tc>
        <w:tc>
          <w:tcPr>
            <w:tcW w:w="1034" w:type="dxa"/>
          </w:tcPr>
          <w:p w:rsidR="00D55502" w:rsidRPr="00873465" w:rsidRDefault="00D55502" w:rsidP="005F19D2">
            <w:pPr>
              <w:jc w:val="right"/>
              <w:cnfStyle w:val="000000000000"/>
            </w:pPr>
            <w:r w:rsidRPr="00873465">
              <w:t>+60.9</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Atoka</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18.1</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34.5</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+90.6</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Harmon</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Oklahoma</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21.1</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28.4</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+34.6</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Beaver</w:t>
            </w:r>
          </w:p>
        </w:tc>
        <w:tc>
          <w:tcPr>
            <w:tcW w:w="720" w:type="dxa"/>
          </w:tcPr>
          <w:p w:rsidR="00D55502" w:rsidRPr="00873465" w:rsidRDefault="00D55502" w:rsidP="005F19D2">
            <w:pPr>
              <w:jc w:val="right"/>
              <w:cnfStyle w:val="000000000000"/>
            </w:pPr>
            <w:r w:rsidRPr="00873465">
              <w:t>25.3</w:t>
            </w:r>
          </w:p>
        </w:tc>
        <w:tc>
          <w:tcPr>
            <w:tcW w:w="713" w:type="dxa"/>
          </w:tcPr>
          <w:p w:rsidR="00D55502" w:rsidRPr="00873465" w:rsidRDefault="00D55502" w:rsidP="005F19D2">
            <w:pPr>
              <w:jc w:val="right"/>
              <w:cnfStyle w:val="000000000000"/>
            </w:pPr>
            <w:r w:rsidRPr="00873465">
              <w:t>29.5</w:t>
            </w:r>
          </w:p>
        </w:tc>
        <w:tc>
          <w:tcPr>
            <w:tcW w:w="1031" w:type="dxa"/>
          </w:tcPr>
          <w:p w:rsidR="00D55502" w:rsidRPr="00873465" w:rsidRDefault="00D55502" w:rsidP="005F19D2">
            <w:pPr>
              <w:jc w:val="right"/>
              <w:cnfStyle w:val="000000000000"/>
            </w:pPr>
            <w:r w:rsidRPr="00873465">
              <w:t>+16.6</w:t>
            </w:r>
          </w:p>
        </w:tc>
        <w:tc>
          <w:tcPr>
            <w:tcW w:w="1226" w:type="dxa"/>
            <w:shd w:val="clear" w:color="auto" w:fill="D9D9D9" w:themeFill="background1" w:themeFillShade="D9"/>
          </w:tcPr>
          <w:p w:rsidR="00D55502" w:rsidRPr="00475A31" w:rsidRDefault="00D55502" w:rsidP="005F19D2">
            <w:pPr>
              <w:cnfStyle w:val="000000000000"/>
            </w:pPr>
            <w:r w:rsidRPr="00475A31">
              <w:t>Harper</w:t>
            </w:r>
          </w:p>
        </w:tc>
        <w:tc>
          <w:tcPr>
            <w:tcW w:w="713" w:type="dxa"/>
          </w:tcPr>
          <w:p w:rsidR="00D55502" w:rsidRPr="00873465" w:rsidRDefault="00D55502" w:rsidP="005F19D2">
            <w:pPr>
              <w:jc w:val="right"/>
              <w:cnfStyle w:val="000000000000"/>
            </w:pPr>
            <w:r w:rsidRPr="00873465">
              <w:t>-</w:t>
            </w:r>
          </w:p>
        </w:tc>
        <w:tc>
          <w:tcPr>
            <w:tcW w:w="713" w:type="dxa"/>
          </w:tcPr>
          <w:p w:rsidR="00D55502" w:rsidRPr="00873465" w:rsidRDefault="00D55502" w:rsidP="005F19D2">
            <w:pPr>
              <w:jc w:val="right"/>
              <w:cnfStyle w:val="000000000000"/>
            </w:pPr>
            <w:r w:rsidRPr="00873465">
              <w:t>-</w:t>
            </w:r>
          </w:p>
        </w:tc>
        <w:tc>
          <w:tcPr>
            <w:tcW w:w="1074" w:type="dxa"/>
          </w:tcPr>
          <w:p w:rsidR="00D55502" w:rsidRPr="00873465" w:rsidRDefault="00D55502" w:rsidP="005F19D2">
            <w:pPr>
              <w:jc w:val="right"/>
              <w:cnfStyle w:val="000000000000"/>
            </w:pPr>
            <w:r w:rsidRPr="00873465">
              <w:t>-</w:t>
            </w:r>
          </w:p>
        </w:tc>
        <w:tc>
          <w:tcPr>
            <w:tcW w:w="1532" w:type="dxa"/>
            <w:shd w:val="clear" w:color="auto" w:fill="D9D9D9" w:themeFill="background1" w:themeFillShade="D9"/>
          </w:tcPr>
          <w:p w:rsidR="00D55502" w:rsidRPr="00873465" w:rsidRDefault="00D55502" w:rsidP="005F19D2">
            <w:pPr>
              <w:cnfStyle w:val="000000000000"/>
            </w:pPr>
            <w:r w:rsidRPr="00873465">
              <w:t>Okmulgee</w:t>
            </w:r>
          </w:p>
        </w:tc>
        <w:tc>
          <w:tcPr>
            <w:tcW w:w="683" w:type="dxa"/>
          </w:tcPr>
          <w:p w:rsidR="00D55502" w:rsidRPr="00873465" w:rsidRDefault="00D55502" w:rsidP="005F19D2">
            <w:pPr>
              <w:jc w:val="right"/>
              <w:cnfStyle w:val="000000000000"/>
            </w:pPr>
            <w:r w:rsidRPr="00873465">
              <w:t>29.0</w:t>
            </w:r>
          </w:p>
        </w:tc>
        <w:tc>
          <w:tcPr>
            <w:tcW w:w="713" w:type="dxa"/>
          </w:tcPr>
          <w:p w:rsidR="00D55502" w:rsidRPr="00873465" w:rsidRDefault="00D55502" w:rsidP="005F19D2">
            <w:pPr>
              <w:jc w:val="right"/>
              <w:cnfStyle w:val="000000000000"/>
            </w:pPr>
            <w:r w:rsidRPr="00873465">
              <w:t>33.7</w:t>
            </w:r>
          </w:p>
        </w:tc>
        <w:tc>
          <w:tcPr>
            <w:tcW w:w="1034" w:type="dxa"/>
          </w:tcPr>
          <w:p w:rsidR="00D55502" w:rsidRPr="00873465" w:rsidRDefault="00D55502" w:rsidP="005F19D2">
            <w:pPr>
              <w:jc w:val="right"/>
              <w:cnfStyle w:val="000000000000"/>
            </w:pPr>
            <w:r w:rsidRPr="00873465">
              <w:t>+16.2</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Beckham</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22.3</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32.5</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+45.7</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Haskell</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25.4</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31.1</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+22.4</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Osage</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30.0</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32.8</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+9.3</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Blaine</w:t>
            </w:r>
          </w:p>
        </w:tc>
        <w:tc>
          <w:tcPr>
            <w:tcW w:w="720" w:type="dxa"/>
          </w:tcPr>
          <w:p w:rsidR="00D55502" w:rsidRPr="00873465" w:rsidRDefault="00D55502" w:rsidP="005F19D2">
            <w:pPr>
              <w:jc w:val="right"/>
              <w:cnfStyle w:val="000000000000"/>
            </w:pPr>
            <w:r w:rsidRPr="00873465">
              <w:t>32.0</w:t>
            </w:r>
          </w:p>
        </w:tc>
        <w:tc>
          <w:tcPr>
            <w:tcW w:w="713" w:type="dxa"/>
          </w:tcPr>
          <w:p w:rsidR="00D55502" w:rsidRPr="00873465" w:rsidRDefault="00D55502" w:rsidP="005F19D2">
            <w:pPr>
              <w:jc w:val="right"/>
              <w:cnfStyle w:val="000000000000"/>
            </w:pPr>
            <w:r w:rsidRPr="00873465">
              <w:t>31.5</w:t>
            </w:r>
          </w:p>
        </w:tc>
        <w:tc>
          <w:tcPr>
            <w:tcW w:w="1031" w:type="dxa"/>
          </w:tcPr>
          <w:p w:rsidR="00D55502" w:rsidRPr="00873465" w:rsidRDefault="00D55502" w:rsidP="005F19D2">
            <w:pPr>
              <w:jc w:val="right"/>
              <w:cnfStyle w:val="000000000000"/>
            </w:pPr>
            <w:r w:rsidRPr="00873465">
              <w:t>-1.6</w:t>
            </w:r>
          </w:p>
        </w:tc>
        <w:tc>
          <w:tcPr>
            <w:tcW w:w="1226" w:type="dxa"/>
            <w:shd w:val="clear" w:color="auto" w:fill="D9D9D9" w:themeFill="background1" w:themeFillShade="D9"/>
          </w:tcPr>
          <w:p w:rsidR="00D55502" w:rsidRPr="00475A31" w:rsidRDefault="00D55502" w:rsidP="005F19D2">
            <w:pPr>
              <w:cnfStyle w:val="000000000000"/>
            </w:pPr>
            <w:r w:rsidRPr="00475A31">
              <w:t>Hughes</w:t>
            </w:r>
          </w:p>
        </w:tc>
        <w:tc>
          <w:tcPr>
            <w:tcW w:w="713" w:type="dxa"/>
          </w:tcPr>
          <w:p w:rsidR="00D55502" w:rsidRPr="00873465" w:rsidRDefault="00D55502" w:rsidP="005F19D2">
            <w:pPr>
              <w:jc w:val="right"/>
              <w:cnfStyle w:val="000000000000"/>
            </w:pPr>
            <w:r w:rsidRPr="00873465">
              <w:t>24.4</w:t>
            </w:r>
          </w:p>
        </w:tc>
        <w:tc>
          <w:tcPr>
            <w:tcW w:w="713" w:type="dxa"/>
          </w:tcPr>
          <w:p w:rsidR="00D55502" w:rsidRPr="00873465" w:rsidRDefault="00D55502" w:rsidP="005F19D2">
            <w:pPr>
              <w:jc w:val="right"/>
              <w:cnfStyle w:val="000000000000"/>
            </w:pPr>
            <w:r w:rsidRPr="00873465">
              <w:t>21.2</w:t>
            </w:r>
          </w:p>
        </w:tc>
        <w:tc>
          <w:tcPr>
            <w:tcW w:w="1074" w:type="dxa"/>
          </w:tcPr>
          <w:p w:rsidR="00D55502" w:rsidRPr="00873465" w:rsidRDefault="00D55502" w:rsidP="005F19D2">
            <w:pPr>
              <w:jc w:val="right"/>
              <w:cnfStyle w:val="000000000000"/>
            </w:pPr>
            <w:r w:rsidRPr="00873465">
              <w:t>-13.1</w:t>
            </w:r>
          </w:p>
        </w:tc>
        <w:tc>
          <w:tcPr>
            <w:tcW w:w="1532" w:type="dxa"/>
            <w:shd w:val="clear" w:color="auto" w:fill="D9D9D9" w:themeFill="background1" w:themeFillShade="D9"/>
          </w:tcPr>
          <w:p w:rsidR="00D55502" w:rsidRPr="00873465" w:rsidRDefault="00D55502" w:rsidP="005F19D2">
            <w:pPr>
              <w:cnfStyle w:val="000000000000"/>
            </w:pPr>
            <w:r w:rsidRPr="00873465">
              <w:t>Ottawa</w:t>
            </w:r>
          </w:p>
        </w:tc>
        <w:tc>
          <w:tcPr>
            <w:tcW w:w="683" w:type="dxa"/>
          </w:tcPr>
          <w:p w:rsidR="00D55502" w:rsidRPr="00873465" w:rsidRDefault="00D55502" w:rsidP="005F19D2">
            <w:pPr>
              <w:jc w:val="right"/>
              <w:cnfStyle w:val="000000000000"/>
            </w:pPr>
            <w:r w:rsidRPr="00873465">
              <w:t>25.1</w:t>
            </w:r>
          </w:p>
        </w:tc>
        <w:tc>
          <w:tcPr>
            <w:tcW w:w="713" w:type="dxa"/>
          </w:tcPr>
          <w:p w:rsidR="00D55502" w:rsidRPr="00873465" w:rsidRDefault="00D55502" w:rsidP="005F19D2">
            <w:pPr>
              <w:jc w:val="right"/>
              <w:cnfStyle w:val="000000000000"/>
            </w:pPr>
            <w:r w:rsidRPr="00873465">
              <w:t>32.2</w:t>
            </w:r>
          </w:p>
        </w:tc>
        <w:tc>
          <w:tcPr>
            <w:tcW w:w="1034" w:type="dxa"/>
          </w:tcPr>
          <w:p w:rsidR="00D55502" w:rsidRPr="00873465" w:rsidRDefault="00D55502" w:rsidP="005F19D2">
            <w:pPr>
              <w:jc w:val="right"/>
              <w:cnfStyle w:val="000000000000"/>
            </w:pPr>
            <w:r w:rsidRPr="00873465">
              <w:t>+28.3</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Bryan</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17.6</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30.4</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+72.7</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Jackson</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24.7</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31.7</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+28.3</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Pawnee</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23.6</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32.3</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+36.9</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Caddo</w:t>
            </w:r>
          </w:p>
        </w:tc>
        <w:tc>
          <w:tcPr>
            <w:tcW w:w="720" w:type="dxa"/>
          </w:tcPr>
          <w:p w:rsidR="00D55502" w:rsidRPr="00873465" w:rsidRDefault="00D55502" w:rsidP="005F19D2">
            <w:pPr>
              <w:jc w:val="right"/>
              <w:cnfStyle w:val="000000000000"/>
            </w:pPr>
            <w:r w:rsidRPr="00873465">
              <w:t>28.8</w:t>
            </w:r>
          </w:p>
        </w:tc>
        <w:tc>
          <w:tcPr>
            <w:tcW w:w="713" w:type="dxa"/>
          </w:tcPr>
          <w:p w:rsidR="00D55502" w:rsidRPr="00873465" w:rsidRDefault="00D55502" w:rsidP="005F19D2">
            <w:pPr>
              <w:jc w:val="right"/>
              <w:cnfStyle w:val="000000000000"/>
            </w:pPr>
            <w:r w:rsidRPr="00873465">
              <w:t>29.1</w:t>
            </w:r>
          </w:p>
        </w:tc>
        <w:tc>
          <w:tcPr>
            <w:tcW w:w="1031" w:type="dxa"/>
          </w:tcPr>
          <w:p w:rsidR="00D55502" w:rsidRPr="00873465" w:rsidRDefault="00D55502" w:rsidP="005F19D2">
            <w:pPr>
              <w:jc w:val="right"/>
              <w:cnfStyle w:val="000000000000"/>
            </w:pPr>
            <w:r w:rsidRPr="00873465">
              <w:t>+1.0</w:t>
            </w:r>
          </w:p>
        </w:tc>
        <w:tc>
          <w:tcPr>
            <w:tcW w:w="1226" w:type="dxa"/>
            <w:shd w:val="clear" w:color="auto" w:fill="D9D9D9" w:themeFill="background1" w:themeFillShade="D9"/>
          </w:tcPr>
          <w:p w:rsidR="00D55502" w:rsidRPr="00475A31" w:rsidRDefault="00D55502" w:rsidP="005F19D2">
            <w:pPr>
              <w:cnfStyle w:val="000000000000"/>
            </w:pPr>
            <w:r w:rsidRPr="00475A31">
              <w:t>Jefferson</w:t>
            </w:r>
          </w:p>
        </w:tc>
        <w:tc>
          <w:tcPr>
            <w:tcW w:w="713" w:type="dxa"/>
          </w:tcPr>
          <w:p w:rsidR="00D55502" w:rsidRPr="00873465" w:rsidRDefault="00D55502" w:rsidP="005F19D2">
            <w:pPr>
              <w:jc w:val="right"/>
              <w:cnfStyle w:val="000000000000"/>
            </w:pPr>
            <w:r w:rsidRPr="00873465">
              <w:t>21.5</w:t>
            </w:r>
          </w:p>
        </w:tc>
        <w:tc>
          <w:tcPr>
            <w:tcW w:w="713" w:type="dxa"/>
          </w:tcPr>
          <w:p w:rsidR="00D55502" w:rsidRPr="00873465" w:rsidRDefault="00D55502" w:rsidP="005F19D2">
            <w:pPr>
              <w:jc w:val="right"/>
              <w:cnfStyle w:val="000000000000"/>
            </w:pPr>
            <w:r w:rsidRPr="00873465">
              <w:t>39.3</w:t>
            </w:r>
          </w:p>
        </w:tc>
        <w:tc>
          <w:tcPr>
            <w:tcW w:w="1074" w:type="dxa"/>
          </w:tcPr>
          <w:p w:rsidR="00D55502" w:rsidRPr="00873465" w:rsidRDefault="00D55502" w:rsidP="005F19D2">
            <w:pPr>
              <w:jc w:val="right"/>
              <w:cnfStyle w:val="000000000000"/>
            </w:pPr>
            <w:r w:rsidRPr="00873465">
              <w:t>+82.8</w:t>
            </w:r>
          </w:p>
        </w:tc>
        <w:tc>
          <w:tcPr>
            <w:tcW w:w="1532" w:type="dxa"/>
            <w:shd w:val="clear" w:color="auto" w:fill="D9D9D9" w:themeFill="background1" w:themeFillShade="D9"/>
          </w:tcPr>
          <w:p w:rsidR="00D55502" w:rsidRPr="00873465" w:rsidRDefault="00D55502" w:rsidP="005F19D2">
            <w:pPr>
              <w:cnfStyle w:val="000000000000"/>
            </w:pPr>
            <w:r w:rsidRPr="00873465">
              <w:t>Payne</w:t>
            </w:r>
          </w:p>
        </w:tc>
        <w:tc>
          <w:tcPr>
            <w:tcW w:w="683" w:type="dxa"/>
          </w:tcPr>
          <w:p w:rsidR="00D55502" w:rsidRPr="00873465" w:rsidRDefault="00D55502" w:rsidP="005F19D2">
            <w:pPr>
              <w:jc w:val="right"/>
              <w:cnfStyle w:val="000000000000"/>
            </w:pPr>
            <w:r w:rsidRPr="00873465">
              <w:t>20.1</w:t>
            </w:r>
          </w:p>
        </w:tc>
        <w:tc>
          <w:tcPr>
            <w:tcW w:w="713" w:type="dxa"/>
          </w:tcPr>
          <w:p w:rsidR="00D55502" w:rsidRPr="00873465" w:rsidRDefault="00D55502" w:rsidP="005F19D2">
            <w:pPr>
              <w:jc w:val="right"/>
              <w:cnfStyle w:val="000000000000"/>
            </w:pPr>
            <w:r w:rsidRPr="00873465">
              <w:t>27.4</w:t>
            </w:r>
          </w:p>
        </w:tc>
        <w:tc>
          <w:tcPr>
            <w:tcW w:w="1034" w:type="dxa"/>
          </w:tcPr>
          <w:p w:rsidR="00D55502" w:rsidRPr="00873465" w:rsidRDefault="00D55502" w:rsidP="005F19D2">
            <w:pPr>
              <w:jc w:val="right"/>
              <w:cnfStyle w:val="000000000000"/>
            </w:pPr>
            <w:r w:rsidRPr="00873465">
              <w:t>+36.3</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Canadian</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20.7</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26.4</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+27.5</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Johnston</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26.2</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24.7</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-5.7</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Pittsburg</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25.4</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30.2</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+18.9</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Carter</w:t>
            </w:r>
          </w:p>
        </w:tc>
        <w:tc>
          <w:tcPr>
            <w:tcW w:w="720" w:type="dxa"/>
          </w:tcPr>
          <w:p w:rsidR="00D55502" w:rsidRPr="00873465" w:rsidRDefault="00D55502" w:rsidP="005F19D2">
            <w:pPr>
              <w:jc w:val="right"/>
              <w:cnfStyle w:val="000000000000"/>
            </w:pPr>
            <w:r w:rsidRPr="00873465">
              <w:t>20.0</w:t>
            </w:r>
          </w:p>
        </w:tc>
        <w:tc>
          <w:tcPr>
            <w:tcW w:w="713" w:type="dxa"/>
          </w:tcPr>
          <w:p w:rsidR="00D55502" w:rsidRPr="00873465" w:rsidRDefault="00D55502" w:rsidP="005F19D2">
            <w:pPr>
              <w:jc w:val="right"/>
              <w:cnfStyle w:val="000000000000"/>
            </w:pPr>
            <w:r w:rsidRPr="00873465">
              <w:t>30.6</w:t>
            </w:r>
          </w:p>
        </w:tc>
        <w:tc>
          <w:tcPr>
            <w:tcW w:w="1031" w:type="dxa"/>
          </w:tcPr>
          <w:p w:rsidR="00D55502" w:rsidRPr="00873465" w:rsidRDefault="00D55502" w:rsidP="005F19D2">
            <w:pPr>
              <w:jc w:val="right"/>
              <w:cnfStyle w:val="000000000000"/>
            </w:pPr>
            <w:r w:rsidRPr="00873465">
              <w:t>+53.0</w:t>
            </w:r>
          </w:p>
        </w:tc>
        <w:tc>
          <w:tcPr>
            <w:tcW w:w="1226" w:type="dxa"/>
            <w:shd w:val="clear" w:color="auto" w:fill="D9D9D9" w:themeFill="background1" w:themeFillShade="D9"/>
          </w:tcPr>
          <w:p w:rsidR="00D55502" w:rsidRPr="00475A31" w:rsidRDefault="00D55502" w:rsidP="005F19D2">
            <w:pPr>
              <w:cnfStyle w:val="000000000000"/>
            </w:pPr>
            <w:r w:rsidRPr="00475A31">
              <w:t>Kay</w:t>
            </w:r>
          </w:p>
        </w:tc>
        <w:tc>
          <w:tcPr>
            <w:tcW w:w="713" w:type="dxa"/>
          </w:tcPr>
          <w:p w:rsidR="00D55502" w:rsidRPr="00873465" w:rsidRDefault="00D55502" w:rsidP="005F19D2">
            <w:pPr>
              <w:jc w:val="right"/>
              <w:cnfStyle w:val="000000000000"/>
            </w:pPr>
            <w:r w:rsidRPr="00873465">
              <w:t>24.9</w:t>
            </w:r>
          </w:p>
        </w:tc>
        <w:tc>
          <w:tcPr>
            <w:tcW w:w="713" w:type="dxa"/>
          </w:tcPr>
          <w:p w:rsidR="00D55502" w:rsidRPr="00873465" w:rsidRDefault="00D55502" w:rsidP="005F19D2">
            <w:pPr>
              <w:jc w:val="right"/>
              <w:cnfStyle w:val="000000000000"/>
            </w:pPr>
            <w:r w:rsidRPr="00873465">
              <w:t>31.3</w:t>
            </w:r>
          </w:p>
        </w:tc>
        <w:tc>
          <w:tcPr>
            <w:tcW w:w="1074" w:type="dxa"/>
          </w:tcPr>
          <w:p w:rsidR="00D55502" w:rsidRPr="00873465" w:rsidRDefault="00D55502" w:rsidP="005F19D2">
            <w:pPr>
              <w:jc w:val="right"/>
              <w:cnfStyle w:val="000000000000"/>
            </w:pPr>
            <w:r w:rsidRPr="00873465">
              <w:t>+25.7</w:t>
            </w:r>
          </w:p>
        </w:tc>
        <w:tc>
          <w:tcPr>
            <w:tcW w:w="1532" w:type="dxa"/>
            <w:shd w:val="clear" w:color="auto" w:fill="D9D9D9" w:themeFill="background1" w:themeFillShade="D9"/>
          </w:tcPr>
          <w:p w:rsidR="00D55502" w:rsidRPr="00873465" w:rsidRDefault="00D55502" w:rsidP="005F19D2">
            <w:pPr>
              <w:cnfStyle w:val="000000000000"/>
            </w:pPr>
            <w:r w:rsidRPr="00873465">
              <w:t>Pontotoc</w:t>
            </w:r>
          </w:p>
        </w:tc>
        <w:tc>
          <w:tcPr>
            <w:tcW w:w="683" w:type="dxa"/>
          </w:tcPr>
          <w:p w:rsidR="00D55502" w:rsidRPr="00873465" w:rsidRDefault="00D55502" w:rsidP="005F19D2">
            <w:pPr>
              <w:jc w:val="right"/>
              <w:cnfStyle w:val="000000000000"/>
            </w:pPr>
            <w:r w:rsidRPr="00873465">
              <w:t>25.3</w:t>
            </w:r>
          </w:p>
        </w:tc>
        <w:tc>
          <w:tcPr>
            <w:tcW w:w="713" w:type="dxa"/>
          </w:tcPr>
          <w:p w:rsidR="00D55502" w:rsidRPr="00873465" w:rsidRDefault="00D55502" w:rsidP="005F19D2">
            <w:pPr>
              <w:jc w:val="right"/>
              <w:cnfStyle w:val="000000000000"/>
            </w:pPr>
            <w:r w:rsidRPr="00873465">
              <w:t>35.0</w:t>
            </w:r>
          </w:p>
        </w:tc>
        <w:tc>
          <w:tcPr>
            <w:tcW w:w="1034" w:type="dxa"/>
          </w:tcPr>
          <w:p w:rsidR="00D55502" w:rsidRPr="00873465" w:rsidRDefault="00D55502" w:rsidP="005F19D2">
            <w:pPr>
              <w:jc w:val="right"/>
              <w:cnfStyle w:val="000000000000"/>
            </w:pPr>
            <w:r w:rsidRPr="00873465">
              <w:t>+38.3</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Cherokee</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25.4</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31.1</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+22.4</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Kingfisher</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24.5</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30.5</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+24.5</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Pottawatomie</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25.0</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34.2</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+36.8</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Choctaw</w:t>
            </w:r>
          </w:p>
        </w:tc>
        <w:tc>
          <w:tcPr>
            <w:tcW w:w="720" w:type="dxa"/>
          </w:tcPr>
          <w:p w:rsidR="00D55502" w:rsidRPr="00873465" w:rsidRDefault="00D55502" w:rsidP="005F19D2">
            <w:pPr>
              <w:jc w:val="right"/>
              <w:cnfStyle w:val="000000000000"/>
            </w:pPr>
            <w:r w:rsidRPr="00873465">
              <w:t>22.1</w:t>
            </w:r>
          </w:p>
        </w:tc>
        <w:tc>
          <w:tcPr>
            <w:tcW w:w="713" w:type="dxa"/>
          </w:tcPr>
          <w:p w:rsidR="00D55502" w:rsidRPr="00873465" w:rsidRDefault="00D55502" w:rsidP="005F19D2">
            <w:pPr>
              <w:jc w:val="right"/>
              <w:cnfStyle w:val="000000000000"/>
            </w:pPr>
            <w:r w:rsidRPr="00873465">
              <w:t>30.0</w:t>
            </w:r>
          </w:p>
        </w:tc>
        <w:tc>
          <w:tcPr>
            <w:tcW w:w="1031" w:type="dxa"/>
          </w:tcPr>
          <w:p w:rsidR="00D55502" w:rsidRPr="00873465" w:rsidRDefault="00D55502" w:rsidP="005F19D2">
            <w:pPr>
              <w:jc w:val="right"/>
              <w:cnfStyle w:val="000000000000"/>
            </w:pPr>
            <w:r w:rsidRPr="00873465">
              <w:t>+35.7</w:t>
            </w:r>
          </w:p>
        </w:tc>
        <w:tc>
          <w:tcPr>
            <w:tcW w:w="1226" w:type="dxa"/>
            <w:shd w:val="clear" w:color="auto" w:fill="D9D9D9" w:themeFill="background1" w:themeFillShade="D9"/>
          </w:tcPr>
          <w:p w:rsidR="00D55502" w:rsidRPr="00475A31" w:rsidRDefault="00D55502" w:rsidP="005F19D2">
            <w:pPr>
              <w:cnfStyle w:val="000000000000"/>
            </w:pPr>
            <w:r w:rsidRPr="00475A31">
              <w:t>Kiowa</w:t>
            </w:r>
          </w:p>
        </w:tc>
        <w:tc>
          <w:tcPr>
            <w:tcW w:w="713" w:type="dxa"/>
          </w:tcPr>
          <w:p w:rsidR="00D55502" w:rsidRPr="00873465" w:rsidRDefault="00D55502" w:rsidP="005F19D2">
            <w:pPr>
              <w:jc w:val="right"/>
              <w:cnfStyle w:val="000000000000"/>
            </w:pPr>
            <w:r w:rsidRPr="00873465">
              <w:t>29.7</w:t>
            </w:r>
          </w:p>
        </w:tc>
        <w:tc>
          <w:tcPr>
            <w:tcW w:w="713" w:type="dxa"/>
          </w:tcPr>
          <w:p w:rsidR="00D55502" w:rsidRPr="00873465" w:rsidRDefault="00D55502" w:rsidP="005F19D2">
            <w:pPr>
              <w:jc w:val="right"/>
              <w:cnfStyle w:val="000000000000"/>
            </w:pPr>
            <w:r w:rsidRPr="00873465">
              <w:t>31.1</w:t>
            </w:r>
          </w:p>
        </w:tc>
        <w:tc>
          <w:tcPr>
            <w:tcW w:w="1074" w:type="dxa"/>
          </w:tcPr>
          <w:p w:rsidR="00D55502" w:rsidRPr="00873465" w:rsidRDefault="00D55502" w:rsidP="005F19D2">
            <w:pPr>
              <w:jc w:val="right"/>
              <w:cnfStyle w:val="000000000000"/>
            </w:pPr>
            <w:r w:rsidRPr="00873465">
              <w:t>+4.7</w:t>
            </w:r>
          </w:p>
        </w:tc>
        <w:tc>
          <w:tcPr>
            <w:tcW w:w="1532" w:type="dxa"/>
            <w:shd w:val="clear" w:color="auto" w:fill="D9D9D9" w:themeFill="background1" w:themeFillShade="D9"/>
          </w:tcPr>
          <w:p w:rsidR="00D55502" w:rsidRPr="00873465" w:rsidRDefault="00D55502" w:rsidP="005F19D2">
            <w:pPr>
              <w:cnfStyle w:val="000000000000"/>
            </w:pPr>
            <w:r w:rsidRPr="00873465">
              <w:t>Pushmataha</w:t>
            </w:r>
          </w:p>
        </w:tc>
        <w:tc>
          <w:tcPr>
            <w:tcW w:w="683" w:type="dxa"/>
          </w:tcPr>
          <w:p w:rsidR="00D55502" w:rsidRPr="00873465" w:rsidRDefault="00D55502" w:rsidP="005F19D2">
            <w:pPr>
              <w:jc w:val="right"/>
              <w:cnfStyle w:val="000000000000"/>
            </w:pPr>
            <w:r w:rsidRPr="00873465">
              <w:t>26.1</w:t>
            </w:r>
          </w:p>
        </w:tc>
        <w:tc>
          <w:tcPr>
            <w:tcW w:w="713" w:type="dxa"/>
          </w:tcPr>
          <w:p w:rsidR="00D55502" w:rsidRPr="00873465" w:rsidRDefault="00D55502" w:rsidP="005F19D2">
            <w:pPr>
              <w:jc w:val="right"/>
              <w:cnfStyle w:val="000000000000"/>
            </w:pPr>
            <w:r w:rsidRPr="00873465">
              <w:t>25.2</w:t>
            </w:r>
          </w:p>
        </w:tc>
        <w:tc>
          <w:tcPr>
            <w:tcW w:w="1034" w:type="dxa"/>
          </w:tcPr>
          <w:p w:rsidR="00D55502" w:rsidRPr="00873465" w:rsidRDefault="00D55502" w:rsidP="005F19D2">
            <w:pPr>
              <w:jc w:val="right"/>
              <w:cnfStyle w:val="000000000000"/>
            </w:pPr>
            <w:r w:rsidRPr="00873465">
              <w:t>-3.4</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Cimarron</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26.2</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Latimer</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25.6</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42.2</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+64.8</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Roger Mills</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35.5</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Cleveland</w:t>
            </w:r>
          </w:p>
        </w:tc>
        <w:tc>
          <w:tcPr>
            <w:tcW w:w="720" w:type="dxa"/>
          </w:tcPr>
          <w:p w:rsidR="00D55502" w:rsidRPr="00873465" w:rsidRDefault="00D55502" w:rsidP="005F19D2">
            <w:pPr>
              <w:jc w:val="right"/>
              <w:cnfStyle w:val="000000000000"/>
            </w:pPr>
            <w:r w:rsidRPr="00873465">
              <w:t>19.2</w:t>
            </w:r>
          </w:p>
        </w:tc>
        <w:tc>
          <w:tcPr>
            <w:tcW w:w="713" w:type="dxa"/>
          </w:tcPr>
          <w:p w:rsidR="00D55502" w:rsidRPr="00873465" w:rsidRDefault="00D55502" w:rsidP="005F19D2">
            <w:pPr>
              <w:jc w:val="right"/>
              <w:cnfStyle w:val="000000000000"/>
            </w:pPr>
            <w:r w:rsidRPr="00873465">
              <w:t>26.5</w:t>
            </w:r>
          </w:p>
        </w:tc>
        <w:tc>
          <w:tcPr>
            <w:tcW w:w="1031" w:type="dxa"/>
          </w:tcPr>
          <w:p w:rsidR="00D55502" w:rsidRPr="00873465" w:rsidRDefault="00D55502" w:rsidP="005F19D2">
            <w:pPr>
              <w:jc w:val="right"/>
              <w:cnfStyle w:val="000000000000"/>
            </w:pPr>
            <w:r w:rsidRPr="00873465">
              <w:t>+38.0</w:t>
            </w:r>
          </w:p>
        </w:tc>
        <w:tc>
          <w:tcPr>
            <w:tcW w:w="1226" w:type="dxa"/>
            <w:shd w:val="clear" w:color="auto" w:fill="D9D9D9" w:themeFill="background1" w:themeFillShade="D9"/>
          </w:tcPr>
          <w:p w:rsidR="00D55502" w:rsidRPr="00475A31" w:rsidRDefault="00D55502" w:rsidP="005F19D2">
            <w:pPr>
              <w:cnfStyle w:val="000000000000"/>
            </w:pPr>
            <w:r w:rsidRPr="00475A31">
              <w:t>Le Flore</w:t>
            </w:r>
          </w:p>
        </w:tc>
        <w:tc>
          <w:tcPr>
            <w:tcW w:w="713" w:type="dxa"/>
          </w:tcPr>
          <w:p w:rsidR="00D55502" w:rsidRPr="00873465" w:rsidRDefault="00D55502" w:rsidP="005F19D2">
            <w:pPr>
              <w:jc w:val="right"/>
              <w:cnfStyle w:val="000000000000"/>
            </w:pPr>
            <w:r w:rsidRPr="00873465">
              <w:t>23.2</w:t>
            </w:r>
          </w:p>
        </w:tc>
        <w:tc>
          <w:tcPr>
            <w:tcW w:w="713" w:type="dxa"/>
          </w:tcPr>
          <w:p w:rsidR="00D55502" w:rsidRPr="00873465" w:rsidRDefault="00D55502" w:rsidP="005F19D2">
            <w:pPr>
              <w:jc w:val="right"/>
              <w:cnfStyle w:val="000000000000"/>
            </w:pPr>
            <w:r w:rsidRPr="00873465">
              <w:t>31.0</w:t>
            </w:r>
          </w:p>
        </w:tc>
        <w:tc>
          <w:tcPr>
            <w:tcW w:w="1074" w:type="dxa"/>
          </w:tcPr>
          <w:p w:rsidR="00D55502" w:rsidRPr="00873465" w:rsidRDefault="00D55502" w:rsidP="005F19D2">
            <w:pPr>
              <w:jc w:val="right"/>
              <w:cnfStyle w:val="000000000000"/>
            </w:pPr>
            <w:r w:rsidRPr="00873465">
              <w:t>+33.6</w:t>
            </w:r>
          </w:p>
        </w:tc>
        <w:tc>
          <w:tcPr>
            <w:tcW w:w="1532" w:type="dxa"/>
            <w:shd w:val="clear" w:color="auto" w:fill="D9D9D9" w:themeFill="background1" w:themeFillShade="D9"/>
          </w:tcPr>
          <w:p w:rsidR="00D55502" w:rsidRPr="00873465" w:rsidRDefault="00D55502" w:rsidP="005F19D2">
            <w:pPr>
              <w:cnfStyle w:val="000000000000"/>
            </w:pPr>
            <w:r w:rsidRPr="00873465">
              <w:t>Rogers</w:t>
            </w:r>
          </w:p>
        </w:tc>
        <w:tc>
          <w:tcPr>
            <w:tcW w:w="683" w:type="dxa"/>
          </w:tcPr>
          <w:p w:rsidR="00D55502" w:rsidRPr="00873465" w:rsidRDefault="00D55502" w:rsidP="005F19D2">
            <w:pPr>
              <w:jc w:val="right"/>
              <w:cnfStyle w:val="000000000000"/>
            </w:pPr>
            <w:r w:rsidRPr="00873465">
              <w:t>21.6</w:t>
            </w:r>
          </w:p>
        </w:tc>
        <w:tc>
          <w:tcPr>
            <w:tcW w:w="713" w:type="dxa"/>
          </w:tcPr>
          <w:p w:rsidR="00D55502" w:rsidRPr="00873465" w:rsidRDefault="00D55502" w:rsidP="005F19D2">
            <w:pPr>
              <w:jc w:val="right"/>
              <w:cnfStyle w:val="000000000000"/>
            </w:pPr>
            <w:r w:rsidRPr="00873465">
              <w:t>29.4</w:t>
            </w:r>
          </w:p>
        </w:tc>
        <w:tc>
          <w:tcPr>
            <w:tcW w:w="1034" w:type="dxa"/>
          </w:tcPr>
          <w:p w:rsidR="00D55502" w:rsidRPr="00873465" w:rsidRDefault="00D55502" w:rsidP="005F19D2">
            <w:pPr>
              <w:jc w:val="right"/>
              <w:cnfStyle w:val="000000000000"/>
            </w:pPr>
            <w:r w:rsidRPr="00873465">
              <w:t>+36.1</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Coal</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36.3</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33.6</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-7.4</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Lincoln</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31.3</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28.0</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-10.5</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Seminole</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30.8</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37.7</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+22.4</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Comanche</w:t>
            </w:r>
          </w:p>
        </w:tc>
        <w:tc>
          <w:tcPr>
            <w:tcW w:w="720" w:type="dxa"/>
          </w:tcPr>
          <w:p w:rsidR="00D55502" w:rsidRPr="00873465" w:rsidRDefault="00D55502" w:rsidP="005F19D2">
            <w:pPr>
              <w:jc w:val="right"/>
              <w:cnfStyle w:val="000000000000"/>
            </w:pPr>
            <w:r w:rsidRPr="00873465">
              <w:t>21.3</w:t>
            </w:r>
          </w:p>
        </w:tc>
        <w:tc>
          <w:tcPr>
            <w:tcW w:w="713" w:type="dxa"/>
          </w:tcPr>
          <w:p w:rsidR="00D55502" w:rsidRPr="00873465" w:rsidRDefault="00D55502" w:rsidP="005F19D2">
            <w:pPr>
              <w:jc w:val="right"/>
              <w:cnfStyle w:val="000000000000"/>
            </w:pPr>
            <w:r w:rsidRPr="00873465">
              <w:t>31.4</w:t>
            </w:r>
          </w:p>
        </w:tc>
        <w:tc>
          <w:tcPr>
            <w:tcW w:w="1031" w:type="dxa"/>
          </w:tcPr>
          <w:p w:rsidR="00D55502" w:rsidRPr="00873465" w:rsidRDefault="00D55502" w:rsidP="005F19D2">
            <w:pPr>
              <w:jc w:val="right"/>
              <w:cnfStyle w:val="000000000000"/>
            </w:pPr>
            <w:r w:rsidRPr="00873465">
              <w:t>+47.4</w:t>
            </w:r>
          </w:p>
        </w:tc>
        <w:tc>
          <w:tcPr>
            <w:tcW w:w="1226" w:type="dxa"/>
            <w:shd w:val="clear" w:color="auto" w:fill="D9D9D9" w:themeFill="background1" w:themeFillShade="D9"/>
          </w:tcPr>
          <w:p w:rsidR="00D55502" w:rsidRPr="00475A31" w:rsidRDefault="00D55502" w:rsidP="005F19D2">
            <w:pPr>
              <w:cnfStyle w:val="000000000000"/>
            </w:pPr>
            <w:r w:rsidRPr="00475A31">
              <w:t>Logan</w:t>
            </w:r>
          </w:p>
        </w:tc>
        <w:tc>
          <w:tcPr>
            <w:tcW w:w="713" w:type="dxa"/>
          </w:tcPr>
          <w:p w:rsidR="00D55502" w:rsidRPr="00873465" w:rsidRDefault="00D55502" w:rsidP="005F19D2">
            <w:pPr>
              <w:jc w:val="right"/>
              <w:cnfStyle w:val="000000000000"/>
            </w:pPr>
            <w:r w:rsidRPr="00873465">
              <w:t>25.1</w:t>
            </w:r>
          </w:p>
        </w:tc>
        <w:tc>
          <w:tcPr>
            <w:tcW w:w="713" w:type="dxa"/>
          </w:tcPr>
          <w:p w:rsidR="00D55502" w:rsidRPr="00873465" w:rsidRDefault="00D55502" w:rsidP="005F19D2">
            <w:pPr>
              <w:jc w:val="right"/>
              <w:cnfStyle w:val="000000000000"/>
            </w:pPr>
            <w:r w:rsidRPr="00873465">
              <w:t>32.7</w:t>
            </w:r>
          </w:p>
        </w:tc>
        <w:tc>
          <w:tcPr>
            <w:tcW w:w="1074" w:type="dxa"/>
          </w:tcPr>
          <w:p w:rsidR="00D55502" w:rsidRPr="00873465" w:rsidRDefault="00D55502" w:rsidP="005F19D2">
            <w:pPr>
              <w:jc w:val="right"/>
              <w:cnfStyle w:val="000000000000"/>
            </w:pPr>
            <w:r w:rsidRPr="00873465">
              <w:t>+30.3</w:t>
            </w:r>
          </w:p>
        </w:tc>
        <w:tc>
          <w:tcPr>
            <w:tcW w:w="1532" w:type="dxa"/>
            <w:shd w:val="clear" w:color="auto" w:fill="D9D9D9" w:themeFill="background1" w:themeFillShade="D9"/>
          </w:tcPr>
          <w:p w:rsidR="00D55502" w:rsidRPr="00873465" w:rsidRDefault="00D55502" w:rsidP="005F19D2">
            <w:pPr>
              <w:cnfStyle w:val="000000000000"/>
            </w:pPr>
            <w:r w:rsidRPr="00873465">
              <w:t>Sequoyah</w:t>
            </w:r>
          </w:p>
        </w:tc>
        <w:tc>
          <w:tcPr>
            <w:tcW w:w="683" w:type="dxa"/>
          </w:tcPr>
          <w:p w:rsidR="00D55502" w:rsidRPr="00873465" w:rsidRDefault="00D55502" w:rsidP="005F19D2">
            <w:pPr>
              <w:jc w:val="right"/>
              <w:cnfStyle w:val="000000000000"/>
            </w:pPr>
            <w:r w:rsidRPr="00873465">
              <w:t>28.7</w:t>
            </w:r>
          </w:p>
        </w:tc>
        <w:tc>
          <w:tcPr>
            <w:tcW w:w="713" w:type="dxa"/>
          </w:tcPr>
          <w:p w:rsidR="00D55502" w:rsidRPr="00873465" w:rsidRDefault="00D55502" w:rsidP="005F19D2">
            <w:pPr>
              <w:jc w:val="right"/>
              <w:cnfStyle w:val="000000000000"/>
            </w:pPr>
            <w:r w:rsidRPr="00873465">
              <w:t>32.9</w:t>
            </w:r>
          </w:p>
        </w:tc>
        <w:tc>
          <w:tcPr>
            <w:tcW w:w="1034" w:type="dxa"/>
          </w:tcPr>
          <w:p w:rsidR="00D55502" w:rsidRPr="00873465" w:rsidRDefault="00D55502" w:rsidP="005F19D2">
            <w:pPr>
              <w:jc w:val="right"/>
              <w:cnfStyle w:val="000000000000"/>
            </w:pPr>
            <w:r w:rsidRPr="00873465">
              <w:t>+14.6</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Cotton</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37.9</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Love</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23.9</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25.6</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+7.1</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Stephens</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28.0</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27.6</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-1.4</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Craig</w:t>
            </w:r>
          </w:p>
        </w:tc>
        <w:tc>
          <w:tcPr>
            <w:tcW w:w="720" w:type="dxa"/>
          </w:tcPr>
          <w:p w:rsidR="00D55502" w:rsidRPr="00873465" w:rsidRDefault="00D55502" w:rsidP="005F19D2">
            <w:pPr>
              <w:jc w:val="right"/>
              <w:cnfStyle w:val="000000000000"/>
            </w:pPr>
            <w:r w:rsidRPr="00873465">
              <w:t>19.3</w:t>
            </w:r>
          </w:p>
        </w:tc>
        <w:tc>
          <w:tcPr>
            <w:tcW w:w="713" w:type="dxa"/>
          </w:tcPr>
          <w:p w:rsidR="00D55502" w:rsidRPr="00873465" w:rsidRDefault="00D55502" w:rsidP="005F19D2">
            <w:pPr>
              <w:jc w:val="right"/>
              <w:cnfStyle w:val="000000000000"/>
            </w:pPr>
            <w:r w:rsidRPr="00873465">
              <w:t>36.8</w:t>
            </w:r>
          </w:p>
        </w:tc>
        <w:tc>
          <w:tcPr>
            <w:tcW w:w="1031" w:type="dxa"/>
          </w:tcPr>
          <w:p w:rsidR="00D55502" w:rsidRPr="00873465" w:rsidRDefault="00D55502" w:rsidP="005F19D2">
            <w:pPr>
              <w:jc w:val="right"/>
              <w:cnfStyle w:val="000000000000"/>
            </w:pPr>
            <w:r w:rsidRPr="00873465">
              <w:t>+90.7</w:t>
            </w:r>
          </w:p>
        </w:tc>
        <w:tc>
          <w:tcPr>
            <w:tcW w:w="1226" w:type="dxa"/>
            <w:shd w:val="clear" w:color="auto" w:fill="D9D9D9" w:themeFill="background1" w:themeFillShade="D9"/>
          </w:tcPr>
          <w:p w:rsidR="00D55502" w:rsidRPr="00475A31" w:rsidRDefault="00D55502" w:rsidP="005F19D2">
            <w:pPr>
              <w:cnfStyle w:val="000000000000"/>
            </w:pPr>
            <w:r w:rsidRPr="00475A31">
              <w:t>McClain</w:t>
            </w:r>
          </w:p>
        </w:tc>
        <w:tc>
          <w:tcPr>
            <w:tcW w:w="713" w:type="dxa"/>
          </w:tcPr>
          <w:p w:rsidR="00D55502" w:rsidRPr="00873465" w:rsidRDefault="00D55502" w:rsidP="005F19D2">
            <w:pPr>
              <w:jc w:val="right"/>
              <w:cnfStyle w:val="000000000000"/>
            </w:pPr>
            <w:r w:rsidRPr="00873465">
              <w:t>22.9</w:t>
            </w:r>
          </w:p>
        </w:tc>
        <w:tc>
          <w:tcPr>
            <w:tcW w:w="713" w:type="dxa"/>
          </w:tcPr>
          <w:p w:rsidR="00D55502" w:rsidRPr="00873465" w:rsidRDefault="00D55502" w:rsidP="005F19D2">
            <w:pPr>
              <w:jc w:val="right"/>
              <w:cnfStyle w:val="000000000000"/>
            </w:pPr>
            <w:r w:rsidRPr="00873465">
              <w:t>34.8</w:t>
            </w:r>
          </w:p>
        </w:tc>
        <w:tc>
          <w:tcPr>
            <w:tcW w:w="1074" w:type="dxa"/>
          </w:tcPr>
          <w:p w:rsidR="00D55502" w:rsidRPr="00873465" w:rsidRDefault="00D55502" w:rsidP="005F19D2">
            <w:pPr>
              <w:jc w:val="right"/>
              <w:cnfStyle w:val="000000000000"/>
            </w:pPr>
            <w:r w:rsidRPr="00873465">
              <w:t>+52.0</w:t>
            </w:r>
          </w:p>
        </w:tc>
        <w:tc>
          <w:tcPr>
            <w:tcW w:w="1532" w:type="dxa"/>
            <w:shd w:val="clear" w:color="auto" w:fill="D9D9D9" w:themeFill="background1" w:themeFillShade="D9"/>
          </w:tcPr>
          <w:p w:rsidR="00D55502" w:rsidRPr="00873465" w:rsidRDefault="00D55502" w:rsidP="005F19D2">
            <w:pPr>
              <w:cnfStyle w:val="000000000000"/>
            </w:pPr>
            <w:r w:rsidRPr="00873465">
              <w:t>Texas</w:t>
            </w:r>
          </w:p>
        </w:tc>
        <w:tc>
          <w:tcPr>
            <w:tcW w:w="683" w:type="dxa"/>
          </w:tcPr>
          <w:p w:rsidR="00D55502" w:rsidRPr="00873465" w:rsidRDefault="00D55502" w:rsidP="005F19D2">
            <w:pPr>
              <w:jc w:val="right"/>
              <w:cnfStyle w:val="000000000000"/>
            </w:pPr>
            <w:r w:rsidRPr="00873465">
              <w:t>17.4</w:t>
            </w:r>
          </w:p>
        </w:tc>
        <w:tc>
          <w:tcPr>
            <w:tcW w:w="713" w:type="dxa"/>
          </w:tcPr>
          <w:p w:rsidR="00D55502" w:rsidRPr="00873465" w:rsidRDefault="00D55502" w:rsidP="005F19D2">
            <w:pPr>
              <w:jc w:val="right"/>
              <w:cnfStyle w:val="000000000000"/>
            </w:pPr>
            <w:r w:rsidRPr="00873465">
              <w:t>27.5</w:t>
            </w:r>
          </w:p>
        </w:tc>
        <w:tc>
          <w:tcPr>
            <w:tcW w:w="1034" w:type="dxa"/>
          </w:tcPr>
          <w:p w:rsidR="00D55502" w:rsidRPr="00873465" w:rsidRDefault="00D55502" w:rsidP="005F19D2">
            <w:pPr>
              <w:jc w:val="right"/>
              <w:cnfStyle w:val="000000000000"/>
            </w:pPr>
            <w:r w:rsidRPr="00873465">
              <w:t>+58.0</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Creek</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25.6</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32.3</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+26.2</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McCurtain</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29.3</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33.4</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+14.0</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Tillman</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33.1</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34.5</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+4.2</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Custer</w:t>
            </w:r>
          </w:p>
        </w:tc>
        <w:tc>
          <w:tcPr>
            <w:tcW w:w="720" w:type="dxa"/>
          </w:tcPr>
          <w:p w:rsidR="00D55502" w:rsidRPr="00873465" w:rsidRDefault="00D55502" w:rsidP="005F19D2">
            <w:pPr>
              <w:jc w:val="right"/>
              <w:cnfStyle w:val="000000000000"/>
            </w:pPr>
            <w:r w:rsidRPr="00873465">
              <w:t>21.6</w:t>
            </w:r>
          </w:p>
        </w:tc>
        <w:tc>
          <w:tcPr>
            <w:tcW w:w="713" w:type="dxa"/>
          </w:tcPr>
          <w:p w:rsidR="00D55502" w:rsidRPr="00873465" w:rsidRDefault="00D55502" w:rsidP="005F19D2">
            <w:pPr>
              <w:jc w:val="right"/>
              <w:cnfStyle w:val="000000000000"/>
            </w:pPr>
            <w:r w:rsidRPr="00873465">
              <w:t>29.8</w:t>
            </w:r>
          </w:p>
        </w:tc>
        <w:tc>
          <w:tcPr>
            <w:tcW w:w="1031" w:type="dxa"/>
          </w:tcPr>
          <w:p w:rsidR="00D55502" w:rsidRPr="00873465" w:rsidRDefault="00D55502" w:rsidP="005F19D2">
            <w:pPr>
              <w:jc w:val="right"/>
              <w:cnfStyle w:val="000000000000"/>
            </w:pPr>
            <w:r w:rsidRPr="00873465">
              <w:t>+38.0</w:t>
            </w:r>
          </w:p>
        </w:tc>
        <w:tc>
          <w:tcPr>
            <w:tcW w:w="1226" w:type="dxa"/>
            <w:shd w:val="clear" w:color="auto" w:fill="D9D9D9" w:themeFill="background1" w:themeFillShade="D9"/>
          </w:tcPr>
          <w:p w:rsidR="00D55502" w:rsidRPr="00475A31" w:rsidRDefault="00D55502" w:rsidP="005F19D2">
            <w:pPr>
              <w:cnfStyle w:val="000000000000"/>
            </w:pPr>
            <w:r w:rsidRPr="00475A31">
              <w:t>McIntosh</w:t>
            </w:r>
          </w:p>
        </w:tc>
        <w:tc>
          <w:tcPr>
            <w:tcW w:w="713" w:type="dxa"/>
          </w:tcPr>
          <w:p w:rsidR="00D55502" w:rsidRPr="00873465" w:rsidRDefault="00D55502" w:rsidP="005F19D2">
            <w:pPr>
              <w:jc w:val="right"/>
              <w:cnfStyle w:val="000000000000"/>
            </w:pPr>
            <w:r w:rsidRPr="00873465">
              <w:t>23.4</w:t>
            </w:r>
          </w:p>
        </w:tc>
        <w:tc>
          <w:tcPr>
            <w:tcW w:w="713" w:type="dxa"/>
          </w:tcPr>
          <w:p w:rsidR="00D55502" w:rsidRPr="00873465" w:rsidRDefault="00D55502" w:rsidP="005F19D2">
            <w:pPr>
              <w:jc w:val="right"/>
              <w:cnfStyle w:val="000000000000"/>
            </w:pPr>
            <w:r w:rsidRPr="00873465">
              <w:t>37.4</w:t>
            </w:r>
          </w:p>
        </w:tc>
        <w:tc>
          <w:tcPr>
            <w:tcW w:w="1074" w:type="dxa"/>
          </w:tcPr>
          <w:p w:rsidR="00D55502" w:rsidRPr="00873465" w:rsidRDefault="00D55502" w:rsidP="005F19D2">
            <w:pPr>
              <w:jc w:val="right"/>
              <w:cnfStyle w:val="000000000000"/>
            </w:pPr>
            <w:r w:rsidRPr="00873465">
              <w:t>+59.8</w:t>
            </w:r>
          </w:p>
        </w:tc>
        <w:tc>
          <w:tcPr>
            <w:tcW w:w="1532" w:type="dxa"/>
            <w:shd w:val="clear" w:color="auto" w:fill="D9D9D9" w:themeFill="background1" w:themeFillShade="D9"/>
          </w:tcPr>
          <w:p w:rsidR="00D55502" w:rsidRPr="00873465" w:rsidRDefault="00D55502" w:rsidP="005F19D2">
            <w:pPr>
              <w:cnfStyle w:val="000000000000"/>
            </w:pPr>
            <w:r w:rsidRPr="00873465">
              <w:t>Tulsa</w:t>
            </w:r>
          </w:p>
        </w:tc>
        <w:tc>
          <w:tcPr>
            <w:tcW w:w="683" w:type="dxa"/>
          </w:tcPr>
          <w:p w:rsidR="00D55502" w:rsidRPr="00873465" w:rsidRDefault="00D55502" w:rsidP="005F19D2">
            <w:pPr>
              <w:jc w:val="right"/>
              <w:cnfStyle w:val="000000000000"/>
            </w:pPr>
            <w:r w:rsidRPr="00873465">
              <w:t>20.8</w:t>
            </w:r>
          </w:p>
        </w:tc>
        <w:tc>
          <w:tcPr>
            <w:tcW w:w="713" w:type="dxa"/>
          </w:tcPr>
          <w:p w:rsidR="00D55502" w:rsidRPr="00873465" w:rsidRDefault="00D55502" w:rsidP="005F19D2">
            <w:pPr>
              <w:jc w:val="right"/>
              <w:cnfStyle w:val="000000000000"/>
            </w:pPr>
            <w:r w:rsidRPr="00873465">
              <w:t>27.2</w:t>
            </w:r>
          </w:p>
        </w:tc>
        <w:tc>
          <w:tcPr>
            <w:tcW w:w="1034" w:type="dxa"/>
          </w:tcPr>
          <w:p w:rsidR="00D55502" w:rsidRPr="00873465" w:rsidRDefault="00D55502" w:rsidP="005F19D2">
            <w:pPr>
              <w:jc w:val="right"/>
              <w:cnfStyle w:val="000000000000"/>
            </w:pPr>
            <w:r w:rsidRPr="00873465">
              <w:t>+30.8</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Delaware</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23.5</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30.6</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+30.2</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5F19D2">
            <w:pPr>
              <w:cnfStyle w:val="000000100000"/>
            </w:pPr>
            <w:r w:rsidRPr="00475A31">
              <w:t>Major</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42.8</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26.9</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-37.1</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Wagoner</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23.8</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31.2</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+31.1</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Dewey</w:t>
            </w:r>
          </w:p>
        </w:tc>
        <w:tc>
          <w:tcPr>
            <w:tcW w:w="720" w:type="dxa"/>
          </w:tcPr>
          <w:p w:rsidR="00D55502" w:rsidRPr="00873465" w:rsidRDefault="00D55502" w:rsidP="005F19D2">
            <w:pPr>
              <w:jc w:val="right"/>
              <w:cnfStyle w:val="000000000000"/>
            </w:pPr>
            <w:r w:rsidRPr="00873465">
              <w:t>30.0</w:t>
            </w:r>
          </w:p>
        </w:tc>
        <w:tc>
          <w:tcPr>
            <w:tcW w:w="713" w:type="dxa"/>
          </w:tcPr>
          <w:p w:rsidR="00D55502" w:rsidRPr="00873465" w:rsidRDefault="00D55502" w:rsidP="005F19D2">
            <w:pPr>
              <w:jc w:val="right"/>
              <w:cnfStyle w:val="000000000000"/>
            </w:pPr>
            <w:r w:rsidRPr="00873465">
              <w:t>29.1</w:t>
            </w:r>
          </w:p>
        </w:tc>
        <w:tc>
          <w:tcPr>
            <w:tcW w:w="1031" w:type="dxa"/>
          </w:tcPr>
          <w:p w:rsidR="00D55502" w:rsidRPr="00873465" w:rsidRDefault="00D55502" w:rsidP="005F19D2">
            <w:pPr>
              <w:jc w:val="right"/>
              <w:cnfStyle w:val="000000000000"/>
            </w:pPr>
            <w:r w:rsidRPr="00873465">
              <w:t>-3.0</w:t>
            </w:r>
          </w:p>
        </w:tc>
        <w:tc>
          <w:tcPr>
            <w:tcW w:w="1226" w:type="dxa"/>
            <w:shd w:val="clear" w:color="auto" w:fill="D9D9D9" w:themeFill="background1" w:themeFillShade="D9"/>
          </w:tcPr>
          <w:p w:rsidR="00D55502" w:rsidRPr="00475A31" w:rsidRDefault="00D55502" w:rsidP="005F19D2">
            <w:pPr>
              <w:cnfStyle w:val="000000000000"/>
            </w:pPr>
            <w:r w:rsidRPr="00475A31">
              <w:t>Marshall</w:t>
            </w:r>
          </w:p>
        </w:tc>
        <w:tc>
          <w:tcPr>
            <w:tcW w:w="713" w:type="dxa"/>
          </w:tcPr>
          <w:p w:rsidR="00D55502" w:rsidRPr="00873465" w:rsidRDefault="00D55502" w:rsidP="005F19D2">
            <w:pPr>
              <w:jc w:val="right"/>
              <w:cnfStyle w:val="000000000000"/>
            </w:pPr>
            <w:r w:rsidRPr="00873465">
              <w:t>36.5</w:t>
            </w:r>
          </w:p>
        </w:tc>
        <w:tc>
          <w:tcPr>
            <w:tcW w:w="713" w:type="dxa"/>
          </w:tcPr>
          <w:p w:rsidR="00D55502" w:rsidRPr="00873465" w:rsidRDefault="00D55502" w:rsidP="005F19D2">
            <w:pPr>
              <w:jc w:val="right"/>
              <w:cnfStyle w:val="000000000000"/>
            </w:pPr>
            <w:r w:rsidRPr="00873465">
              <w:t>33.8</w:t>
            </w:r>
          </w:p>
        </w:tc>
        <w:tc>
          <w:tcPr>
            <w:tcW w:w="1074" w:type="dxa"/>
          </w:tcPr>
          <w:p w:rsidR="00D55502" w:rsidRPr="00873465" w:rsidRDefault="00D55502" w:rsidP="005F19D2">
            <w:pPr>
              <w:jc w:val="right"/>
              <w:cnfStyle w:val="000000000000"/>
            </w:pPr>
            <w:r w:rsidRPr="00873465">
              <w:t>-7.4</w:t>
            </w:r>
          </w:p>
        </w:tc>
        <w:tc>
          <w:tcPr>
            <w:tcW w:w="1532" w:type="dxa"/>
            <w:shd w:val="clear" w:color="auto" w:fill="D9D9D9" w:themeFill="background1" w:themeFillShade="D9"/>
          </w:tcPr>
          <w:p w:rsidR="00D55502" w:rsidRPr="00873465" w:rsidRDefault="00D55502" w:rsidP="005F19D2">
            <w:pPr>
              <w:cnfStyle w:val="000000000000"/>
            </w:pPr>
            <w:r w:rsidRPr="00873465">
              <w:t>Washington</w:t>
            </w:r>
          </w:p>
        </w:tc>
        <w:tc>
          <w:tcPr>
            <w:tcW w:w="683" w:type="dxa"/>
          </w:tcPr>
          <w:p w:rsidR="00D55502" w:rsidRPr="00873465" w:rsidRDefault="00D55502" w:rsidP="005F19D2">
            <w:pPr>
              <w:jc w:val="right"/>
              <w:cnfStyle w:val="000000000000"/>
            </w:pPr>
            <w:r w:rsidRPr="00873465">
              <w:t>19.8</w:t>
            </w:r>
          </w:p>
        </w:tc>
        <w:tc>
          <w:tcPr>
            <w:tcW w:w="713" w:type="dxa"/>
          </w:tcPr>
          <w:p w:rsidR="00D55502" w:rsidRPr="00873465" w:rsidRDefault="00D55502" w:rsidP="005F19D2">
            <w:pPr>
              <w:jc w:val="right"/>
              <w:cnfStyle w:val="000000000000"/>
            </w:pPr>
            <w:r w:rsidRPr="00873465">
              <w:t>26.7</w:t>
            </w:r>
          </w:p>
        </w:tc>
        <w:tc>
          <w:tcPr>
            <w:tcW w:w="1034" w:type="dxa"/>
          </w:tcPr>
          <w:p w:rsidR="00D55502" w:rsidRPr="00873465" w:rsidRDefault="00D55502" w:rsidP="005F19D2">
            <w:pPr>
              <w:jc w:val="right"/>
              <w:cnfStyle w:val="000000000000"/>
            </w:pPr>
            <w:r w:rsidRPr="00873465">
              <w:t>+34.8</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5F19D2">
            <w:pPr>
              <w:rPr>
                <w:b w:val="0"/>
              </w:rPr>
            </w:pPr>
            <w:r w:rsidRPr="00475A31">
              <w:rPr>
                <w:b w:val="0"/>
              </w:rPr>
              <w:t>Ellis</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15.7</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36.8</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+134.4</w:t>
            </w:r>
          </w:p>
        </w:tc>
        <w:tc>
          <w:tcPr>
            <w:tcW w:w="1226"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Mayes</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21.1</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36.9</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+74.9</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Washita</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20.8</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24.5</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+17.8</w:t>
            </w:r>
          </w:p>
        </w:tc>
      </w:tr>
      <w:tr w:rsidR="00475A31" w:rsidRPr="00873465" w:rsidTr="004A109D">
        <w:tc>
          <w:tcPr>
            <w:cnfStyle w:val="001000000000"/>
            <w:tcW w:w="1188" w:type="dxa"/>
            <w:shd w:val="clear" w:color="auto" w:fill="D9D9D9" w:themeFill="background1" w:themeFillShade="D9"/>
          </w:tcPr>
          <w:p w:rsidR="00D55502" w:rsidRPr="00475A31" w:rsidRDefault="00D55502" w:rsidP="005F19D2">
            <w:pPr>
              <w:rPr>
                <w:b w:val="0"/>
              </w:rPr>
            </w:pPr>
            <w:r w:rsidRPr="00475A31">
              <w:rPr>
                <w:b w:val="0"/>
              </w:rPr>
              <w:t>Garfield</w:t>
            </w:r>
          </w:p>
        </w:tc>
        <w:tc>
          <w:tcPr>
            <w:tcW w:w="720" w:type="dxa"/>
          </w:tcPr>
          <w:p w:rsidR="00D55502" w:rsidRPr="00873465" w:rsidRDefault="00D55502" w:rsidP="005F19D2">
            <w:pPr>
              <w:jc w:val="right"/>
              <w:cnfStyle w:val="000000000000"/>
            </w:pPr>
            <w:r w:rsidRPr="00873465">
              <w:t>27.7</w:t>
            </w:r>
          </w:p>
        </w:tc>
        <w:tc>
          <w:tcPr>
            <w:tcW w:w="713" w:type="dxa"/>
          </w:tcPr>
          <w:p w:rsidR="00D55502" w:rsidRPr="00873465" w:rsidRDefault="00D55502" w:rsidP="005F19D2">
            <w:pPr>
              <w:jc w:val="right"/>
              <w:cnfStyle w:val="000000000000"/>
            </w:pPr>
            <w:r w:rsidRPr="00873465">
              <w:t>33.7</w:t>
            </w:r>
          </w:p>
        </w:tc>
        <w:tc>
          <w:tcPr>
            <w:tcW w:w="1031" w:type="dxa"/>
          </w:tcPr>
          <w:p w:rsidR="00D55502" w:rsidRPr="00873465" w:rsidRDefault="00D55502" w:rsidP="005F19D2">
            <w:pPr>
              <w:jc w:val="right"/>
              <w:cnfStyle w:val="000000000000"/>
            </w:pPr>
            <w:r w:rsidRPr="00873465">
              <w:t>+21.7</w:t>
            </w:r>
          </w:p>
        </w:tc>
        <w:tc>
          <w:tcPr>
            <w:tcW w:w="1226" w:type="dxa"/>
            <w:shd w:val="clear" w:color="auto" w:fill="D9D9D9" w:themeFill="background1" w:themeFillShade="D9"/>
          </w:tcPr>
          <w:p w:rsidR="00D55502" w:rsidRPr="00873465" w:rsidRDefault="00D55502" w:rsidP="005F19D2">
            <w:pPr>
              <w:cnfStyle w:val="000000000000"/>
            </w:pPr>
            <w:r w:rsidRPr="00873465">
              <w:t>Murray</w:t>
            </w:r>
          </w:p>
        </w:tc>
        <w:tc>
          <w:tcPr>
            <w:tcW w:w="713" w:type="dxa"/>
          </w:tcPr>
          <w:p w:rsidR="00D55502" w:rsidRPr="00873465" w:rsidRDefault="00D55502" w:rsidP="005F19D2">
            <w:pPr>
              <w:jc w:val="right"/>
              <w:cnfStyle w:val="000000000000"/>
            </w:pPr>
            <w:r w:rsidRPr="00873465">
              <w:t>16.9</w:t>
            </w:r>
          </w:p>
        </w:tc>
        <w:tc>
          <w:tcPr>
            <w:tcW w:w="713" w:type="dxa"/>
          </w:tcPr>
          <w:p w:rsidR="00D55502" w:rsidRPr="00873465" w:rsidRDefault="00D55502" w:rsidP="005F19D2">
            <w:pPr>
              <w:jc w:val="right"/>
              <w:cnfStyle w:val="000000000000"/>
            </w:pPr>
            <w:r w:rsidRPr="00873465">
              <w:t>32.1</w:t>
            </w:r>
          </w:p>
        </w:tc>
        <w:tc>
          <w:tcPr>
            <w:tcW w:w="1074" w:type="dxa"/>
          </w:tcPr>
          <w:p w:rsidR="00D55502" w:rsidRPr="00873465" w:rsidRDefault="00D55502" w:rsidP="005F19D2">
            <w:pPr>
              <w:jc w:val="right"/>
              <w:cnfStyle w:val="000000000000"/>
            </w:pPr>
            <w:r w:rsidRPr="00873465">
              <w:t>+89.9</w:t>
            </w:r>
          </w:p>
        </w:tc>
        <w:tc>
          <w:tcPr>
            <w:tcW w:w="1532" w:type="dxa"/>
            <w:shd w:val="clear" w:color="auto" w:fill="D9D9D9" w:themeFill="background1" w:themeFillShade="D9"/>
          </w:tcPr>
          <w:p w:rsidR="00D55502" w:rsidRPr="00873465" w:rsidRDefault="00D55502" w:rsidP="005F19D2">
            <w:pPr>
              <w:cnfStyle w:val="000000000000"/>
            </w:pPr>
            <w:r w:rsidRPr="00873465">
              <w:t>Woods</w:t>
            </w:r>
          </w:p>
        </w:tc>
        <w:tc>
          <w:tcPr>
            <w:tcW w:w="683" w:type="dxa"/>
          </w:tcPr>
          <w:p w:rsidR="00D55502" w:rsidRPr="00873465" w:rsidRDefault="00D55502" w:rsidP="005F19D2">
            <w:pPr>
              <w:jc w:val="right"/>
              <w:cnfStyle w:val="000000000000"/>
            </w:pPr>
            <w:r w:rsidRPr="00873465">
              <w:t>17.2</w:t>
            </w:r>
          </w:p>
        </w:tc>
        <w:tc>
          <w:tcPr>
            <w:tcW w:w="713" w:type="dxa"/>
          </w:tcPr>
          <w:p w:rsidR="00D55502" w:rsidRPr="00873465" w:rsidRDefault="00D55502" w:rsidP="005F19D2">
            <w:pPr>
              <w:jc w:val="right"/>
              <w:cnfStyle w:val="000000000000"/>
            </w:pPr>
            <w:r w:rsidRPr="00873465">
              <w:t>21.7</w:t>
            </w:r>
          </w:p>
        </w:tc>
        <w:tc>
          <w:tcPr>
            <w:tcW w:w="1034" w:type="dxa"/>
          </w:tcPr>
          <w:p w:rsidR="00D55502" w:rsidRPr="00873465" w:rsidRDefault="00D55502" w:rsidP="005F19D2">
            <w:pPr>
              <w:jc w:val="right"/>
              <w:cnfStyle w:val="000000000000"/>
            </w:pPr>
            <w:r w:rsidRPr="00873465">
              <w:t>+26.2</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873465" w:rsidRDefault="00D55502" w:rsidP="005F19D2">
            <w:r w:rsidRPr="00873465">
              <w:t>Garvin</w:t>
            </w:r>
          </w:p>
        </w:tc>
        <w:tc>
          <w:tcPr>
            <w:tcW w:w="720" w:type="dxa"/>
            <w:tcBorders>
              <w:top w:val="none" w:sz="0" w:space="0" w:color="auto"/>
              <w:bottom w:val="none" w:sz="0" w:space="0" w:color="auto"/>
            </w:tcBorders>
          </w:tcPr>
          <w:p w:rsidR="00D55502" w:rsidRPr="00873465" w:rsidRDefault="00D55502" w:rsidP="005F19D2">
            <w:pPr>
              <w:jc w:val="right"/>
              <w:cnfStyle w:val="000000100000"/>
            </w:pPr>
            <w:r w:rsidRPr="00873465">
              <w:t>26.0</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29.8</w:t>
            </w:r>
          </w:p>
        </w:tc>
        <w:tc>
          <w:tcPr>
            <w:tcW w:w="1031" w:type="dxa"/>
            <w:tcBorders>
              <w:top w:val="none" w:sz="0" w:space="0" w:color="auto"/>
              <w:bottom w:val="none" w:sz="0" w:space="0" w:color="auto"/>
            </w:tcBorders>
          </w:tcPr>
          <w:p w:rsidR="00D55502" w:rsidRPr="00873465" w:rsidRDefault="00D55502" w:rsidP="005F19D2">
            <w:pPr>
              <w:jc w:val="right"/>
              <w:cnfStyle w:val="000000100000"/>
            </w:pPr>
            <w:r w:rsidRPr="00873465">
              <w:t>+14.6</w:t>
            </w:r>
          </w:p>
        </w:tc>
        <w:tc>
          <w:tcPr>
            <w:tcW w:w="1226"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Muskogee</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27.1</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29.6</w:t>
            </w:r>
          </w:p>
        </w:tc>
        <w:tc>
          <w:tcPr>
            <w:tcW w:w="1074" w:type="dxa"/>
            <w:tcBorders>
              <w:top w:val="none" w:sz="0" w:space="0" w:color="auto"/>
              <w:bottom w:val="none" w:sz="0" w:space="0" w:color="auto"/>
            </w:tcBorders>
          </w:tcPr>
          <w:p w:rsidR="00D55502" w:rsidRPr="00873465" w:rsidRDefault="00D55502" w:rsidP="005F19D2">
            <w:pPr>
              <w:jc w:val="right"/>
              <w:cnfStyle w:val="000000100000"/>
            </w:pPr>
            <w:r w:rsidRPr="00873465">
              <w:t>+9.2</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5F19D2">
            <w:pPr>
              <w:cnfStyle w:val="000000100000"/>
            </w:pPr>
            <w:r w:rsidRPr="00873465">
              <w:t>Woodward</w:t>
            </w:r>
          </w:p>
        </w:tc>
        <w:tc>
          <w:tcPr>
            <w:tcW w:w="683" w:type="dxa"/>
            <w:tcBorders>
              <w:top w:val="none" w:sz="0" w:space="0" w:color="auto"/>
              <w:bottom w:val="none" w:sz="0" w:space="0" w:color="auto"/>
            </w:tcBorders>
          </w:tcPr>
          <w:p w:rsidR="00D55502" w:rsidRPr="00873465" w:rsidRDefault="00D55502" w:rsidP="005F19D2">
            <w:pPr>
              <w:jc w:val="right"/>
              <w:cnfStyle w:val="000000100000"/>
            </w:pPr>
            <w:r w:rsidRPr="00873465">
              <w:t>26.2</w:t>
            </w:r>
          </w:p>
        </w:tc>
        <w:tc>
          <w:tcPr>
            <w:tcW w:w="713" w:type="dxa"/>
            <w:tcBorders>
              <w:top w:val="none" w:sz="0" w:space="0" w:color="auto"/>
              <w:bottom w:val="none" w:sz="0" w:space="0" w:color="auto"/>
            </w:tcBorders>
          </w:tcPr>
          <w:p w:rsidR="00D55502" w:rsidRPr="00873465" w:rsidRDefault="00D55502" w:rsidP="005F19D2">
            <w:pPr>
              <w:jc w:val="right"/>
              <w:cnfStyle w:val="000000100000"/>
            </w:pPr>
            <w:r w:rsidRPr="00873465">
              <w:t>32.5</w:t>
            </w:r>
          </w:p>
        </w:tc>
        <w:tc>
          <w:tcPr>
            <w:tcW w:w="1034" w:type="dxa"/>
            <w:tcBorders>
              <w:top w:val="none" w:sz="0" w:space="0" w:color="auto"/>
              <w:bottom w:val="none" w:sz="0" w:space="0" w:color="auto"/>
              <w:right w:val="none" w:sz="0" w:space="0" w:color="auto"/>
            </w:tcBorders>
          </w:tcPr>
          <w:p w:rsidR="00D55502" w:rsidRPr="00873465" w:rsidRDefault="00D55502" w:rsidP="005F19D2">
            <w:pPr>
              <w:jc w:val="right"/>
              <w:cnfStyle w:val="000000100000"/>
            </w:pPr>
            <w:r w:rsidRPr="00873465">
              <w:t>+24.0</w:t>
            </w:r>
          </w:p>
        </w:tc>
      </w:tr>
      <w:tr w:rsidR="00475A31" w:rsidRPr="00873465" w:rsidTr="004A109D">
        <w:tc>
          <w:tcPr>
            <w:cnfStyle w:val="001000000000"/>
            <w:tcW w:w="1188" w:type="dxa"/>
            <w:shd w:val="clear" w:color="auto" w:fill="D9D9D9" w:themeFill="background1" w:themeFillShade="D9"/>
          </w:tcPr>
          <w:p w:rsidR="00D55502" w:rsidRPr="00873465" w:rsidRDefault="00D55502" w:rsidP="005F19D2">
            <w:r w:rsidRPr="00873465">
              <w:t>Grady</w:t>
            </w:r>
          </w:p>
        </w:tc>
        <w:tc>
          <w:tcPr>
            <w:tcW w:w="720" w:type="dxa"/>
          </w:tcPr>
          <w:p w:rsidR="00D55502" w:rsidRPr="00873465" w:rsidRDefault="00D55502" w:rsidP="005F19D2">
            <w:pPr>
              <w:jc w:val="right"/>
              <w:cnfStyle w:val="000000000000"/>
            </w:pPr>
            <w:r w:rsidRPr="00873465">
              <w:t>24.5</w:t>
            </w:r>
          </w:p>
        </w:tc>
        <w:tc>
          <w:tcPr>
            <w:tcW w:w="713" w:type="dxa"/>
          </w:tcPr>
          <w:p w:rsidR="00D55502" w:rsidRPr="00873465" w:rsidRDefault="00D55502" w:rsidP="005F19D2">
            <w:pPr>
              <w:jc w:val="right"/>
              <w:cnfStyle w:val="000000000000"/>
            </w:pPr>
            <w:r w:rsidRPr="00873465">
              <w:t>34.5</w:t>
            </w:r>
          </w:p>
        </w:tc>
        <w:tc>
          <w:tcPr>
            <w:tcW w:w="1031" w:type="dxa"/>
          </w:tcPr>
          <w:p w:rsidR="00D55502" w:rsidRPr="00873465" w:rsidRDefault="00D55502" w:rsidP="005F19D2">
            <w:pPr>
              <w:jc w:val="right"/>
              <w:cnfStyle w:val="000000000000"/>
            </w:pPr>
            <w:r w:rsidRPr="00873465">
              <w:t>+40.8</w:t>
            </w:r>
          </w:p>
        </w:tc>
        <w:tc>
          <w:tcPr>
            <w:tcW w:w="1226" w:type="dxa"/>
            <w:shd w:val="clear" w:color="auto" w:fill="D9D9D9" w:themeFill="background1" w:themeFillShade="D9"/>
          </w:tcPr>
          <w:p w:rsidR="00D55502" w:rsidRPr="00873465" w:rsidRDefault="00D55502" w:rsidP="005F19D2">
            <w:pPr>
              <w:cnfStyle w:val="000000000000"/>
            </w:pPr>
            <w:r w:rsidRPr="00873465">
              <w:t>Noble</w:t>
            </w:r>
          </w:p>
        </w:tc>
        <w:tc>
          <w:tcPr>
            <w:tcW w:w="713" w:type="dxa"/>
          </w:tcPr>
          <w:p w:rsidR="00D55502" w:rsidRPr="00873465" w:rsidRDefault="00D55502" w:rsidP="005F19D2">
            <w:pPr>
              <w:jc w:val="right"/>
              <w:cnfStyle w:val="000000000000"/>
            </w:pPr>
            <w:r w:rsidRPr="00873465">
              <w:t>21.6</w:t>
            </w:r>
          </w:p>
        </w:tc>
        <w:tc>
          <w:tcPr>
            <w:tcW w:w="713" w:type="dxa"/>
          </w:tcPr>
          <w:p w:rsidR="00D55502" w:rsidRPr="00873465" w:rsidRDefault="00D55502" w:rsidP="005F19D2">
            <w:pPr>
              <w:jc w:val="right"/>
              <w:cnfStyle w:val="000000000000"/>
            </w:pPr>
            <w:r w:rsidRPr="00873465">
              <w:t>39.1</w:t>
            </w:r>
          </w:p>
        </w:tc>
        <w:tc>
          <w:tcPr>
            <w:tcW w:w="1074" w:type="dxa"/>
          </w:tcPr>
          <w:p w:rsidR="00D55502" w:rsidRPr="00873465" w:rsidRDefault="00D55502" w:rsidP="005F19D2">
            <w:pPr>
              <w:jc w:val="right"/>
              <w:cnfStyle w:val="000000000000"/>
            </w:pPr>
            <w:r w:rsidRPr="00873465">
              <w:t>+81.0</w:t>
            </w:r>
          </w:p>
        </w:tc>
        <w:tc>
          <w:tcPr>
            <w:tcW w:w="1532" w:type="dxa"/>
            <w:shd w:val="clear" w:color="auto" w:fill="D9D9D9" w:themeFill="background1" w:themeFillShade="D9"/>
          </w:tcPr>
          <w:p w:rsidR="00D55502" w:rsidRPr="00873465" w:rsidRDefault="00D55502" w:rsidP="005F19D2">
            <w:pPr>
              <w:jc w:val="right"/>
              <w:cnfStyle w:val="000000000000"/>
            </w:pPr>
          </w:p>
        </w:tc>
        <w:tc>
          <w:tcPr>
            <w:tcW w:w="683" w:type="dxa"/>
          </w:tcPr>
          <w:p w:rsidR="00D55502" w:rsidRPr="00873465" w:rsidRDefault="00D55502" w:rsidP="005F19D2">
            <w:pPr>
              <w:jc w:val="right"/>
              <w:cnfStyle w:val="000000000000"/>
            </w:pPr>
          </w:p>
        </w:tc>
        <w:tc>
          <w:tcPr>
            <w:tcW w:w="713" w:type="dxa"/>
          </w:tcPr>
          <w:p w:rsidR="00D55502" w:rsidRPr="00873465" w:rsidRDefault="00D55502" w:rsidP="005F19D2">
            <w:pPr>
              <w:jc w:val="right"/>
              <w:cnfStyle w:val="000000000000"/>
            </w:pPr>
          </w:p>
        </w:tc>
        <w:tc>
          <w:tcPr>
            <w:tcW w:w="1034" w:type="dxa"/>
          </w:tcPr>
          <w:p w:rsidR="00D55502" w:rsidRPr="00873465" w:rsidRDefault="00D55502" w:rsidP="005F19D2">
            <w:pPr>
              <w:jc w:val="right"/>
              <w:cnfStyle w:val="000000000000"/>
            </w:pPr>
          </w:p>
        </w:tc>
      </w:tr>
    </w:tbl>
    <w:p w:rsidR="00D55502" w:rsidRDefault="00D55502" w:rsidP="00662402">
      <w:pPr>
        <w:rPr>
          <w:color w:val="auto"/>
        </w:rPr>
      </w:pPr>
    </w:p>
    <w:p w:rsidR="00083B6C" w:rsidRPr="00B22472" w:rsidRDefault="00083B6C" w:rsidP="00083B6C">
      <w:pPr>
        <w:rPr>
          <w:rFonts w:ascii="Tahoma" w:hAnsi="Tahoma" w:cs="Tahoma"/>
          <w:b/>
          <w:color w:val="FE8637" w:themeColor="accent1"/>
          <w:sz w:val="22"/>
          <w:szCs w:val="22"/>
        </w:rPr>
      </w:pPr>
      <w:r w:rsidRPr="00B22472">
        <w:rPr>
          <w:rFonts w:ascii="Tahoma" w:hAnsi="Tahoma" w:cs="Tahoma"/>
          <w:b/>
          <w:color w:val="FE8637" w:themeColor="accent1"/>
          <w:sz w:val="22"/>
          <w:szCs w:val="22"/>
        </w:rPr>
        <w:t>Obesity and Select Health Outcomes and Behaviors</w:t>
      </w:r>
    </w:p>
    <w:p w:rsidR="00083B6C" w:rsidRPr="00B22472" w:rsidRDefault="00083B6C" w:rsidP="00083B6C">
      <w:pPr>
        <w:rPr>
          <w:color w:val="FE8637" w:themeColor="accent1"/>
          <w:sz w:val="22"/>
          <w:szCs w:val="22"/>
        </w:rPr>
      </w:pPr>
      <w:r w:rsidRPr="00B22472">
        <w:rPr>
          <w:color w:val="FE8637" w:themeColor="accent1"/>
          <w:sz w:val="22"/>
          <w:szCs w:val="22"/>
        </w:rPr>
        <w:t>Nutrition and Physical Activity</w:t>
      </w:r>
    </w:p>
    <w:p w:rsidR="00083B6C" w:rsidRDefault="00083B6C" w:rsidP="00083B6C">
      <w:pPr>
        <w:rPr>
          <w:noProof/>
        </w:rPr>
      </w:pPr>
      <w:r>
        <w:t>Poor nutrition and lack of physical activity are two primary behaviors that contribute to excess weight.</w:t>
      </w:r>
      <w:r w:rsidRPr="002709FE">
        <w:rPr>
          <w:vertAlign w:val="superscript"/>
        </w:rPr>
        <w:t>3</w:t>
      </w:r>
      <w:r>
        <w:t xml:space="preserve"> BRFSS assesses poor nutrition via a proxy measure of fruit and vegetable consumption, and physical activity is assessed as any leisure-time physical activity performed in the past 30 days. In 2009, Oklahoma as a state ranked last in the country for fruit and vegetable consumption, with 14.6% of its adult population having consumed the recommended 5 servings of fruits and vegetables daily in 2009.</w:t>
      </w:r>
      <w:r w:rsidRPr="00130E7C">
        <w:rPr>
          <w:vertAlign w:val="superscript"/>
        </w:rPr>
        <w:t>4</w:t>
      </w:r>
      <w:r>
        <w:t xml:space="preserve"> From data combined for 2005, 2007, and 2009, fruit and vegetable consumption was least common in the eastern part of the state, with Okfuskee, Marshall, and Adair Counties having the lowest rates at 4.1%, 6.9%, and 7.2%, respectively.</w:t>
      </w:r>
      <w:r w:rsidRPr="00394C04">
        <w:rPr>
          <w:vertAlign w:val="superscript"/>
        </w:rPr>
        <w:t>2</w:t>
      </w:r>
      <w:r>
        <w:t xml:space="preserve"> Conversely, almost 30% of adults in Choctaw County consumed at least 5 servings of fruits and vegetables daily. </w:t>
      </w:r>
    </w:p>
    <w:p w:rsidR="00083B6C" w:rsidRDefault="00083B6C" w:rsidP="00083B6C">
      <w:r w:rsidRPr="00083B6C">
        <w:rPr>
          <w:noProof/>
          <w:lang w:eastAsia="en-US"/>
        </w:rPr>
        <w:drawing>
          <wp:inline distT="0" distB="0" distL="0" distR="0">
            <wp:extent cx="2859775" cy="2209800"/>
            <wp:effectExtent l="19050" t="0" r="0" b="0"/>
            <wp:docPr id="3" name="Picture 16" descr="FVconsump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consumption.bmp"/>
                    <pic:cNvPicPr/>
                  </pic:nvPicPr>
                  <pic:blipFill>
                    <a:blip r:embed="rId13" cstate="print"/>
                    <a:stretch>
                      <a:fillRect/>
                    </a:stretch>
                  </pic:blipFill>
                  <pic:spPr>
                    <a:xfrm>
                      <a:off x="0" y="0"/>
                      <a:ext cx="2871592" cy="2218931"/>
                    </a:xfrm>
                    <a:prstGeom prst="rect">
                      <a:avLst/>
                    </a:prstGeom>
                  </pic:spPr>
                </pic:pic>
              </a:graphicData>
            </a:graphic>
          </wp:inline>
        </w:drawing>
      </w:r>
      <w:r>
        <w:t xml:space="preserve">                         </w:t>
      </w:r>
      <w:r w:rsidRPr="00083B6C">
        <w:rPr>
          <w:noProof/>
          <w:lang w:eastAsia="en-US"/>
        </w:rPr>
        <w:drawing>
          <wp:inline distT="0" distB="0" distL="0" distR="0">
            <wp:extent cx="2838450" cy="2193323"/>
            <wp:effectExtent l="19050" t="0" r="0" b="0"/>
            <wp:docPr id="4" name="Picture 17" descr="NoLTP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TPA.bmp"/>
                    <pic:cNvPicPr/>
                  </pic:nvPicPr>
                  <pic:blipFill>
                    <a:blip r:embed="rId14" cstate="print"/>
                    <a:stretch>
                      <a:fillRect/>
                    </a:stretch>
                  </pic:blipFill>
                  <pic:spPr>
                    <a:xfrm>
                      <a:off x="0" y="0"/>
                      <a:ext cx="2843133" cy="2196941"/>
                    </a:xfrm>
                    <a:prstGeom prst="rect">
                      <a:avLst/>
                    </a:prstGeom>
                  </pic:spPr>
                </pic:pic>
              </a:graphicData>
            </a:graphic>
          </wp:inline>
        </w:drawing>
      </w:r>
    </w:p>
    <w:p w:rsidR="00083B6C" w:rsidRPr="0052205B" w:rsidRDefault="00083B6C" w:rsidP="00083B6C">
      <w:pPr>
        <w:rPr>
          <w:vertAlign w:val="superscript"/>
        </w:rPr>
      </w:pPr>
      <w:r>
        <w:t>In 2010, Oklahoma ranked 47th in the country for lack of physical activity, with 29.9% of its adult population reporting no recent physical activity.</w:t>
      </w:r>
      <w:r w:rsidRPr="00130E7C">
        <w:rPr>
          <w:vertAlign w:val="superscript"/>
        </w:rPr>
        <w:t>4</w:t>
      </w:r>
      <w:r>
        <w:t xml:space="preserve"> Data from 2005 to 2010 demonstrate that Grant County had the lowest rate of inactivity (19.6%), compared with Greer County on the high end (45.7%).</w:t>
      </w:r>
      <w:r w:rsidRPr="00E53FBC">
        <w:rPr>
          <w:vertAlign w:val="superscript"/>
        </w:rPr>
        <w:t>2</w:t>
      </w:r>
      <w:r>
        <w:t xml:space="preserve"> These data also show that those who were obese had significantly lower rates of fruit and vegetable consumption and recent physical activity (Table 3). </w:t>
      </w:r>
    </w:p>
    <w:p w:rsidR="00083B6C" w:rsidRPr="004A109D" w:rsidRDefault="00083B6C" w:rsidP="00083B6C">
      <w:pPr>
        <w:spacing w:after="0"/>
        <w:rPr>
          <w:b/>
        </w:rPr>
      </w:pPr>
      <w:proofErr w:type="gramStart"/>
      <w:r w:rsidRPr="004A109D">
        <w:rPr>
          <w:b/>
        </w:rPr>
        <w:t>Table 3.</w:t>
      </w:r>
      <w:proofErr w:type="gramEnd"/>
      <w:r w:rsidRPr="004A109D">
        <w:rPr>
          <w:b/>
        </w:rPr>
        <w:t xml:space="preserve"> Nutritional and Physical Activity Statuses of Obese and Non-obese Oklahoma Adults,</w:t>
      </w:r>
    </w:p>
    <w:p w:rsidR="00083B6C" w:rsidRPr="004A109D" w:rsidRDefault="00083B6C" w:rsidP="00083B6C">
      <w:pPr>
        <w:spacing w:after="0"/>
        <w:rPr>
          <w:b/>
        </w:rPr>
      </w:pPr>
      <w:r w:rsidRPr="004A109D">
        <w:rPr>
          <w:b/>
        </w:rPr>
        <w:t xml:space="preserve">BRFSS 2005-2010. </w:t>
      </w:r>
    </w:p>
    <w:tbl>
      <w:tblPr>
        <w:tblStyle w:val="TableGrid"/>
        <w:tblW w:w="0" w:type="auto"/>
        <w:tblBorders>
          <w:insideH w:val="single" w:sz="4" w:space="0" w:color="808080" w:themeColor="background1" w:themeShade="80"/>
          <w:insideV w:val="single" w:sz="4" w:space="0" w:color="808080" w:themeColor="background1" w:themeShade="80"/>
        </w:tblBorders>
        <w:tblLook w:val="04A0"/>
      </w:tblPr>
      <w:tblGrid>
        <w:gridCol w:w="4788"/>
        <w:gridCol w:w="1440"/>
        <w:gridCol w:w="1440"/>
        <w:gridCol w:w="1872"/>
      </w:tblGrid>
      <w:tr w:rsidR="00083B6C" w:rsidRPr="0052205B" w:rsidTr="004A109D">
        <w:trPr>
          <w:cnfStyle w:val="100000000000"/>
        </w:trPr>
        <w:tc>
          <w:tcPr>
            <w:cnfStyle w:val="001000000000"/>
            <w:tcW w:w="4788" w:type="dxa"/>
          </w:tcPr>
          <w:p w:rsidR="00083B6C" w:rsidRPr="0052205B" w:rsidRDefault="00083B6C" w:rsidP="00475A31"/>
        </w:tc>
        <w:tc>
          <w:tcPr>
            <w:tcW w:w="1440" w:type="dxa"/>
          </w:tcPr>
          <w:p w:rsidR="00083B6C" w:rsidRPr="0052205B" w:rsidRDefault="00083B6C" w:rsidP="00475A31">
            <w:pPr>
              <w:jc w:val="right"/>
              <w:cnfStyle w:val="100000000000"/>
            </w:pPr>
            <w:r w:rsidRPr="0052205B">
              <w:t>Obese</w:t>
            </w:r>
          </w:p>
        </w:tc>
        <w:tc>
          <w:tcPr>
            <w:tcW w:w="1440" w:type="dxa"/>
          </w:tcPr>
          <w:p w:rsidR="00083B6C" w:rsidRPr="0052205B" w:rsidRDefault="00083B6C" w:rsidP="00475A31">
            <w:pPr>
              <w:jc w:val="right"/>
              <w:cnfStyle w:val="100000000000"/>
            </w:pPr>
            <w:r w:rsidRPr="0052205B">
              <w:t>Not Obese</w:t>
            </w:r>
          </w:p>
        </w:tc>
        <w:tc>
          <w:tcPr>
            <w:tcW w:w="1872" w:type="dxa"/>
          </w:tcPr>
          <w:p w:rsidR="00083B6C" w:rsidRPr="0052205B" w:rsidRDefault="00083B6C" w:rsidP="00475A31">
            <w:pPr>
              <w:jc w:val="right"/>
              <w:cnfStyle w:val="100000000000"/>
            </w:pPr>
            <w:r w:rsidRPr="0052205B">
              <w:t>p-value (α = .05)</w:t>
            </w:r>
          </w:p>
        </w:tc>
      </w:tr>
      <w:tr w:rsidR="00083B6C" w:rsidRPr="0052205B" w:rsidTr="004A109D">
        <w:trPr>
          <w:cnfStyle w:val="000000100000"/>
        </w:trPr>
        <w:tc>
          <w:tcPr>
            <w:cnfStyle w:val="001000000000"/>
            <w:tcW w:w="4788" w:type="dxa"/>
            <w:tcBorders>
              <w:top w:val="none" w:sz="0" w:space="0" w:color="auto"/>
              <w:left w:val="none" w:sz="0" w:space="0" w:color="auto"/>
              <w:bottom w:val="none" w:sz="0" w:space="0" w:color="auto"/>
            </w:tcBorders>
            <w:shd w:val="clear" w:color="auto" w:fill="D9D9D9" w:themeFill="background1" w:themeFillShade="D9"/>
          </w:tcPr>
          <w:p w:rsidR="00083B6C" w:rsidRPr="0052205B" w:rsidRDefault="00083B6C" w:rsidP="00475A31">
            <w:r w:rsidRPr="0052205B">
              <w:t>Not eating 5 servings of fruits and vegetables</w:t>
            </w:r>
          </w:p>
        </w:tc>
        <w:tc>
          <w:tcPr>
            <w:tcW w:w="1440" w:type="dxa"/>
            <w:tcBorders>
              <w:top w:val="none" w:sz="0" w:space="0" w:color="auto"/>
              <w:bottom w:val="none" w:sz="0" w:space="0" w:color="auto"/>
            </w:tcBorders>
            <w:vAlign w:val="bottom"/>
          </w:tcPr>
          <w:p w:rsidR="00083B6C" w:rsidRPr="0052205B" w:rsidRDefault="00083B6C" w:rsidP="00475A31">
            <w:pPr>
              <w:jc w:val="right"/>
              <w:cnfStyle w:val="000000100000"/>
            </w:pPr>
            <w:r w:rsidRPr="0052205B">
              <w:t>85.6%</w:t>
            </w:r>
          </w:p>
        </w:tc>
        <w:tc>
          <w:tcPr>
            <w:tcW w:w="1440" w:type="dxa"/>
            <w:tcBorders>
              <w:top w:val="none" w:sz="0" w:space="0" w:color="auto"/>
              <w:bottom w:val="none" w:sz="0" w:space="0" w:color="auto"/>
            </w:tcBorders>
            <w:vAlign w:val="bottom"/>
          </w:tcPr>
          <w:p w:rsidR="00083B6C" w:rsidRPr="0052205B" w:rsidRDefault="00083B6C" w:rsidP="00475A31">
            <w:pPr>
              <w:jc w:val="right"/>
              <w:cnfStyle w:val="000000100000"/>
            </w:pPr>
            <w:r w:rsidRPr="0052205B">
              <w:t>84.1%</w:t>
            </w:r>
          </w:p>
        </w:tc>
        <w:tc>
          <w:tcPr>
            <w:tcW w:w="1872" w:type="dxa"/>
            <w:tcBorders>
              <w:top w:val="none" w:sz="0" w:space="0" w:color="auto"/>
              <w:bottom w:val="none" w:sz="0" w:space="0" w:color="auto"/>
              <w:right w:val="none" w:sz="0" w:space="0" w:color="auto"/>
            </w:tcBorders>
            <w:vAlign w:val="bottom"/>
          </w:tcPr>
          <w:p w:rsidR="00083B6C" w:rsidRPr="0052205B" w:rsidRDefault="00083B6C" w:rsidP="00475A31">
            <w:pPr>
              <w:jc w:val="right"/>
              <w:cnfStyle w:val="000000100000"/>
            </w:pPr>
          </w:p>
        </w:tc>
      </w:tr>
      <w:tr w:rsidR="00083B6C" w:rsidRPr="0052205B" w:rsidTr="004A109D">
        <w:tc>
          <w:tcPr>
            <w:cnfStyle w:val="001000000000"/>
            <w:tcW w:w="4788" w:type="dxa"/>
            <w:shd w:val="clear" w:color="auto" w:fill="D9D9D9" w:themeFill="background1" w:themeFillShade="D9"/>
          </w:tcPr>
          <w:p w:rsidR="00083B6C" w:rsidRPr="0052205B" w:rsidRDefault="00083B6C" w:rsidP="00475A31">
            <w:r w:rsidRPr="0052205B">
              <w:t>Eating 5 servings of fruits and vegetables</w:t>
            </w:r>
          </w:p>
        </w:tc>
        <w:tc>
          <w:tcPr>
            <w:tcW w:w="1440" w:type="dxa"/>
            <w:vAlign w:val="bottom"/>
          </w:tcPr>
          <w:p w:rsidR="00083B6C" w:rsidRPr="0052205B" w:rsidRDefault="00083B6C" w:rsidP="00475A31">
            <w:pPr>
              <w:jc w:val="right"/>
              <w:cnfStyle w:val="000000000000"/>
            </w:pPr>
            <w:r w:rsidRPr="0052205B">
              <w:t>14.4%</w:t>
            </w:r>
          </w:p>
        </w:tc>
        <w:tc>
          <w:tcPr>
            <w:tcW w:w="1440" w:type="dxa"/>
            <w:vAlign w:val="bottom"/>
          </w:tcPr>
          <w:p w:rsidR="00083B6C" w:rsidRPr="0052205B" w:rsidRDefault="00083B6C" w:rsidP="00475A31">
            <w:pPr>
              <w:jc w:val="right"/>
              <w:cnfStyle w:val="000000000000"/>
            </w:pPr>
            <w:r w:rsidRPr="0052205B">
              <w:t>15.9%</w:t>
            </w:r>
          </w:p>
        </w:tc>
        <w:tc>
          <w:tcPr>
            <w:tcW w:w="1872" w:type="dxa"/>
            <w:vAlign w:val="bottom"/>
          </w:tcPr>
          <w:p w:rsidR="00083B6C" w:rsidRPr="0052205B" w:rsidRDefault="00083B6C" w:rsidP="00475A31">
            <w:pPr>
              <w:jc w:val="right"/>
              <w:cnfStyle w:val="000000000000"/>
            </w:pPr>
            <w:r w:rsidRPr="0052205B">
              <w:t>0.0381</w:t>
            </w:r>
          </w:p>
        </w:tc>
      </w:tr>
      <w:tr w:rsidR="00083B6C" w:rsidRPr="0052205B" w:rsidTr="004A109D">
        <w:trPr>
          <w:cnfStyle w:val="000000100000"/>
        </w:trPr>
        <w:tc>
          <w:tcPr>
            <w:cnfStyle w:val="001000000000"/>
            <w:tcW w:w="4788" w:type="dxa"/>
            <w:tcBorders>
              <w:top w:val="none" w:sz="0" w:space="0" w:color="auto"/>
              <w:left w:val="none" w:sz="0" w:space="0" w:color="auto"/>
              <w:bottom w:val="none" w:sz="0" w:space="0" w:color="auto"/>
            </w:tcBorders>
            <w:shd w:val="clear" w:color="auto" w:fill="D9D9D9" w:themeFill="background1" w:themeFillShade="D9"/>
          </w:tcPr>
          <w:p w:rsidR="00083B6C" w:rsidRPr="0052205B" w:rsidRDefault="00083B6C" w:rsidP="00475A31">
            <w:r w:rsidRPr="0052205B">
              <w:t>No physical activity in the past 30 days</w:t>
            </w:r>
          </w:p>
        </w:tc>
        <w:tc>
          <w:tcPr>
            <w:tcW w:w="1440" w:type="dxa"/>
            <w:tcBorders>
              <w:top w:val="none" w:sz="0" w:space="0" w:color="auto"/>
              <w:bottom w:val="none" w:sz="0" w:space="0" w:color="auto"/>
            </w:tcBorders>
            <w:vAlign w:val="bottom"/>
          </w:tcPr>
          <w:p w:rsidR="00083B6C" w:rsidRPr="0052205B" w:rsidRDefault="00083B6C" w:rsidP="00475A31">
            <w:pPr>
              <w:jc w:val="right"/>
              <w:cnfStyle w:val="000000100000"/>
            </w:pPr>
            <w:r w:rsidRPr="0052205B">
              <w:t>37.8%</w:t>
            </w:r>
          </w:p>
        </w:tc>
        <w:tc>
          <w:tcPr>
            <w:tcW w:w="1440" w:type="dxa"/>
            <w:tcBorders>
              <w:top w:val="none" w:sz="0" w:space="0" w:color="auto"/>
              <w:bottom w:val="none" w:sz="0" w:space="0" w:color="auto"/>
            </w:tcBorders>
            <w:vAlign w:val="bottom"/>
          </w:tcPr>
          <w:p w:rsidR="00083B6C" w:rsidRPr="0052205B" w:rsidRDefault="00083B6C" w:rsidP="00475A31">
            <w:pPr>
              <w:jc w:val="right"/>
              <w:cnfStyle w:val="000000100000"/>
            </w:pPr>
            <w:r w:rsidRPr="0052205B">
              <w:t>26.8%</w:t>
            </w:r>
          </w:p>
        </w:tc>
        <w:tc>
          <w:tcPr>
            <w:tcW w:w="1872" w:type="dxa"/>
            <w:tcBorders>
              <w:top w:val="none" w:sz="0" w:space="0" w:color="auto"/>
              <w:bottom w:val="none" w:sz="0" w:space="0" w:color="auto"/>
              <w:right w:val="none" w:sz="0" w:space="0" w:color="auto"/>
            </w:tcBorders>
            <w:vAlign w:val="bottom"/>
          </w:tcPr>
          <w:p w:rsidR="00083B6C" w:rsidRPr="0052205B" w:rsidRDefault="00083B6C" w:rsidP="00475A31">
            <w:pPr>
              <w:jc w:val="right"/>
              <w:cnfStyle w:val="000000100000"/>
            </w:pPr>
          </w:p>
        </w:tc>
      </w:tr>
      <w:tr w:rsidR="00083B6C" w:rsidRPr="0052205B" w:rsidTr="004A109D">
        <w:tc>
          <w:tcPr>
            <w:cnfStyle w:val="001000000000"/>
            <w:tcW w:w="4788" w:type="dxa"/>
            <w:shd w:val="clear" w:color="auto" w:fill="D9D9D9" w:themeFill="background1" w:themeFillShade="D9"/>
          </w:tcPr>
          <w:p w:rsidR="00083B6C" w:rsidRPr="0052205B" w:rsidRDefault="00083B6C" w:rsidP="00475A31">
            <w:r w:rsidRPr="0052205B">
              <w:t>Some physical activity in the past 30 days</w:t>
            </w:r>
          </w:p>
        </w:tc>
        <w:tc>
          <w:tcPr>
            <w:tcW w:w="1440" w:type="dxa"/>
            <w:vAlign w:val="bottom"/>
          </w:tcPr>
          <w:p w:rsidR="00083B6C" w:rsidRPr="0052205B" w:rsidRDefault="00083B6C" w:rsidP="00475A31">
            <w:pPr>
              <w:jc w:val="right"/>
              <w:cnfStyle w:val="000000000000"/>
            </w:pPr>
            <w:r w:rsidRPr="0052205B">
              <w:t>62.2%</w:t>
            </w:r>
          </w:p>
        </w:tc>
        <w:tc>
          <w:tcPr>
            <w:tcW w:w="1440" w:type="dxa"/>
            <w:vAlign w:val="bottom"/>
          </w:tcPr>
          <w:p w:rsidR="00083B6C" w:rsidRPr="0052205B" w:rsidRDefault="00083B6C" w:rsidP="00475A31">
            <w:pPr>
              <w:jc w:val="right"/>
              <w:cnfStyle w:val="000000000000"/>
            </w:pPr>
            <w:r w:rsidRPr="0052205B">
              <w:t>73.2%</w:t>
            </w:r>
          </w:p>
        </w:tc>
        <w:tc>
          <w:tcPr>
            <w:tcW w:w="1872" w:type="dxa"/>
            <w:vAlign w:val="bottom"/>
          </w:tcPr>
          <w:p w:rsidR="00083B6C" w:rsidRPr="0052205B" w:rsidRDefault="00083B6C" w:rsidP="00475A31">
            <w:pPr>
              <w:jc w:val="right"/>
              <w:cnfStyle w:val="000000000000"/>
            </w:pPr>
            <w:r w:rsidRPr="0052205B">
              <w:t>&lt; 0.0001</w:t>
            </w:r>
          </w:p>
        </w:tc>
      </w:tr>
    </w:tbl>
    <w:p w:rsidR="00083B6C" w:rsidRDefault="00083B6C" w:rsidP="00083B6C"/>
    <w:p w:rsidR="00083B6C" w:rsidRPr="00B22472" w:rsidRDefault="00083B6C" w:rsidP="00083B6C">
      <w:pPr>
        <w:rPr>
          <w:color w:val="FE8637" w:themeColor="accent1"/>
          <w:sz w:val="22"/>
          <w:szCs w:val="22"/>
        </w:rPr>
      </w:pPr>
      <w:r w:rsidRPr="00B22472">
        <w:rPr>
          <w:color w:val="FE8637" w:themeColor="accent1"/>
          <w:sz w:val="22"/>
          <w:szCs w:val="22"/>
        </w:rPr>
        <w:t>Diabetes</w:t>
      </w:r>
    </w:p>
    <w:p w:rsidR="00083B6C" w:rsidRDefault="00083B6C" w:rsidP="00083B6C">
      <w:pPr>
        <w:rPr>
          <w:vertAlign w:val="superscript"/>
        </w:rPr>
      </w:pPr>
      <w:r>
        <w:t>While Oklahoma’s adult obesity rate increased 60% in the past decade, adult diabetes rates almost doubled, from 5.5% in 2000 to 10.4% in 2010.</w:t>
      </w:r>
      <w:r w:rsidRPr="00394C04">
        <w:rPr>
          <w:vertAlign w:val="superscript"/>
        </w:rPr>
        <w:t>2</w:t>
      </w:r>
      <w:r>
        <w:t xml:space="preserve"> Only 5 states in the nation had adult diabetes rates higher than Oklahoma’s.</w:t>
      </w:r>
      <w:r w:rsidRPr="00394C04">
        <w:rPr>
          <w:vertAlign w:val="superscript"/>
        </w:rPr>
        <w:t>1</w:t>
      </w:r>
      <w:r>
        <w:t xml:space="preserve"> Rates varied across the state, with higher </w:t>
      </w:r>
      <w:proofErr w:type="spellStart"/>
      <w:r>
        <w:t>prevalences</w:t>
      </w:r>
      <w:proofErr w:type="spellEnd"/>
      <w:r>
        <w:t xml:space="preserve"> generally occurring in the eastern part of the state. Data from 2005 to 2010 demonstrate that diabetes was least common in Texas (4.0%), Grady (6.3%), and Grant (6.4%) Counties and most prevalent in Tillman (17.1%), Harper (17.4%), and Love (18.0%) Counties.</w:t>
      </w:r>
      <w:r w:rsidRPr="00B945F8">
        <w:rPr>
          <w:vertAlign w:val="superscript"/>
        </w:rPr>
        <w:t>2</w:t>
      </w:r>
      <w:r>
        <w:rPr>
          <w:vertAlign w:val="superscript"/>
        </w:rPr>
        <w:t xml:space="preserve"> </w:t>
      </w:r>
      <w:proofErr w:type="gramStart"/>
      <w:r>
        <w:t>These</w:t>
      </w:r>
      <w:proofErr w:type="gramEnd"/>
      <w:r>
        <w:t xml:space="preserve"> data also demonstrate that obese adults had more than double the rate of diabetes compared with non-obese adults (Table 4). Weight loss is a recommended strategy for preventing and/or managing diabetes.</w:t>
      </w:r>
      <w:r w:rsidRPr="00AB3B14">
        <w:rPr>
          <w:vertAlign w:val="superscript"/>
        </w:rPr>
        <w:t>5</w:t>
      </w:r>
    </w:p>
    <w:p w:rsidR="00083B6C" w:rsidRDefault="008C6819" w:rsidP="00083B6C">
      <w:r>
        <w:rPr>
          <w:noProof/>
        </w:rPr>
        <w:pict>
          <v:shape id="_x0000_s1107" type="#_x0000_t202" style="position:absolute;margin-left:239.2pt;margin-top:47.45pt;width:306.25pt;height:87.8pt;z-index:251681792" stroked="f">
            <v:textbox>
              <w:txbxContent>
                <w:p w:rsidR="00475A31" w:rsidRPr="004A109D" w:rsidRDefault="00475A31" w:rsidP="00083B6C">
                  <w:pPr>
                    <w:spacing w:after="0"/>
                    <w:rPr>
                      <w:b/>
                    </w:rPr>
                  </w:pPr>
                  <w:proofErr w:type="gramStart"/>
                  <w:r w:rsidRPr="004A109D">
                    <w:rPr>
                      <w:b/>
                    </w:rPr>
                    <w:t>Table 4.</w:t>
                  </w:r>
                  <w:proofErr w:type="gramEnd"/>
                  <w:r w:rsidRPr="004A109D">
                    <w:rPr>
                      <w:b/>
                    </w:rPr>
                    <w:t xml:space="preserve"> Diabetes Prevalence among Obese and </w:t>
                  </w:r>
                </w:p>
                <w:p w:rsidR="00475A31" w:rsidRPr="004A109D" w:rsidRDefault="00475A31" w:rsidP="00083B6C">
                  <w:pPr>
                    <w:spacing w:after="0"/>
                    <w:rPr>
                      <w:b/>
                    </w:rPr>
                  </w:pPr>
                  <w:r w:rsidRPr="004A109D">
                    <w:rPr>
                      <w:b/>
                    </w:rPr>
                    <w:t xml:space="preserve">Non-obese Oklahoma Adults, BRFSS 2005-2010. </w:t>
                  </w:r>
                </w:p>
                <w:tbl>
                  <w:tblPr>
                    <w:tblStyle w:val="TableGrid"/>
                    <w:tblW w:w="4968" w:type="dxa"/>
                    <w:tblBorders>
                      <w:insideH w:val="single" w:sz="4" w:space="0" w:color="808080" w:themeColor="background1" w:themeShade="80"/>
                      <w:insideV w:val="single" w:sz="4" w:space="0" w:color="808080" w:themeColor="background1" w:themeShade="80"/>
                    </w:tblBorders>
                    <w:tblLook w:val="04A0"/>
                  </w:tblPr>
                  <w:tblGrid>
                    <w:gridCol w:w="1728"/>
                    <w:gridCol w:w="1080"/>
                    <w:gridCol w:w="1080"/>
                    <w:gridCol w:w="1080"/>
                  </w:tblGrid>
                  <w:tr w:rsidR="00475A31" w:rsidRPr="00BC3F93" w:rsidTr="004A109D">
                    <w:trPr>
                      <w:cnfStyle w:val="100000000000"/>
                    </w:trPr>
                    <w:tc>
                      <w:tcPr>
                        <w:cnfStyle w:val="001000000000"/>
                        <w:tcW w:w="1728" w:type="dxa"/>
                      </w:tcPr>
                      <w:p w:rsidR="00475A31" w:rsidRPr="00BC3F93" w:rsidRDefault="00475A31" w:rsidP="00475A31"/>
                    </w:tc>
                    <w:tc>
                      <w:tcPr>
                        <w:tcW w:w="1080" w:type="dxa"/>
                      </w:tcPr>
                      <w:p w:rsidR="00475A31" w:rsidRPr="00BC3F93" w:rsidRDefault="00475A31" w:rsidP="00475A31">
                        <w:pPr>
                          <w:jc w:val="right"/>
                          <w:cnfStyle w:val="100000000000"/>
                        </w:pPr>
                        <w:r w:rsidRPr="00BC3F93">
                          <w:t>Obese</w:t>
                        </w:r>
                      </w:p>
                    </w:tc>
                    <w:tc>
                      <w:tcPr>
                        <w:tcW w:w="1080" w:type="dxa"/>
                      </w:tcPr>
                      <w:p w:rsidR="00475A31" w:rsidRPr="00BC3F93" w:rsidRDefault="00475A31" w:rsidP="00475A31">
                        <w:pPr>
                          <w:jc w:val="right"/>
                          <w:cnfStyle w:val="100000000000"/>
                        </w:pPr>
                        <w:r w:rsidRPr="00BC3F93">
                          <w:t>Not Obese</w:t>
                        </w:r>
                      </w:p>
                    </w:tc>
                    <w:tc>
                      <w:tcPr>
                        <w:tcW w:w="1080" w:type="dxa"/>
                      </w:tcPr>
                      <w:p w:rsidR="00475A31" w:rsidRPr="00BC3F93" w:rsidRDefault="00475A31" w:rsidP="00083B6C">
                        <w:pPr>
                          <w:jc w:val="right"/>
                          <w:cnfStyle w:val="100000000000"/>
                        </w:pPr>
                        <w:r w:rsidRPr="00BC3F93">
                          <w:t>p-value</w:t>
                        </w:r>
                        <w:r>
                          <w:t xml:space="preserve"> </w:t>
                        </w:r>
                        <w:r w:rsidRPr="00BC3F93">
                          <w:t xml:space="preserve"> (α = .05)</w:t>
                        </w:r>
                      </w:p>
                    </w:tc>
                  </w:tr>
                  <w:tr w:rsidR="00475A31" w:rsidRPr="00BC3F93" w:rsidTr="004A109D">
                    <w:trPr>
                      <w:cnfStyle w:val="000000100000"/>
                    </w:trPr>
                    <w:tc>
                      <w:tcPr>
                        <w:cnfStyle w:val="001000000000"/>
                        <w:tcW w:w="1728" w:type="dxa"/>
                        <w:tcBorders>
                          <w:top w:val="none" w:sz="0" w:space="0" w:color="auto"/>
                          <w:left w:val="none" w:sz="0" w:space="0" w:color="auto"/>
                          <w:bottom w:val="none" w:sz="0" w:space="0" w:color="auto"/>
                        </w:tcBorders>
                        <w:shd w:val="clear" w:color="auto" w:fill="D9D9D9" w:themeFill="background1" w:themeFillShade="D9"/>
                      </w:tcPr>
                      <w:p w:rsidR="00475A31" w:rsidRPr="00BC3F93" w:rsidRDefault="00475A31" w:rsidP="00475A31">
                        <w:r w:rsidRPr="00BC3F93">
                          <w:t>Diabetes</w:t>
                        </w:r>
                      </w:p>
                    </w:tc>
                    <w:tc>
                      <w:tcPr>
                        <w:tcW w:w="1080" w:type="dxa"/>
                        <w:tcBorders>
                          <w:top w:val="none" w:sz="0" w:space="0" w:color="auto"/>
                          <w:bottom w:val="none" w:sz="0" w:space="0" w:color="auto"/>
                        </w:tcBorders>
                      </w:tcPr>
                      <w:p w:rsidR="00475A31" w:rsidRPr="00BC3F93" w:rsidRDefault="00475A31" w:rsidP="00475A31">
                        <w:pPr>
                          <w:jc w:val="right"/>
                          <w:cnfStyle w:val="000000100000"/>
                        </w:pPr>
                        <w:r w:rsidRPr="00BC3F93">
                          <w:t>17.9%</w:t>
                        </w:r>
                      </w:p>
                    </w:tc>
                    <w:tc>
                      <w:tcPr>
                        <w:tcW w:w="1080" w:type="dxa"/>
                        <w:tcBorders>
                          <w:top w:val="none" w:sz="0" w:space="0" w:color="auto"/>
                          <w:bottom w:val="none" w:sz="0" w:space="0" w:color="auto"/>
                        </w:tcBorders>
                      </w:tcPr>
                      <w:p w:rsidR="00475A31" w:rsidRPr="00BC3F93" w:rsidRDefault="00475A31" w:rsidP="00475A31">
                        <w:pPr>
                          <w:jc w:val="right"/>
                          <w:cnfStyle w:val="000000100000"/>
                        </w:pPr>
                        <w:r w:rsidRPr="00BC3F93">
                          <w:t>6.8%</w:t>
                        </w:r>
                      </w:p>
                    </w:tc>
                    <w:tc>
                      <w:tcPr>
                        <w:tcW w:w="1080" w:type="dxa"/>
                        <w:tcBorders>
                          <w:top w:val="none" w:sz="0" w:space="0" w:color="auto"/>
                          <w:bottom w:val="none" w:sz="0" w:space="0" w:color="auto"/>
                          <w:right w:val="none" w:sz="0" w:space="0" w:color="auto"/>
                        </w:tcBorders>
                      </w:tcPr>
                      <w:p w:rsidR="00475A31" w:rsidRPr="00BC3F93" w:rsidRDefault="00475A31" w:rsidP="00475A31">
                        <w:pPr>
                          <w:jc w:val="right"/>
                          <w:cnfStyle w:val="000000100000"/>
                        </w:pPr>
                      </w:p>
                    </w:tc>
                  </w:tr>
                  <w:tr w:rsidR="00475A31" w:rsidRPr="00BC3F93" w:rsidTr="004A109D">
                    <w:tc>
                      <w:tcPr>
                        <w:cnfStyle w:val="001000000000"/>
                        <w:tcW w:w="1728" w:type="dxa"/>
                        <w:shd w:val="clear" w:color="auto" w:fill="D9D9D9" w:themeFill="background1" w:themeFillShade="D9"/>
                      </w:tcPr>
                      <w:p w:rsidR="00475A31" w:rsidRPr="00BC3F93" w:rsidRDefault="00475A31" w:rsidP="00475A31">
                        <w:r w:rsidRPr="00BC3F93">
                          <w:t>No diabetes</w:t>
                        </w:r>
                      </w:p>
                    </w:tc>
                    <w:tc>
                      <w:tcPr>
                        <w:tcW w:w="1080" w:type="dxa"/>
                      </w:tcPr>
                      <w:p w:rsidR="00475A31" w:rsidRPr="00BC3F93" w:rsidRDefault="00475A31" w:rsidP="00475A31">
                        <w:pPr>
                          <w:jc w:val="right"/>
                          <w:cnfStyle w:val="000000000000"/>
                        </w:pPr>
                        <w:r w:rsidRPr="00BC3F93">
                          <w:t>82.1%</w:t>
                        </w:r>
                      </w:p>
                    </w:tc>
                    <w:tc>
                      <w:tcPr>
                        <w:tcW w:w="1080" w:type="dxa"/>
                      </w:tcPr>
                      <w:p w:rsidR="00475A31" w:rsidRPr="00BC3F93" w:rsidRDefault="00475A31" w:rsidP="00475A31">
                        <w:pPr>
                          <w:jc w:val="right"/>
                          <w:cnfStyle w:val="000000000000"/>
                        </w:pPr>
                        <w:r w:rsidRPr="00BC3F93">
                          <w:t>93.2%</w:t>
                        </w:r>
                      </w:p>
                    </w:tc>
                    <w:tc>
                      <w:tcPr>
                        <w:tcW w:w="1080" w:type="dxa"/>
                      </w:tcPr>
                      <w:p w:rsidR="00475A31" w:rsidRPr="00BC3F93" w:rsidRDefault="00475A31" w:rsidP="00475A31">
                        <w:pPr>
                          <w:jc w:val="right"/>
                          <w:cnfStyle w:val="000000000000"/>
                        </w:pPr>
                        <w:r w:rsidRPr="00BC3F93">
                          <w:t>&lt; 0.0001</w:t>
                        </w:r>
                      </w:p>
                    </w:tc>
                  </w:tr>
                </w:tbl>
                <w:p w:rsidR="00475A31" w:rsidRDefault="00475A31" w:rsidP="00083B6C"/>
              </w:txbxContent>
            </v:textbox>
          </v:shape>
        </w:pict>
      </w:r>
      <w:r w:rsidR="00083B6C">
        <w:rPr>
          <w:noProof/>
          <w:lang w:eastAsia="en-US"/>
        </w:rPr>
        <w:drawing>
          <wp:inline distT="0" distB="0" distL="0" distR="0">
            <wp:extent cx="2810406" cy="2171654"/>
            <wp:effectExtent l="19050" t="0" r="8994" b="0"/>
            <wp:docPr id="19" name="Picture 18" descr="Diabet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bmp"/>
                    <pic:cNvPicPr/>
                  </pic:nvPicPr>
                  <pic:blipFill>
                    <a:blip r:embed="rId15" cstate="print"/>
                    <a:stretch>
                      <a:fillRect/>
                    </a:stretch>
                  </pic:blipFill>
                  <pic:spPr>
                    <a:xfrm>
                      <a:off x="0" y="0"/>
                      <a:ext cx="2817155" cy="2176869"/>
                    </a:xfrm>
                    <a:prstGeom prst="rect">
                      <a:avLst/>
                    </a:prstGeom>
                  </pic:spPr>
                </pic:pic>
              </a:graphicData>
            </a:graphic>
          </wp:inline>
        </w:drawing>
      </w:r>
    </w:p>
    <w:p w:rsidR="00083B6C" w:rsidRPr="00B22472" w:rsidRDefault="00083B6C" w:rsidP="00083B6C">
      <w:pPr>
        <w:rPr>
          <w:color w:val="FE8637" w:themeColor="accent1"/>
          <w:sz w:val="22"/>
          <w:szCs w:val="22"/>
        </w:rPr>
      </w:pPr>
      <w:r w:rsidRPr="00B22472">
        <w:rPr>
          <w:color w:val="FE8637" w:themeColor="accent1"/>
          <w:sz w:val="22"/>
          <w:szCs w:val="22"/>
        </w:rPr>
        <w:t>Quality of Life</w:t>
      </w:r>
    </w:p>
    <w:p w:rsidR="00083B6C" w:rsidRPr="00FE39C1" w:rsidRDefault="00083B6C" w:rsidP="00083B6C">
      <w:r>
        <w:t>Obese individuals may suffer poorer quality of life (</w:t>
      </w:r>
      <w:proofErr w:type="spellStart"/>
      <w:r>
        <w:t>QoL</w:t>
      </w:r>
      <w:proofErr w:type="spellEnd"/>
      <w:r>
        <w:t>) than non-obese individuals.</w:t>
      </w:r>
      <w:r>
        <w:rPr>
          <w:vertAlign w:val="superscript"/>
        </w:rPr>
        <w:t>6</w:t>
      </w:r>
      <w:r>
        <w:t xml:space="preserve"> The BRFSS asks adults to rate their health status as a measure of </w:t>
      </w:r>
      <w:proofErr w:type="spellStart"/>
      <w:r>
        <w:t>QoL</w:t>
      </w:r>
      <w:proofErr w:type="spellEnd"/>
      <w:r>
        <w:t>. In 2010, 1 in 5 Oklahoma adults rated their health as being fair or poor.</w:t>
      </w:r>
      <w:r w:rsidRPr="00394C04">
        <w:rPr>
          <w:vertAlign w:val="superscript"/>
        </w:rPr>
        <w:t>2</w:t>
      </w:r>
      <w:r>
        <w:t xml:space="preserve"> Only 5 other states in the nation had poorer health reported.</w:t>
      </w:r>
      <w:r w:rsidRPr="00394C04">
        <w:rPr>
          <w:vertAlign w:val="superscript"/>
        </w:rPr>
        <w:t>1</w:t>
      </w:r>
      <w:r>
        <w:rPr>
          <w:vertAlign w:val="superscript"/>
        </w:rPr>
        <w:t xml:space="preserve"> </w:t>
      </w:r>
      <w:r>
        <w:t>Oklahoma’s poorest health rates occurred in the southeastern part of the state. Data from 2005 to 2010 show that 1 in 3 adults experienced fair or poor health in Kiowa, Pushmataha, and Latimer Counties.</w:t>
      </w:r>
      <w:r w:rsidRPr="00394C04">
        <w:rPr>
          <w:vertAlign w:val="superscript"/>
        </w:rPr>
        <w:t>2</w:t>
      </w:r>
      <w:r>
        <w:t xml:space="preserve"> Conversely, fewer than 12% of adults in Texas County reported fair to poor health. These data also demonstrate that obese adults had significantly higher rates of poor health status compared with non-obese adults (Table 5). In fact, 10% more of obese than non-obese adults reported poor health.</w:t>
      </w:r>
    </w:p>
    <w:p w:rsidR="00083B6C" w:rsidRDefault="008C6819" w:rsidP="00083B6C">
      <w:pPr>
        <w:rPr>
          <w:vertAlign w:val="superscript"/>
        </w:rPr>
      </w:pPr>
      <w:r>
        <w:rPr>
          <w:noProof/>
          <w:vertAlign w:val="superscript"/>
        </w:rPr>
        <w:pict>
          <v:shape id="_x0000_s1108" type="#_x0000_t202" style="position:absolute;margin-left:232.5pt;margin-top:36.15pt;width:293.25pt;height:96.75pt;z-index:251682816" stroked="f">
            <v:textbox>
              <w:txbxContent>
                <w:p w:rsidR="00475A31" w:rsidRPr="004A109D" w:rsidRDefault="00475A31" w:rsidP="00083B6C">
                  <w:pPr>
                    <w:spacing w:after="0"/>
                    <w:rPr>
                      <w:b/>
                    </w:rPr>
                  </w:pPr>
                  <w:proofErr w:type="gramStart"/>
                  <w:r w:rsidRPr="004A109D">
                    <w:rPr>
                      <w:b/>
                    </w:rPr>
                    <w:t>Table 5.</w:t>
                  </w:r>
                  <w:proofErr w:type="gramEnd"/>
                  <w:r w:rsidRPr="004A109D">
                    <w:rPr>
                      <w:b/>
                    </w:rPr>
                    <w:t xml:space="preserve"> Self-reported Health Status among Obese and Non-obese Oklahoma Adults, BRFSS 2005-2010. </w:t>
                  </w:r>
                </w:p>
                <w:tbl>
                  <w:tblPr>
                    <w:tblStyle w:val="TableGrid"/>
                    <w:tblW w:w="0" w:type="auto"/>
                    <w:tblInd w:w="108" w:type="dxa"/>
                    <w:tblBorders>
                      <w:insideH w:val="single" w:sz="4" w:space="0" w:color="808080" w:themeColor="background1" w:themeShade="80"/>
                      <w:insideV w:val="single" w:sz="4" w:space="0" w:color="808080" w:themeColor="background1" w:themeShade="80"/>
                    </w:tblBorders>
                    <w:tblLook w:val="04A0"/>
                  </w:tblPr>
                  <w:tblGrid>
                    <w:gridCol w:w="1872"/>
                    <w:gridCol w:w="1080"/>
                    <w:gridCol w:w="1080"/>
                    <w:gridCol w:w="1080"/>
                  </w:tblGrid>
                  <w:tr w:rsidR="00475A31" w:rsidRPr="00343EE7" w:rsidTr="004A109D">
                    <w:trPr>
                      <w:cnfStyle w:val="100000000000"/>
                    </w:trPr>
                    <w:tc>
                      <w:tcPr>
                        <w:cnfStyle w:val="001000000000"/>
                        <w:tcW w:w="1872" w:type="dxa"/>
                      </w:tcPr>
                      <w:p w:rsidR="00475A31" w:rsidRPr="00343EE7" w:rsidRDefault="00475A31" w:rsidP="00475A31"/>
                    </w:tc>
                    <w:tc>
                      <w:tcPr>
                        <w:tcW w:w="1080" w:type="dxa"/>
                        <w:vAlign w:val="bottom"/>
                      </w:tcPr>
                      <w:p w:rsidR="00475A31" w:rsidRPr="00343EE7" w:rsidRDefault="00475A31" w:rsidP="00475A31">
                        <w:pPr>
                          <w:jc w:val="right"/>
                          <w:cnfStyle w:val="100000000000"/>
                        </w:pPr>
                        <w:r w:rsidRPr="00343EE7">
                          <w:t>Obese</w:t>
                        </w:r>
                      </w:p>
                    </w:tc>
                    <w:tc>
                      <w:tcPr>
                        <w:tcW w:w="1080" w:type="dxa"/>
                        <w:vAlign w:val="bottom"/>
                      </w:tcPr>
                      <w:p w:rsidR="00475A31" w:rsidRPr="00343EE7" w:rsidRDefault="00475A31" w:rsidP="00475A31">
                        <w:pPr>
                          <w:jc w:val="right"/>
                          <w:cnfStyle w:val="100000000000"/>
                        </w:pPr>
                        <w:r w:rsidRPr="00343EE7">
                          <w:t>Not Obese</w:t>
                        </w:r>
                      </w:p>
                    </w:tc>
                    <w:tc>
                      <w:tcPr>
                        <w:tcW w:w="1080" w:type="dxa"/>
                        <w:vAlign w:val="bottom"/>
                      </w:tcPr>
                      <w:p w:rsidR="00475A31" w:rsidRPr="00343EE7" w:rsidRDefault="00475A31" w:rsidP="00475A31">
                        <w:pPr>
                          <w:jc w:val="right"/>
                          <w:cnfStyle w:val="100000000000"/>
                        </w:pPr>
                        <w:r w:rsidRPr="00343EE7">
                          <w:t xml:space="preserve">p-value </w:t>
                        </w:r>
                      </w:p>
                      <w:p w:rsidR="00475A31" w:rsidRPr="00343EE7" w:rsidRDefault="00475A31" w:rsidP="00475A31">
                        <w:pPr>
                          <w:jc w:val="right"/>
                          <w:cnfStyle w:val="100000000000"/>
                        </w:pPr>
                        <w:r w:rsidRPr="00343EE7">
                          <w:t>(α = .05)</w:t>
                        </w:r>
                      </w:p>
                    </w:tc>
                  </w:tr>
                  <w:tr w:rsidR="00475A31" w:rsidRPr="00343EE7" w:rsidTr="004A109D">
                    <w:trPr>
                      <w:cnfStyle w:val="000000100000"/>
                    </w:trPr>
                    <w:tc>
                      <w:tcPr>
                        <w:cnfStyle w:val="001000000000"/>
                        <w:tcW w:w="1872" w:type="dxa"/>
                        <w:tcBorders>
                          <w:top w:val="none" w:sz="0" w:space="0" w:color="auto"/>
                          <w:left w:val="none" w:sz="0" w:space="0" w:color="auto"/>
                          <w:bottom w:val="none" w:sz="0" w:space="0" w:color="auto"/>
                        </w:tcBorders>
                        <w:shd w:val="clear" w:color="auto" w:fill="D9D9D9" w:themeFill="background1" w:themeFillShade="D9"/>
                      </w:tcPr>
                      <w:p w:rsidR="00475A31" w:rsidRPr="00343EE7" w:rsidRDefault="00475A31" w:rsidP="00475A31">
                        <w:r w:rsidRPr="00343EE7">
                          <w:t>Fair or poor</w:t>
                        </w:r>
                      </w:p>
                    </w:tc>
                    <w:tc>
                      <w:tcPr>
                        <w:tcW w:w="1080" w:type="dxa"/>
                        <w:tcBorders>
                          <w:top w:val="none" w:sz="0" w:space="0" w:color="auto"/>
                          <w:bottom w:val="none" w:sz="0" w:space="0" w:color="auto"/>
                        </w:tcBorders>
                        <w:vAlign w:val="bottom"/>
                      </w:tcPr>
                      <w:p w:rsidR="00475A31" w:rsidRPr="00343EE7" w:rsidRDefault="00475A31" w:rsidP="00475A31">
                        <w:pPr>
                          <w:jc w:val="right"/>
                          <w:cnfStyle w:val="000000100000"/>
                        </w:pPr>
                        <w:r w:rsidRPr="00343EE7">
                          <w:t>26.6%</w:t>
                        </w:r>
                      </w:p>
                    </w:tc>
                    <w:tc>
                      <w:tcPr>
                        <w:tcW w:w="1080" w:type="dxa"/>
                        <w:tcBorders>
                          <w:top w:val="none" w:sz="0" w:space="0" w:color="auto"/>
                          <w:bottom w:val="none" w:sz="0" w:space="0" w:color="auto"/>
                        </w:tcBorders>
                        <w:vAlign w:val="bottom"/>
                      </w:tcPr>
                      <w:p w:rsidR="00475A31" w:rsidRPr="00343EE7" w:rsidRDefault="00475A31" w:rsidP="00475A31">
                        <w:pPr>
                          <w:jc w:val="right"/>
                          <w:cnfStyle w:val="000000100000"/>
                        </w:pPr>
                        <w:r w:rsidRPr="00343EE7">
                          <w:t>16.3%</w:t>
                        </w:r>
                      </w:p>
                    </w:tc>
                    <w:tc>
                      <w:tcPr>
                        <w:tcW w:w="1080" w:type="dxa"/>
                        <w:tcBorders>
                          <w:top w:val="none" w:sz="0" w:space="0" w:color="auto"/>
                          <w:bottom w:val="none" w:sz="0" w:space="0" w:color="auto"/>
                          <w:right w:val="none" w:sz="0" w:space="0" w:color="auto"/>
                        </w:tcBorders>
                        <w:vAlign w:val="bottom"/>
                      </w:tcPr>
                      <w:p w:rsidR="00475A31" w:rsidRPr="00343EE7" w:rsidRDefault="00475A31" w:rsidP="00475A31">
                        <w:pPr>
                          <w:jc w:val="right"/>
                          <w:cnfStyle w:val="000000100000"/>
                        </w:pPr>
                      </w:p>
                    </w:tc>
                  </w:tr>
                  <w:tr w:rsidR="00475A31" w:rsidRPr="00343EE7" w:rsidTr="004A109D">
                    <w:tc>
                      <w:tcPr>
                        <w:cnfStyle w:val="001000000000"/>
                        <w:tcW w:w="1872" w:type="dxa"/>
                        <w:shd w:val="clear" w:color="auto" w:fill="D9D9D9" w:themeFill="background1" w:themeFillShade="D9"/>
                      </w:tcPr>
                      <w:p w:rsidR="00475A31" w:rsidRPr="00343EE7" w:rsidRDefault="00475A31" w:rsidP="00475A31">
                        <w:r w:rsidRPr="00343EE7">
                          <w:t>Good or better</w:t>
                        </w:r>
                      </w:p>
                    </w:tc>
                    <w:tc>
                      <w:tcPr>
                        <w:tcW w:w="1080" w:type="dxa"/>
                        <w:vAlign w:val="bottom"/>
                      </w:tcPr>
                      <w:p w:rsidR="00475A31" w:rsidRPr="00343EE7" w:rsidRDefault="00475A31" w:rsidP="00475A31">
                        <w:pPr>
                          <w:jc w:val="right"/>
                          <w:cnfStyle w:val="000000000000"/>
                        </w:pPr>
                        <w:r w:rsidRPr="00343EE7">
                          <w:t>73.4%</w:t>
                        </w:r>
                      </w:p>
                    </w:tc>
                    <w:tc>
                      <w:tcPr>
                        <w:tcW w:w="1080" w:type="dxa"/>
                        <w:vAlign w:val="bottom"/>
                      </w:tcPr>
                      <w:p w:rsidR="00475A31" w:rsidRPr="00343EE7" w:rsidRDefault="00475A31" w:rsidP="00475A31">
                        <w:pPr>
                          <w:jc w:val="right"/>
                          <w:cnfStyle w:val="000000000000"/>
                        </w:pPr>
                        <w:r w:rsidRPr="00343EE7">
                          <w:t>83.7%</w:t>
                        </w:r>
                      </w:p>
                    </w:tc>
                    <w:tc>
                      <w:tcPr>
                        <w:tcW w:w="1080" w:type="dxa"/>
                        <w:vAlign w:val="bottom"/>
                      </w:tcPr>
                      <w:p w:rsidR="00475A31" w:rsidRPr="00343EE7" w:rsidRDefault="00475A31" w:rsidP="00475A31">
                        <w:pPr>
                          <w:jc w:val="right"/>
                          <w:cnfStyle w:val="000000000000"/>
                        </w:pPr>
                        <w:r w:rsidRPr="00343EE7">
                          <w:t>&lt; 0.0001</w:t>
                        </w:r>
                      </w:p>
                    </w:tc>
                  </w:tr>
                </w:tbl>
                <w:p w:rsidR="00475A31" w:rsidRDefault="00475A31" w:rsidP="00083B6C"/>
              </w:txbxContent>
            </v:textbox>
          </v:shape>
        </w:pict>
      </w:r>
      <w:r w:rsidR="00083B6C">
        <w:rPr>
          <w:noProof/>
          <w:vertAlign w:val="superscript"/>
          <w:lang w:eastAsia="en-US"/>
        </w:rPr>
        <w:drawing>
          <wp:inline distT="0" distB="0" distL="0" distR="0">
            <wp:extent cx="2859773" cy="2209800"/>
            <wp:effectExtent l="19050" t="0" r="0" b="0"/>
            <wp:docPr id="20" name="Picture 19" descr="Poorheal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health.bmp"/>
                    <pic:cNvPicPr/>
                  </pic:nvPicPr>
                  <pic:blipFill>
                    <a:blip r:embed="rId16" cstate="print"/>
                    <a:stretch>
                      <a:fillRect/>
                    </a:stretch>
                  </pic:blipFill>
                  <pic:spPr>
                    <a:xfrm>
                      <a:off x="0" y="0"/>
                      <a:ext cx="2861286" cy="2210969"/>
                    </a:xfrm>
                    <a:prstGeom prst="rect">
                      <a:avLst/>
                    </a:prstGeom>
                  </pic:spPr>
                </pic:pic>
              </a:graphicData>
            </a:graphic>
          </wp:inline>
        </w:drawing>
      </w:r>
    </w:p>
    <w:p w:rsidR="00083B6C" w:rsidRPr="00B22472" w:rsidRDefault="00083B6C" w:rsidP="00083B6C">
      <w:pPr>
        <w:rPr>
          <w:color w:val="FE8637" w:themeColor="accent1"/>
          <w:sz w:val="22"/>
          <w:szCs w:val="22"/>
        </w:rPr>
      </w:pPr>
      <w:r w:rsidRPr="00B22472">
        <w:rPr>
          <w:color w:val="FE8637" w:themeColor="accent1"/>
          <w:sz w:val="22"/>
          <w:szCs w:val="22"/>
        </w:rPr>
        <w:t>Inadequate Sleep</w:t>
      </w:r>
    </w:p>
    <w:p w:rsidR="00083B6C" w:rsidRPr="00FE39C1" w:rsidRDefault="00083B6C" w:rsidP="00083B6C">
      <w:r>
        <w:t>Inadequate sleep may increase the risk of obesity because inadequate sleep changes the production and action of hormones involved in energy regulation.</w:t>
      </w:r>
      <w:r w:rsidRPr="00FC377A">
        <w:rPr>
          <w:vertAlign w:val="superscript"/>
        </w:rPr>
        <w:t>7</w:t>
      </w:r>
      <w:proofErr w:type="gramStart"/>
      <w:r>
        <w:rPr>
          <w:vertAlign w:val="superscript"/>
        </w:rPr>
        <w:t>,8</w:t>
      </w:r>
      <w:proofErr w:type="gramEnd"/>
      <w:r>
        <w:t xml:space="preserve"> In BRFSS, inadequate sleep is defined as not having enough rest or sleep on more than 13 of the past 30 days. This rate increased slightly in Oklahoma from 2000 to 2010, with 28.2% of adults reporting inadequate sleep in 2000 and 30.3% reporting in 2010. Only 3 states in the nation had inadequate sleep rates that were worse than Oklahoma’s rate in 2010.</w:t>
      </w:r>
      <w:r w:rsidRPr="00394C04">
        <w:rPr>
          <w:vertAlign w:val="superscript"/>
        </w:rPr>
        <w:t>1</w:t>
      </w:r>
      <w:r>
        <w:t xml:space="preserve"> </w:t>
      </w:r>
      <w:proofErr w:type="gramStart"/>
      <w:r>
        <w:t>For</w:t>
      </w:r>
      <w:proofErr w:type="gramEnd"/>
      <w:r>
        <w:t xml:space="preserve"> the 3-year period of 2008-2010, Major County had the lowest rate (9.9%) and Jefferson County had the highest rate (52.6%) of inadequate sleep. These data also demonstrate that obese adults had significantly higher rates of inadequate sleep compared with non-obese adults (Table 6). </w:t>
      </w:r>
    </w:p>
    <w:p w:rsidR="00083B6C" w:rsidRDefault="008C6819" w:rsidP="00083B6C">
      <w:r>
        <w:rPr>
          <w:noProof/>
        </w:rPr>
        <w:pict>
          <v:shape id="_x0000_s1109" type="#_x0000_t202" style="position:absolute;margin-left:237pt;margin-top:37.5pt;width:280.5pt;height:119.6pt;z-index:251683840" stroked="f">
            <v:textbox style="mso-next-textbox:#_x0000_s1109">
              <w:txbxContent>
                <w:p w:rsidR="00475A31" w:rsidRPr="004A109D" w:rsidRDefault="00475A31" w:rsidP="00083B6C">
                  <w:pPr>
                    <w:spacing w:after="0"/>
                    <w:rPr>
                      <w:b/>
                    </w:rPr>
                  </w:pPr>
                  <w:proofErr w:type="gramStart"/>
                  <w:r w:rsidRPr="004A109D">
                    <w:rPr>
                      <w:b/>
                    </w:rPr>
                    <w:t>Table 6.</w:t>
                  </w:r>
                  <w:proofErr w:type="gramEnd"/>
                  <w:r w:rsidRPr="004A109D">
                    <w:rPr>
                      <w:b/>
                    </w:rPr>
                    <w:t xml:space="preserve"> Prevalence of Inadequate Sleep among Obese and Non-obese Oklahoma Adults</w:t>
                  </w:r>
                  <w:proofErr w:type="gramStart"/>
                  <w:r w:rsidRPr="004A109D">
                    <w:rPr>
                      <w:b/>
                    </w:rPr>
                    <w:t>,  BRFSS</w:t>
                  </w:r>
                  <w:proofErr w:type="gramEnd"/>
                  <w:r w:rsidRPr="004A109D">
                    <w:rPr>
                      <w:b/>
                    </w:rPr>
                    <w:t xml:space="preserve"> 2008-2010. </w:t>
                  </w:r>
                </w:p>
                <w:tbl>
                  <w:tblPr>
                    <w:tblStyle w:val="TableGrid"/>
                    <w:tblW w:w="0" w:type="auto"/>
                    <w:tblBorders>
                      <w:insideH w:val="single" w:sz="4" w:space="0" w:color="808080" w:themeColor="background1" w:themeShade="80"/>
                      <w:insideV w:val="single" w:sz="4" w:space="0" w:color="808080" w:themeColor="background1" w:themeShade="80"/>
                    </w:tblBorders>
                    <w:tblLook w:val="04A0"/>
                  </w:tblPr>
                  <w:tblGrid>
                    <w:gridCol w:w="1872"/>
                    <w:gridCol w:w="1080"/>
                    <w:gridCol w:w="1080"/>
                    <w:gridCol w:w="1080"/>
                  </w:tblGrid>
                  <w:tr w:rsidR="00475A31" w:rsidRPr="00343EE7" w:rsidTr="004A109D">
                    <w:trPr>
                      <w:cnfStyle w:val="100000000000"/>
                    </w:trPr>
                    <w:tc>
                      <w:tcPr>
                        <w:cnfStyle w:val="001000000000"/>
                        <w:tcW w:w="1872" w:type="dxa"/>
                      </w:tcPr>
                      <w:p w:rsidR="00475A31" w:rsidRPr="00343EE7" w:rsidRDefault="00475A31" w:rsidP="00475A31"/>
                    </w:tc>
                    <w:tc>
                      <w:tcPr>
                        <w:tcW w:w="1080" w:type="dxa"/>
                        <w:vAlign w:val="bottom"/>
                      </w:tcPr>
                      <w:p w:rsidR="00475A31" w:rsidRPr="00343EE7" w:rsidRDefault="00475A31" w:rsidP="00475A31">
                        <w:pPr>
                          <w:jc w:val="right"/>
                          <w:cnfStyle w:val="100000000000"/>
                        </w:pPr>
                        <w:r w:rsidRPr="00343EE7">
                          <w:t>Obese</w:t>
                        </w:r>
                      </w:p>
                    </w:tc>
                    <w:tc>
                      <w:tcPr>
                        <w:tcW w:w="1080" w:type="dxa"/>
                        <w:vAlign w:val="bottom"/>
                      </w:tcPr>
                      <w:p w:rsidR="00475A31" w:rsidRPr="00343EE7" w:rsidRDefault="00475A31" w:rsidP="00475A31">
                        <w:pPr>
                          <w:jc w:val="right"/>
                          <w:cnfStyle w:val="100000000000"/>
                        </w:pPr>
                        <w:r w:rsidRPr="00343EE7">
                          <w:t>Not Obese</w:t>
                        </w:r>
                      </w:p>
                    </w:tc>
                    <w:tc>
                      <w:tcPr>
                        <w:tcW w:w="1080" w:type="dxa"/>
                        <w:vAlign w:val="bottom"/>
                      </w:tcPr>
                      <w:p w:rsidR="00475A31" w:rsidRPr="00343EE7" w:rsidRDefault="00475A31" w:rsidP="00475A31">
                        <w:pPr>
                          <w:jc w:val="right"/>
                          <w:cnfStyle w:val="100000000000"/>
                        </w:pPr>
                        <w:r w:rsidRPr="00343EE7">
                          <w:t xml:space="preserve">p-value </w:t>
                        </w:r>
                      </w:p>
                      <w:p w:rsidR="00475A31" w:rsidRPr="00343EE7" w:rsidRDefault="00475A31" w:rsidP="00475A31">
                        <w:pPr>
                          <w:jc w:val="right"/>
                          <w:cnfStyle w:val="100000000000"/>
                        </w:pPr>
                        <w:r w:rsidRPr="00343EE7">
                          <w:t>(α = .05)</w:t>
                        </w:r>
                      </w:p>
                    </w:tc>
                  </w:tr>
                  <w:tr w:rsidR="00475A31" w:rsidRPr="00343EE7" w:rsidTr="004A109D">
                    <w:trPr>
                      <w:cnfStyle w:val="000000100000"/>
                    </w:trPr>
                    <w:tc>
                      <w:tcPr>
                        <w:cnfStyle w:val="001000000000"/>
                        <w:tcW w:w="1872" w:type="dxa"/>
                        <w:tcBorders>
                          <w:top w:val="none" w:sz="0" w:space="0" w:color="auto"/>
                          <w:left w:val="none" w:sz="0" w:space="0" w:color="auto"/>
                          <w:bottom w:val="none" w:sz="0" w:space="0" w:color="auto"/>
                        </w:tcBorders>
                        <w:shd w:val="clear" w:color="auto" w:fill="D9D9D9" w:themeFill="background1" w:themeFillShade="D9"/>
                      </w:tcPr>
                      <w:p w:rsidR="00475A31" w:rsidRPr="00343EE7" w:rsidRDefault="00475A31" w:rsidP="00475A31">
                        <w:r w:rsidRPr="00343EE7">
                          <w:t>Inadequate sleep</w:t>
                        </w:r>
                      </w:p>
                    </w:tc>
                    <w:tc>
                      <w:tcPr>
                        <w:tcW w:w="1080" w:type="dxa"/>
                        <w:tcBorders>
                          <w:top w:val="none" w:sz="0" w:space="0" w:color="auto"/>
                          <w:bottom w:val="none" w:sz="0" w:space="0" w:color="auto"/>
                        </w:tcBorders>
                        <w:vAlign w:val="bottom"/>
                      </w:tcPr>
                      <w:p w:rsidR="00475A31" w:rsidRPr="00343EE7" w:rsidRDefault="00475A31" w:rsidP="00475A31">
                        <w:pPr>
                          <w:jc w:val="right"/>
                          <w:cnfStyle w:val="000000100000"/>
                        </w:pPr>
                        <w:r w:rsidRPr="00343EE7">
                          <w:t>35.2%</w:t>
                        </w:r>
                      </w:p>
                    </w:tc>
                    <w:tc>
                      <w:tcPr>
                        <w:tcW w:w="1080" w:type="dxa"/>
                        <w:tcBorders>
                          <w:top w:val="none" w:sz="0" w:space="0" w:color="auto"/>
                          <w:bottom w:val="none" w:sz="0" w:space="0" w:color="auto"/>
                        </w:tcBorders>
                        <w:vAlign w:val="bottom"/>
                      </w:tcPr>
                      <w:p w:rsidR="00475A31" w:rsidRPr="00343EE7" w:rsidRDefault="00475A31" w:rsidP="00475A31">
                        <w:pPr>
                          <w:jc w:val="right"/>
                          <w:cnfStyle w:val="000000100000"/>
                        </w:pPr>
                        <w:r w:rsidRPr="00343EE7">
                          <w:t>28.8%</w:t>
                        </w:r>
                      </w:p>
                    </w:tc>
                    <w:tc>
                      <w:tcPr>
                        <w:tcW w:w="1080" w:type="dxa"/>
                        <w:tcBorders>
                          <w:top w:val="none" w:sz="0" w:space="0" w:color="auto"/>
                          <w:bottom w:val="none" w:sz="0" w:space="0" w:color="auto"/>
                          <w:right w:val="none" w:sz="0" w:space="0" w:color="auto"/>
                        </w:tcBorders>
                        <w:vAlign w:val="bottom"/>
                      </w:tcPr>
                      <w:p w:rsidR="00475A31" w:rsidRPr="00343EE7" w:rsidRDefault="00475A31" w:rsidP="00475A31">
                        <w:pPr>
                          <w:jc w:val="right"/>
                          <w:cnfStyle w:val="000000100000"/>
                        </w:pPr>
                      </w:p>
                    </w:tc>
                  </w:tr>
                  <w:tr w:rsidR="00475A31" w:rsidRPr="00343EE7" w:rsidTr="004A109D">
                    <w:tc>
                      <w:tcPr>
                        <w:cnfStyle w:val="001000000000"/>
                        <w:tcW w:w="1872" w:type="dxa"/>
                        <w:shd w:val="clear" w:color="auto" w:fill="D9D9D9" w:themeFill="background1" w:themeFillShade="D9"/>
                      </w:tcPr>
                      <w:p w:rsidR="00475A31" w:rsidRPr="00343EE7" w:rsidRDefault="00475A31" w:rsidP="00475A31">
                        <w:r w:rsidRPr="00343EE7">
                          <w:t>Adequate sleep</w:t>
                        </w:r>
                      </w:p>
                    </w:tc>
                    <w:tc>
                      <w:tcPr>
                        <w:tcW w:w="1080" w:type="dxa"/>
                        <w:vAlign w:val="bottom"/>
                      </w:tcPr>
                      <w:p w:rsidR="00475A31" w:rsidRPr="00343EE7" w:rsidRDefault="00475A31" w:rsidP="00475A31">
                        <w:pPr>
                          <w:jc w:val="right"/>
                          <w:cnfStyle w:val="000000000000"/>
                        </w:pPr>
                        <w:r w:rsidRPr="00343EE7">
                          <w:t>64.8%</w:t>
                        </w:r>
                      </w:p>
                    </w:tc>
                    <w:tc>
                      <w:tcPr>
                        <w:tcW w:w="1080" w:type="dxa"/>
                        <w:vAlign w:val="bottom"/>
                      </w:tcPr>
                      <w:p w:rsidR="00475A31" w:rsidRPr="00343EE7" w:rsidRDefault="00475A31" w:rsidP="00475A31">
                        <w:pPr>
                          <w:jc w:val="right"/>
                          <w:cnfStyle w:val="000000000000"/>
                        </w:pPr>
                        <w:r w:rsidRPr="00343EE7">
                          <w:t>71.2%</w:t>
                        </w:r>
                      </w:p>
                    </w:tc>
                    <w:tc>
                      <w:tcPr>
                        <w:tcW w:w="1080" w:type="dxa"/>
                        <w:vAlign w:val="bottom"/>
                      </w:tcPr>
                      <w:p w:rsidR="00475A31" w:rsidRPr="00343EE7" w:rsidRDefault="00475A31" w:rsidP="00475A31">
                        <w:pPr>
                          <w:jc w:val="right"/>
                          <w:cnfStyle w:val="000000000000"/>
                        </w:pPr>
                        <w:r w:rsidRPr="00343EE7">
                          <w:t>&lt; 0.0001</w:t>
                        </w:r>
                      </w:p>
                    </w:tc>
                  </w:tr>
                </w:tbl>
                <w:p w:rsidR="00475A31" w:rsidRDefault="00475A31" w:rsidP="00083B6C"/>
              </w:txbxContent>
            </v:textbox>
          </v:shape>
        </w:pict>
      </w:r>
      <w:r w:rsidR="00083B6C">
        <w:rPr>
          <w:noProof/>
          <w:lang w:eastAsia="en-US"/>
        </w:rPr>
        <w:drawing>
          <wp:inline distT="0" distB="0" distL="0" distR="0">
            <wp:extent cx="2917106" cy="2254102"/>
            <wp:effectExtent l="19050" t="0" r="0" b="0"/>
            <wp:docPr id="21" name="Picture 20" descr="PoorSle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Sleep.bmp"/>
                    <pic:cNvPicPr/>
                  </pic:nvPicPr>
                  <pic:blipFill>
                    <a:blip r:embed="rId17" cstate="print"/>
                    <a:stretch>
                      <a:fillRect/>
                    </a:stretch>
                  </pic:blipFill>
                  <pic:spPr>
                    <a:xfrm>
                      <a:off x="0" y="0"/>
                      <a:ext cx="2917861" cy="2254686"/>
                    </a:xfrm>
                    <a:prstGeom prst="rect">
                      <a:avLst/>
                    </a:prstGeom>
                  </pic:spPr>
                </pic:pic>
              </a:graphicData>
            </a:graphic>
          </wp:inline>
        </w:drawing>
      </w:r>
    </w:p>
    <w:p w:rsidR="00083B6C" w:rsidRPr="00B22472" w:rsidRDefault="00083B6C" w:rsidP="00083B6C">
      <w:pPr>
        <w:rPr>
          <w:color w:val="FE8637" w:themeColor="accent1"/>
          <w:sz w:val="22"/>
          <w:szCs w:val="22"/>
        </w:rPr>
      </w:pPr>
      <w:r w:rsidRPr="00B22472">
        <w:rPr>
          <w:color w:val="FE8637" w:themeColor="accent1"/>
          <w:sz w:val="22"/>
          <w:szCs w:val="22"/>
        </w:rPr>
        <w:t>Life Satisfaction</w:t>
      </w:r>
    </w:p>
    <w:p w:rsidR="00083B6C" w:rsidRDefault="00083B6C" w:rsidP="00083B6C">
      <w:r>
        <w:t>Studies have shown that individuals who are obese may be less satisfied with their life than individuals who are not obese.</w:t>
      </w:r>
      <w:r>
        <w:rPr>
          <w:vertAlign w:val="superscript"/>
        </w:rPr>
        <w:t>9</w:t>
      </w:r>
      <w:proofErr w:type="gramStart"/>
      <w:r>
        <w:rPr>
          <w:vertAlign w:val="superscript"/>
        </w:rPr>
        <w:t>,10</w:t>
      </w:r>
      <w:proofErr w:type="gramEnd"/>
      <w:r>
        <w:t xml:space="preserve"> The BRFSS asks respondents to rate how satisfied they are with their life in general. In 2010, 6.0% of Oklahoma adults were dissatisfied with their life, with the highest rates occurring among residents in the eastern part of the state.</w:t>
      </w:r>
      <w:r w:rsidRPr="00F83BD6">
        <w:rPr>
          <w:vertAlign w:val="superscript"/>
        </w:rPr>
        <w:t>2</w:t>
      </w:r>
      <w:r>
        <w:t xml:space="preserve"> From 2005 to 2010, residents of Texas County were the most satisfied (only 2.3% were dissatisfied); conversely, Atoka, Pushmataha, Love, and Cimarron Counties had the highest rates of life dissatisfaction in the state, with more than 1 in 10 adults not satisfied with their life. These data also show that obese adults</w:t>
      </w:r>
      <w:r w:rsidRPr="00D84BA0">
        <w:t xml:space="preserve"> </w:t>
      </w:r>
      <w:r>
        <w:t xml:space="preserve">were significantly less satisfied with their lives compared with non-obese adults (Table 7). </w:t>
      </w:r>
    </w:p>
    <w:p w:rsidR="00083B6C" w:rsidRDefault="008C6819" w:rsidP="00083B6C">
      <w:r>
        <w:rPr>
          <w:noProof/>
        </w:rPr>
        <w:pict>
          <v:shape id="_x0000_s1110" type="#_x0000_t202" style="position:absolute;margin-left:237pt;margin-top:40.8pt;width:289.5pt;height:111pt;z-index:251684864" stroked="f">
            <v:textbox>
              <w:txbxContent>
                <w:p w:rsidR="00475A31" w:rsidRPr="004A109D" w:rsidRDefault="00475A31" w:rsidP="00083B6C">
                  <w:pPr>
                    <w:spacing w:after="0"/>
                    <w:rPr>
                      <w:b/>
                    </w:rPr>
                  </w:pPr>
                  <w:proofErr w:type="gramStart"/>
                  <w:r w:rsidRPr="004A109D">
                    <w:rPr>
                      <w:b/>
                    </w:rPr>
                    <w:t>Table 7.</w:t>
                  </w:r>
                  <w:proofErr w:type="gramEnd"/>
                  <w:r w:rsidRPr="004A109D">
                    <w:rPr>
                      <w:b/>
                    </w:rPr>
                    <w:t xml:space="preserve"> Life Satisfaction among Obese and Non-obese Oklahoma Adults, BRFSS 2005-2010. </w:t>
                  </w:r>
                </w:p>
                <w:tbl>
                  <w:tblPr>
                    <w:tblStyle w:val="TableGrid"/>
                    <w:tblW w:w="0" w:type="auto"/>
                    <w:tblBorders>
                      <w:insideH w:val="single" w:sz="4" w:space="0" w:color="808080" w:themeColor="background1" w:themeShade="80"/>
                      <w:insideV w:val="single" w:sz="4" w:space="0" w:color="808080" w:themeColor="background1" w:themeShade="80"/>
                    </w:tblBorders>
                    <w:tblLook w:val="04A0"/>
                  </w:tblPr>
                  <w:tblGrid>
                    <w:gridCol w:w="2304"/>
                    <w:gridCol w:w="1080"/>
                    <w:gridCol w:w="1080"/>
                    <w:gridCol w:w="1080"/>
                  </w:tblGrid>
                  <w:tr w:rsidR="00475A31" w:rsidRPr="00343EE7" w:rsidTr="004A109D">
                    <w:trPr>
                      <w:cnfStyle w:val="100000000000"/>
                    </w:trPr>
                    <w:tc>
                      <w:tcPr>
                        <w:cnfStyle w:val="001000000000"/>
                        <w:tcW w:w="2304" w:type="dxa"/>
                      </w:tcPr>
                      <w:p w:rsidR="00475A31" w:rsidRPr="00343EE7" w:rsidRDefault="00475A31" w:rsidP="00475A31"/>
                    </w:tc>
                    <w:tc>
                      <w:tcPr>
                        <w:tcW w:w="1080" w:type="dxa"/>
                        <w:vAlign w:val="bottom"/>
                      </w:tcPr>
                      <w:p w:rsidR="00475A31" w:rsidRPr="00343EE7" w:rsidRDefault="00475A31" w:rsidP="00475A31">
                        <w:pPr>
                          <w:jc w:val="right"/>
                          <w:cnfStyle w:val="100000000000"/>
                        </w:pPr>
                        <w:r w:rsidRPr="00343EE7">
                          <w:t>Obese</w:t>
                        </w:r>
                      </w:p>
                    </w:tc>
                    <w:tc>
                      <w:tcPr>
                        <w:tcW w:w="1080" w:type="dxa"/>
                        <w:vAlign w:val="bottom"/>
                      </w:tcPr>
                      <w:p w:rsidR="00475A31" w:rsidRPr="00343EE7" w:rsidRDefault="00475A31" w:rsidP="00475A31">
                        <w:pPr>
                          <w:jc w:val="right"/>
                          <w:cnfStyle w:val="100000000000"/>
                        </w:pPr>
                        <w:r w:rsidRPr="00343EE7">
                          <w:t>Not Obese</w:t>
                        </w:r>
                      </w:p>
                    </w:tc>
                    <w:tc>
                      <w:tcPr>
                        <w:tcW w:w="1080" w:type="dxa"/>
                        <w:vAlign w:val="bottom"/>
                      </w:tcPr>
                      <w:p w:rsidR="00475A31" w:rsidRPr="00343EE7" w:rsidRDefault="00475A31" w:rsidP="00475A31">
                        <w:pPr>
                          <w:jc w:val="right"/>
                          <w:cnfStyle w:val="100000000000"/>
                        </w:pPr>
                        <w:r w:rsidRPr="00343EE7">
                          <w:t xml:space="preserve">p-value </w:t>
                        </w:r>
                      </w:p>
                      <w:p w:rsidR="00475A31" w:rsidRPr="00343EE7" w:rsidRDefault="00475A31" w:rsidP="00475A31">
                        <w:pPr>
                          <w:jc w:val="right"/>
                          <w:cnfStyle w:val="100000000000"/>
                        </w:pPr>
                        <w:r w:rsidRPr="00343EE7">
                          <w:t>(α = .05)</w:t>
                        </w:r>
                      </w:p>
                    </w:tc>
                  </w:tr>
                  <w:tr w:rsidR="00475A31" w:rsidRPr="00343EE7" w:rsidTr="004A109D">
                    <w:trPr>
                      <w:cnfStyle w:val="000000100000"/>
                    </w:trPr>
                    <w:tc>
                      <w:tcPr>
                        <w:cnfStyle w:val="001000000000"/>
                        <w:tcW w:w="2304" w:type="dxa"/>
                        <w:tcBorders>
                          <w:top w:val="none" w:sz="0" w:space="0" w:color="auto"/>
                          <w:left w:val="none" w:sz="0" w:space="0" w:color="auto"/>
                          <w:bottom w:val="none" w:sz="0" w:space="0" w:color="auto"/>
                        </w:tcBorders>
                        <w:shd w:val="clear" w:color="auto" w:fill="D9D9D9" w:themeFill="background1" w:themeFillShade="D9"/>
                      </w:tcPr>
                      <w:p w:rsidR="00475A31" w:rsidRPr="00343EE7" w:rsidRDefault="00475A31" w:rsidP="00475A31">
                        <w:r w:rsidRPr="00343EE7">
                          <w:t>Not satisfied with life</w:t>
                        </w:r>
                      </w:p>
                    </w:tc>
                    <w:tc>
                      <w:tcPr>
                        <w:tcW w:w="1080" w:type="dxa"/>
                        <w:tcBorders>
                          <w:top w:val="none" w:sz="0" w:space="0" w:color="auto"/>
                          <w:bottom w:val="none" w:sz="0" w:space="0" w:color="auto"/>
                        </w:tcBorders>
                        <w:vAlign w:val="bottom"/>
                      </w:tcPr>
                      <w:p w:rsidR="00475A31" w:rsidRPr="00343EE7" w:rsidRDefault="00475A31" w:rsidP="00475A31">
                        <w:pPr>
                          <w:jc w:val="right"/>
                          <w:cnfStyle w:val="000000100000"/>
                        </w:pPr>
                        <w:r w:rsidRPr="00343EE7">
                          <w:t>7.5%</w:t>
                        </w:r>
                      </w:p>
                    </w:tc>
                    <w:tc>
                      <w:tcPr>
                        <w:tcW w:w="1080" w:type="dxa"/>
                        <w:tcBorders>
                          <w:top w:val="none" w:sz="0" w:space="0" w:color="auto"/>
                          <w:bottom w:val="none" w:sz="0" w:space="0" w:color="auto"/>
                        </w:tcBorders>
                        <w:vAlign w:val="bottom"/>
                      </w:tcPr>
                      <w:p w:rsidR="00475A31" w:rsidRPr="00343EE7" w:rsidRDefault="00475A31" w:rsidP="00475A31">
                        <w:pPr>
                          <w:jc w:val="right"/>
                          <w:cnfStyle w:val="000000100000"/>
                        </w:pPr>
                        <w:r w:rsidRPr="00343EE7">
                          <w:t>5.1%</w:t>
                        </w:r>
                      </w:p>
                    </w:tc>
                    <w:tc>
                      <w:tcPr>
                        <w:tcW w:w="1080" w:type="dxa"/>
                        <w:tcBorders>
                          <w:top w:val="none" w:sz="0" w:space="0" w:color="auto"/>
                          <w:bottom w:val="none" w:sz="0" w:space="0" w:color="auto"/>
                          <w:right w:val="none" w:sz="0" w:space="0" w:color="auto"/>
                        </w:tcBorders>
                        <w:vAlign w:val="bottom"/>
                      </w:tcPr>
                      <w:p w:rsidR="00475A31" w:rsidRPr="00343EE7" w:rsidRDefault="00475A31" w:rsidP="00475A31">
                        <w:pPr>
                          <w:jc w:val="right"/>
                          <w:cnfStyle w:val="000000100000"/>
                        </w:pPr>
                      </w:p>
                    </w:tc>
                  </w:tr>
                  <w:tr w:rsidR="00475A31" w:rsidRPr="00343EE7" w:rsidTr="004A109D">
                    <w:tc>
                      <w:tcPr>
                        <w:cnfStyle w:val="001000000000"/>
                        <w:tcW w:w="2304" w:type="dxa"/>
                        <w:shd w:val="clear" w:color="auto" w:fill="D9D9D9" w:themeFill="background1" w:themeFillShade="D9"/>
                      </w:tcPr>
                      <w:p w:rsidR="00475A31" w:rsidRPr="00343EE7" w:rsidRDefault="00475A31" w:rsidP="00475A31">
                        <w:r w:rsidRPr="00343EE7">
                          <w:t>Satisfied with life</w:t>
                        </w:r>
                      </w:p>
                    </w:tc>
                    <w:tc>
                      <w:tcPr>
                        <w:tcW w:w="1080" w:type="dxa"/>
                        <w:vAlign w:val="bottom"/>
                      </w:tcPr>
                      <w:p w:rsidR="00475A31" w:rsidRPr="00343EE7" w:rsidRDefault="00475A31" w:rsidP="00475A31">
                        <w:pPr>
                          <w:jc w:val="right"/>
                          <w:cnfStyle w:val="000000000000"/>
                        </w:pPr>
                        <w:r w:rsidRPr="00343EE7">
                          <w:t>92.5%</w:t>
                        </w:r>
                      </w:p>
                    </w:tc>
                    <w:tc>
                      <w:tcPr>
                        <w:tcW w:w="1080" w:type="dxa"/>
                        <w:vAlign w:val="bottom"/>
                      </w:tcPr>
                      <w:p w:rsidR="00475A31" w:rsidRPr="00343EE7" w:rsidRDefault="00475A31" w:rsidP="00475A31">
                        <w:pPr>
                          <w:jc w:val="right"/>
                          <w:cnfStyle w:val="000000000000"/>
                        </w:pPr>
                        <w:r w:rsidRPr="00343EE7">
                          <w:t>94.9%</w:t>
                        </w:r>
                      </w:p>
                    </w:tc>
                    <w:tc>
                      <w:tcPr>
                        <w:tcW w:w="1080" w:type="dxa"/>
                        <w:vAlign w:val="bottom"/>
                      </w:tcPr>
                      <w:p w:rsidR="00475A31" w:rsidRPr="00343EE7" w:rsidRDefault="00475A31" w:rsidP="00475A31">
                        <w:pPr>
                          <w:jc w:val="right"/>
                          <w:cnfStyle w:val="000000000000"/>
                        </w:pPr>
                        <w:r w:rsidRPr="00343EE7">
                          <w:t>&lt; 0.0001</w:t>
                        </w:r>
                      </w:p>
                    </w:tc>
                  </w:tr>
                </w:tbl>
                <w:p w:rsidR="00475A31" w:rsidRDefault="00475A31" w:rsidP="00083B6C"/>
              </w:txbxContent>
            </v:textbox>
          </v:shape>
        </w:pict>
      </w:r>
      <w:r w:rsidR="00083B6C">
        <w:rPr>
          <w:noProof/>
          <w:lang w:eastAsia="en-US"/>
        </w:rPr>
        <w:drawing>
          <wp:inline distT="0" distB="0" distL="0" distR="0">
            <wp:extent cx="2781300" cy="2149162"/>
            <wp:effectExtent l="19050" t="0" r="0" b="0"/>
            <wp:docPr id="22" name="Picture 21" descr="Dissatisfied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atisfiedLife.bmp"/>
                    <pic:cNvPicPr/>
                  </pic:nvPicPr>
                  <pic:blipFill>
                    <a:blip r:embed="rId18" cstate="print"/>
                    <a:stretch>
                      <a:fillRect/>
                    </a:stretch>
                  </pic:blipFill>
                  <pic:spPr>
                    <a:xfrm>
                      <a:off x="0" y="0"/>
                      <a:ext cx="2794509" cy="2159369"/>
                    </a:xfrm>
                    <a:prstGeom prst="rect">
                      <a:avLst/>
                    </a:prstGeom>
                  </pic:spPr>
                </pic:pic>
              </a:graphicData>
            </a:graphic>
          </wp:inline>
        </w:drawing>
      </w:r>
    </w:p>
    <w:p w:rsidR="00083B6C" w:rsidRPr="00B22472" w:rsidRDefault="00083B6C" w:rsidP="00083B6C">
      <w:pPr>
        <w:rPr>
          <w:b/>
          <w:color w:val="FE8637" w:themeColor="accent1"/>
          <w:sz w:val="22"/>
          <w:szCs w:val="22"/>
        </w:rPr>
      </w:pPr>
      <w:r w:rsidRPr="00B22472">
        <w:rPr>
          <w:b/>
          <w:color w:val="FE8637" w:themeColor="accent1"/>
          <w:sz w:val="22"/>
          <w:szCs w:val="22"/>
        </w:rPr>
        <w:t>Summary</w:t>
      </w:r>
    </w:p>
    <w:p w:rsidR="00083B6C" w:rsidRDefault="00083B6C" w:rsidP="00083B6C">
      <w:r>
        <w:t>Obesity has increased almost 60% across the Oklahoma population since 2000. During the same time period, Oklahomans have experienced worsening quality of life and life satisfaction, almost double the rate of diabetes, and greater engagement in unhealthy nutrition, physical activity, and sleep behaviors. Some of these factors contributed to Oklahoma’s poor ranking (48</w:t>
      </w:r>
      <w:r w:rsidRPr="00622718">
        <w:rPr>
          <w:vertAlign w:val="superscript"/>
        </w:rPr>
        <w:t>th</w:t>
      </w:r>
      <w:r>
        <w:t xml:space="preserve"> in the nation) in the 2011 edition of America’s Health Rankings.</w:t>
      </w:r>
      <w:r w:rsidRPr="00622718">
        <w:rPr>
          <w:vertAlign w:val="superscript"/>
        </w:rPr>
        <w:t>1</w:t>
      </w:r>
      <w:r>
        <w:rPr>
          <w:vertAlign w:val="superscript"/>
        </w:rPr>
        <w:t>1</w:t>
      </w:r>
      <w:r>
        <w:t xml:space="preserve">  </w:t>
      </w:r>
    </w:p>
    <w:p w:rsidR="00083B6C" w:rsidRDefault="00083B6C" w:rsidP="00083B6C">
      <w:r>
        <w:t>The Oklahoma State Department of Health (OSDH) has been mobilizing efforts to improve the health and quality of life of Oklahoma residents. Some of the most recent initiatives include the Oklahoma Health Improvement Plan,</w:t>
      </w:r>
      <w:r>
        <w:rPr>
          <w:vertAlign w:val="superscript"/>
        </w:rPr>
        <w:t xml:space="preserve"> </w:t>
      </w:r>
      <w:r>
        <w:t xml:space="preserve">the Shape Your Future campaign, and establishment of the Center for the Advancement of Wellness.  </w:t>
      </w:r>
    </w:p>
    <w:p w:rsidR="00083B6C" w:rsidRDefault="00083B6C" w:rsidP="00083B6C">
      <w:r>
        <w:t>The Oklahoma Health Improvement Plan</w:t>
      </w:r>
      <w:r w:rsidRPr="00B70D6F">
        <w:rPr>
          <w:vertAlign w:val="superscript"/>
        </w:rPr>
        <w:t>1</w:t>
      </w:r>
      <w:r>
        <w:rPr>
          <w:vertAlign w:val="superscript"/>
        </w:rPr>
        <w:t>2</w:t>
      </w:r>
      <w:r>
        <w:t xml:space="preserve"> was developed in collaboration with health professionals, government agencies, and community members to focus on key priorities and outcomes which will greatly impact the health of Oklahomans. One of the key priorities is obesity, and several objectives are outlined in the plan to enhance access to and opportunities for healthy nutrition and physical fitness for all Oklahomans.</w:t>
      </w:r>
    </w:p>
    <w:p w:rsidR="00083B6C" w:rsidRDefault="00083B6C" w:rsidP="00083B6C">
      <w:r>
        <w:t>Shape Your Future</w:t>
      </w:r>
      <w:r w:rsidRPr="00580BD5">
        <w:rPr>
          <w:vertAlign w:val="superscript"/>
        </w:rPr>
        <w:t>1</w:t>
      </w:r>
      <w:r>
        <w:rPr>
          <w:vertAlign w:val="superscript"/>
        </w:rPr>
        <w:t>3</w:t>
      </w:r>
      <w:r>
        <w:t xml:space="preserve"> was launched in early 2011 in conjunction with the Tobacco Settlement Endowment Trust and partner organizations as a social marketing campaign to provide Oklahomans with information and resources for eating better, moving more, and being tobacco-free. Individuals, organizations, and communities can implement these policies and practices, thus improving quality of life of residents. The idea is that if Oklahoma’s health status was similar to the national average, 5,320 lives would be saved each year.</w:t>
      </w:r>
    </w:p>
    <w:p w:rsidR="00083B6C" w:rsidRDefault="00083B6C" w:rsidP="00083B6C">
      <w:r>
        <w:t xml:space="preserve">Most recently, the Center for the Advancement of Wellness was established as a means of strategically aligning resources within OSDH that address obesity and tobacco prevention. The Community Development Service (CDS) now works alongside the Center. Several ongoing programs within CDS include Turning Point, Certified Healthy Oklahoma, and CATCH. The Turning Point Initiative, begun in 1998, consists of community partnerships whose focus is to enhance the health status of Oklahomans. While their activities vary, many communities have developed plans that target obesity reduction and prevention. The Certified Healthy Oklahoma Programs began in 2003 as a means of encouraging and recognizing businesses that were committed to improving the health of their employees. The Certified Healthy programs have since expanded to recognize restaurants, schools, campuses, and communities who are also doing their part to promote healthy lifestyles among their respective populations. CATCH, or Coordinated Approach to Child Health, is a healthy nutrition and physical activity program that is in its fifth year in after-school programs across the state. </w:t>
      </w:r>
    </w:p>
    <w:p w:rsidR="00083B6C" w:rsidRDefault="00083B6C" w:rsidP="00083B6C">
      <w:pPr>
        <w:rPr>
          <w:sz w:val="18"/>
          <w:szCs w:val="18"/>
        </w:rPr>
      </w:pPr>
      <w:r w:rsidRPr="008A3A90">
        <w:t>The</w:t>
      </w:r>
      <w:r>
        <w:t xml:space="preserve">re are a </w:t>
      </w:r>
      <w:r w:rsidRPr="008A3A90">
        <w:t>plethora of programs aimed at reducing and preventing obesity across the state of Oklahoma</w:t>
      </w:r>
      <w:r>
        <w:t xml:space="preserve">. Programs are utilizing a variety of approaches to promote healthy behavior change, including individual, organizational, community, and policy strategies. OSDH is leading the way to </w:t>
      </w:r>
      <w:proofErr w:type="gramStart"/>
      <w:r>
        <w:t>Create</w:t>
      </w:r>
      <w:proofErr w:type="gramEnd"/>
      <w:r>
        <w:t xml:space="preserve"> a State of Health.</w:t>
      </w:r>
    </w:p>
    <w:p w:rsidR="00083B6C" w:rsidRPr="004A109D" w:rsidRDefault="00083B6C" w:rsidP="00083B6C">
      <w:pPr>
        <w:rPr>
          <w:color w:val="FE8637" w:themeColor="accent1"/>
          <w:sz w:val="15"/>
          <w:szCs w:val="15"/>
        </w:rPr>
      </w:pPr>
      <w:r w:rsidRPr="004A109D">
        <w:rPr>
          <w:color w:val="FE8637" w:themeColor="accent1"/>
          <w:sz w:val="15"/>
          <w:szCs w:val="15"/>
        </w:rPr>
        <w:t>References</w:t>
      </w:r>
    </w:p>
    <w:p w:rsidR="00083B6C" w:rsidRPr="00FE39C1" w:rsidRDefault="00083B6C" w:rsidP="00083B6C">
      <w:pPr>
        <w:spacing w:after="0"/>
        <w:rPr>
          <w:sz w:val="15"/>
          <w:szCs w:val="15"/>
        </w:rPr>
      </w:pPr>
      <w:r w:rsidRPr="00FE39C1">
        <w:rPr>
          <w:sz w:val="15"/>
          <w:szCs w:val="15"/>
          <w:vertAlign w:val="superscript"/>
        </w:rPr>
        <w:t>1</w:t>
      </w:r>
      <w:r w:rsidRPr="00FE39C1">
        <w:rPr>
          <w:sz w:val="15"/>
          <w:szCs w:val="15"/>
        </w:rPr>
        <w:t>Centers for Disease Control and Prevention, National BRFSS data reference (for sleep and satisfaction, used dataset and not stats on wonder)</w:t>
      </w:r>
    </w:p>
    <w:p w:rsidR="00083B6C" w:rsidRPr="00FE39C1" w:rsidRDefault="00083B6C" w:rsidP="00083B6C">
      <w:pPr>
        <w:spacing w:after="0"/>
        <w:rPr>
          <w:sz w:val="15"/>
          <w:szCs w:val="15"/>
        </w:rPr>
      </w:pPr>
      <w:r w:rsidRPr="00FE39C1">
        <w:rPr>
          <w:sz w:val="15"/>
          <w:szCs w:val="15"/>
          <w:vertAlign w:val="superscript"/>
        </w:rPr>
        <w:t>2</w:t>
      </w:r>
      <w:r w:rsidRPr="00FE39C1">
        <w:rPr>
          <w:sz w:val="15"/>
          <w:szCs w:val="15"/>
        </w:rPr>
        <w:t>Center for Health Statistics, Oklahoma State Department of Health, OK BRFSS data reference</w:t>
      </w:r>
    </w:p>
    <w:p w:rsidR="00083B6C" w:rsidRPr="00FE39C1" w:rsidRDefault="00083B6C" w:rsidP="00083B6C">
      <w:pPr>
        <w:spacing w:after="0"/>
        <w:rPr>
          <w:sz w:val="15"/>
          <w:szCs w:val="15"/>
        </w:rPr>
      </w:pPr>
      <w:r w:rsidRPr="00FE39C1">
        <w:rPr>
          <w:sz w:val="15"/>
          <w:szCs w:val="15"/>
          <w:vertAlign w:val="superscript"/>
        </w:rPr>
        <w:t>3</w:t>
      </w:r>
      <w:r w:rsidRPr="00FE39C1">
        <w:rPr>
          <w:sz w:val="15"/>
          <w:szCs w:val="15"/>
        </w:rPr>
        <w:t>Reference for food and exercise causing obesity</w:t>
      </w:r>
    </w:p>
    <w:p w:rsidR="00083B6C" w:rsidRPr="00FE39C1" w:rsidRDefault="00083B6C" w:rsidP="00083B6C">
      <w:pPr>
        <w:spacing w:after="0"/>
        <w:rPr>
          <w:sz w:val="15"/>
          <w:szCs w:val="15"/>
        </w:rPr>
      </w:pPr>
      <w:r w:rsidRPr="00FE39C1">
        <w:rPr>
          <w:sz w:val="15"/>
          <w:szCs w:val="15"/>
          <w:vertAlign w:val="superscript"/>
        </w:rPr>
        <w:t>4</w:t>
      </w:r>
      <w:r w:rsidRPr="00FE39C1">
        <w:rPr>
          <w:sz w:val="15"/>
          <w:szCs w:val="15"/>
        </w:rPr>
        <w:t>State of the State’s Health report, 2011</w:t>
      </w:r>
    </w:p>
    <w:p w:rsidR="00083B6C" w:rsidRPr="00FE39C1" w:rsidRDefault="00083B6C" w:rsidP="00083B6C">
      <w:pPr>
        <w:spacing w:after="0"/>
        <w:rPr>
          <w:sz w:val="15"/>
          <w:szCs w:val="15"/>
        </w:rPr>
      </w:pPr>
      <w:r w:rsidRPr="00FE39C1">
        <w:rPr>
          <w:sz w:val="15"/>
          <w:szCs w:val="15"/>
          <w:vertAlign w:val="superscript"/>
        </w:rPr>
        <w:t>5</w:t>
      </w:r>
      <w:r w:rsidRPr="00FE39C1">
        <w:rPr>
          <w:sz w:val="15"/>
          <w:szCs w:val="15"/>
        </w:rPr>
        <w:t xml:space="preserve">The Diabetes Prevention Program Research Group (2002). The Diabetes Prevention Program (DPP). </w:t>
      </w:r>
      <w:proofErr w:type="gramStart"/>
      <w:r w:rsidRPr="00FE39C1">
        <w:rPr>
          <w:sz w:val="15"/>
          <w:szCs w:val="15"/>
        </w:rPr>
        <w:t>Diabetes Care.</w:t>
      </w:r>
      <w:proofErr w:type="gramEnd"/>
      <w:r w:rsidRPr="00FE39C1">
        <w:rPr>
          <w:sz w:val="15"/>
          <w:szCs w:val="15"/>
        </w:rPr>
        <w:t xml:space="preserve"> 25:2165-2171.</w:t>
      </w:r>
    </w:p>
    <w:p w:rsidR="00083B6C" w:rsidRPr="00FE39C1" w:rsidRDefault="00083B6C" w:rsidP="00083B6C">
      <w:pPr>
        <w:spacing w:after="0"/>
        <w:rPr>
          <w:sz w:val="15"/>
          <w:szCs w:val="15"/>
        </w:rPr>
      </w:pPr>
      <w:proofErr w:type="gramStart"/>
      <w:r w:rsidRPr="00FE39C1">
        <w:rPr>
          <w:sz w:val="15"/>
          <w:szCs w:val="15"/>
          <w:vertAlign w:val="superscript"/>
        </w:rPr>
        <w:t>6</w:t>
      </w:r>
      <w:r w:rsidRPr="00FE39C1">
        <w:rPr>
          <w:sz w:val="15"/>
          <w:szCs w:val="15"/>
        </w:rPr>
        <w:t>Kolotkin, Meter, and Williams (2001).</w:t>
      </w:r>
      <w:proofErr w:type="gramEnd"/>
      <w:r w:rsidRPr="00FE39C1">
        <w:rPr>
          <w:sz w:val="15"/>
          <w:szCs w:val="15"/>
        </w:rPr>
        <w:t xml:space="preserve"> </w:t>
      </w:r>
      <w:proofErr w:type="gramStart"/>
      <w:r w:rsidRPr="00FE39C1">
        <w:rPr>
          <w:sz w:val="15"/>
          <w:szCs w:val="15"/>
        </w:rPr>
        <w:t>Quality of Life and Obesity.</w:t>
      </w:r>
      <w:proofErr w:type="gramEnd"/>
      <w:r w:rsidRPr="00FE39C1">
        <w:rPr>
          <w:sz w:val="15"/>
          <w:szCs w:val="15"/>
        </w:rPr>
        <w:t xml:space="preserve"> Obesity Reviews. 2:219-229.</w:t>
      </w:r>
    </w:p>
    <w:p w:rsidR="00083B6C" w:rsidRPr="00FE39C1" w:rsidRDefault="00083B6C" w:rsidP="00083B6C">
      <w:pPr>
        <w:spacing w:after="0"/>
        <w:rPr>
          <w:sz w:val="15"/>
          <w:szCs w:val="15"/>
        </w:rPr>
      </w:pPr>
      <w:proofErr w:type="gramStart"/>
      <w:r w:rsidRPr="00FE39C1">
        <w:rPr>
          <w:sz w:val="15"/>
          <w:szCs w:val="15"/>
          <w:vertAlign w:val="superscript"/>
        </w:rPr>
        <w:t>7</w:t>
      </w:r>
      <w:r w:rsidRPr="00FE39C1">
        <w:rPr>
          <w:sz w:val="15"/>
          <w:szCs w:val="15"/>
        </w:rPr>
        <w:t>National Sleep Foundation.</w:t>
      </w:r>
      <w:proofErr w:type="gramEnd"/>
      <w:r w:rsidRPr="00FE39C1">
        <w:rPr>
          <w:sz w:val="15"/>
          <w:szCs w:val="15"/>
        </w:rPr>
        <w:t xml:space="preserve"> </w:t>
      </w:r>
      <w:proofErr w:type="gramStart"/>
      <w:r w:rsidRPr="00FE39C1">
        <w:rPr>
          <w:sz w:val="15"/>
          <w:szCs w:val="15"/>
        </w:rPr>
        <w:t>Obesity and Sleep.</w:t>
      </w:r>
      <w:proofErr w:type="gramEnd"/>
      <w:r w:rsidRPr="00FE39C1">
        <w:rPr>
          <w:sz w:val="15"/>
          <w:szCs w:val="15"/>
        </w:rPr>
        <w:t xml:space="preserve"> Available at http://www.sleepfoundation.org/article/sleep-topics/obesity-and-sleep</w:t>
      </w:r>
    </w:p>
    <w:p w:rsidR="00083B6C" w:rsidRPr="00FE39C1" w:rsidRDefault="00083B6C" w:rsidP="00083B6C">
      <w:pPr>
        <w:spacing w:after="0"/>
        <w:rPr>
          <w:sz w:val="15"/>
          <w:szCs w:val="15"/>
        </w:rPr>
      </w:pPr>
      <w:proofErr w:type="gramStart"/>
      <w:r w:rsidRPr="00FE39C1">
        <w:rPr>
          <w:sz w:val="15"/>
          <w:szCs w:val="15"/>
          <w:vertAlign w:val="superscript"/>
        </w:rPr>
        <w:t>8</w:t>
      </w:r>
      <w:r w:rsidRPr="00FE39C1">
        <w:rPr>
          <w:sz w:val="15"/>
          <w:szCs w:val="15"/>
        </w:rPr>
        <w:t xml:space="preserve">Gangwisch, </w:t>
      </w:r>
      <w:proofErr w:type="spellStart"/>
      <w:r w:rsidRPr="00FE39C1">
        <w:rPr>
          <w:sz w:val="15"/>
          <w:szCs w:val="15"/>
        </w:rPr>
        <w:t>Malaspina</w:t>
      </w:r>
      <w:proofErr w:type="spellEnd"/>
      <w:r w:rsidRPr="00FE39C1">
        <w:rPr>
          <w:sz w:val="15"/>
          <w:szCs w:val="15"/>
        </w:rPr>
        <w:t xml:space="preserve">, </w:t>
      </w:r>
      <w:proofErr w:type="spellStart"/>
      <w:r w:rsidRPr="00FE39C1">
        <w:rPr>
          <w:sz w:val="15"/>
          <w:szCs w:val="15"/>
        </w:rPr>
        <w:t>Boden-Albala</w:t>
      </w:r>
      <w:proofErr w:type="spellEnd"/>
      <w:r w:rsidRPr="00FE39C1">
        <w:rPr>
          <w:sz w:val="15"/>
          <w:szCs w:val="15"/>
        </w:rPr>
        <w:t xml:space="preserve">, and </w:t>
      </w:r>
      <w:proofErr w:type="spellStart"/>
      <w:r w:rsidRPr="00FE39C1">
        <w:rPr>
          <w:sz w:val="15"/>
          <w:szCs w:val="15"/>
        </w:rPr>
        <w:t>Heymsfield</w:t>
      </w:r>
      <w:proofErr w:type="spellEnd"/>
      <w:r w:rsidRPr="00FE39C1">
        <w:rPr>
          <w:sz w:val="15"/>
          <w:szCs w:val="15"/>
        </w:rPr>
        <w:t xml:space="preserve"> (2005).</w:t>
      </w:r>
      <w:proofErr w:type="gramEnd"/>
      <w:r w:rsidRPr="00FE39C1">
        <w:rPr>
          <w:sz w:val="15"/>
          <w:szCs w:val="15"/>
        </w:rPr>
        <w:t xml:space="preserve"> Inadequate sleep as a risk factor for Obesity: Analyses of the NHANES I. Sleep. 28(10):1289-1296.</w:t>
      </w:r>
    </w:p>
    <w:p w:rsidR="00083B6C" w:rsidRPr="00FE39C1" w:rsidRDefault="00083B6C" w:rsidP="00083B6C">
      <w:pPr>
        <w:spacing w:after="0"/>
        <w:rPr>
          <w:sz w:val="15"/>
          <w:szCs w:val="15"/>
        </w:rPr>
      </w:pPr>
      <w:proofErr w:type="gramStart"/>
      <w:r w:rsidRPr="00FE39C1">
        <w:rPr>
          <w:sz w:val="15"/>
          <w:szCs w:val="15"/>
          <w:vertAlign w:val="superscript"/>
        </w:rPr>
        <w:t>9</w:t>
      </w:r>
      <w:r w:rsidRPr="00FE39C1">
        <w:rPr>
          <w:sz w:val="15"/>
          <w:szCs w:val="15"/>
        </w:rPr>
        <w:t xml:space="preserve">Ball, Crawford, and </w:t>
      </w:r>
      <w:proofErr w:type="spellStart"/>
      <w:r w:rsidRPr="00FE39C1">
        <w:rPr>
          <w:sz w:val="15"/>
          <w:szCs w:val="15"/>
        </w:rPr>
        <w:t>Kenardy</w:t>
      </w:r>
      <w:proofErr w:type="spellEnd"/>
      <w:r w:rsidRPr="00FE39C1">
        <w:rPr>
          <w:sz w:val="15"/>
          <w:szCs w:val="15"/>
        </w:rPr>
        <w:t xml:space="preserve"> (2004).</w:t>
      </w:r>
      <w:proofErr w:type="gramEnd"/>
      <w:r w:rsidRPr="00FE39C1">
        <w:rPr>
          <w:sz w:val="15"/>
          <w:szCs w:val="15"/>
        </w:rPr>
        <w:t xml:space="preserve"> </w:t>
      </w:r>
      <w:proofErr w:type="gramStart"/>
      <w:r w:rsidRPr="00FE39C1">
        <w:rPr>
          <w:sz w:val="15"/>
          <w:szCs w:val="15"/>
        </w:rPr>
        <w:t>Longitudinal relationships among overweight, life satisfaction, and aspirations in young women.</w:t>
      </w:r>
      <w:proofErr w:type="gramEnd"/>
      <w:r w:rsidRPr="00FE39C1">
        <w:rPr>
          <w:sz w:val="15"/>
          <w:szCs w:val="15"/>
        </w:rPr>
        <w:t xml:space="preserve"> </w:t>
      </w:r>
      <w:proofErr w:type="gramStart"/>
      <w:r w:rsidRPr="00FE39C1">
        <w:rPr>
          <w:sz w:val="15"/>
          <w:szCs w:val="15"/>
        </w:rPr>
        <w:t>Obesity Research.</w:t>
      </w:r>
      <w:proofErr w:type="gramEnd"/>
      <w:r w:rsidRPr="00FE39C1">
        <w:rPr>
          <w:sz w:val="15"/>
          <w:szCs w:val="15"/>
        </w:rPr>
        <w:t xml:space="preserve"> 12(6):1019-1030.</w:t>
      </w:r>
    </w:p>
    <w:p w:rsidR="00083B6C" w:rsidRPr="00FE39C1" w:rsidRDefault="00083B6C" w:rsidP="00083B6C">
      <w:pPr>
        <w:spacing w:after="0"/>
        <w:rPr>
          <w:sz w:val="15"/>
          <w:szCs w:val="15"/>
        </w:rPr>
      </w:pPr>
      <w:proofErr w:type="gramStart"/>
      <w:r w:rsidRPr="00FE39C1">
        <w:rPr>
          <w:sz w:val="15"/>
          <w:szCs w:val="15"/>
          <w:vertAlign w:val="superscript"/>
        </w:rPr>
        <w:t>10</w:t>
      </w:r>
      <w:r w:rsidRPr="00FE39C1">
        <w:rPr>
          <w:sz w:val="15"/>
          <w:szCs w:val="15"/>
        </w:rPr>
        <w:t xml:space="preserve">Strine, Chapman, </w:t>
      </w:r>
      <w:proofErr w:type="spellStart"/>
      <w:r w:rsidRPr="00FE39C1">
        <w:rPr>
          <w:sz w:val="15"/>
          <w:szCs w:val="15"/>
        </w:rPr>
        <w:t>Balluz</w:t>
      </w:r>
      <w:proofErr w:type="spellEnd"/>
      <w:r w:rsidRPr="00FE39C1">
        <w:rPr>
          <w:sz w:val="15"/>
          <w:szCs w:val="15"/>
        </w:rPr>
        <w:t xml:space="preserve">, Moriarty, and </w:t>
      </w:r>
      <w:proofErr w:type="spellStart"/>
      <w:r w:rsidRPr="00FE39C1">
        <w:rPr>
          <w:sz w:val="15"/>
          <w:szCs w:val="15"/>
        </w:rPr>
        <w:t>Mokdad</w:t>
      </w:r>
      <w:proofErr w:type="spellEnd"/>
      <w:r w:rsidRPr="00FE39C1">
        <w:rPr>
          <w:sz w:val="15"/>
          <w:szCs w:val="15"/>
        </w:rPr>
        <w:t xml:space="preserve"> (2007).</w:t>
      </w:r>
      <w:proofErr w:type="gramEnd"/>
      <w:r w:rsidRPr="00FE39C1">
        <w:rPr>
          <w:sz w:val="15"/>
          <w:szCs w:val="15"/>
        </w:rPr>
        <w:t xml:space="preserve"> </w:t>
      </w:r>
      <w:proofErr w:type="gramStart"/>
      <w:r w:rsidRPr="00FE39C1">
        <w:rPr>
          <w:sz w:val="15"/>
          <w:szCs w:val="15"/>
        </w:rPr>
        <w:t>The associations between life satisfaction and health-related quality of life, chronic illness, and health behaviors among U.S. community-dwelling adults.</w:t>
      </w:r>
      <w:proofErr w:type="gramEnd"/>
      <w:r w:rsidRPr="00FE39C1">
        <w:rPr>
          <w:sz w:val="15"/>
          <w:szCs w:val="15"/>
        </w:rPr>
        <w:t xml:space="preserve"> </w:t>
      </w:r>
      <w:proofErr w:type="gramStart"/>
      <w:r w:rsidRPr="00FE39C1">
        <w:rPr>
          <w:sz w:val="15"/>
          <w:szCs w:val="15"/>
        </w:rPr>
        <w:t>Journal of Community Health.</w:t>
      </w:r>
      <w:proofErr w:type="gramEnd"/>
      <w:r w:rsidRPr="00FE39C1">
        <w:rPr>
          <w:sz w:val="15"/>
          <w:szCs w:val="15"/>
        </w:rPr>
        <w:t xml:space="preserve"> 33:40-50.</w:t>
      </w:r>
    </w:p>
    <w:p w:rsidR="00083B6C" w:rsidRPr="00FE39C1" w:rsidRDefault="00083B6C" w:rsidP="00083B6C">
      <w:pPr>
        <w:spacing w:after="0"/>
        <w:rPr>
          <w:sz w:val="15"/>
          <w:szCs w:val="15"/>
        </w:rPr>
      </w:pPr>
      <w:proofErr w:type="gramStart"/>
      <w:r w:rsidRPr="00FE39C1">
        <w:rPr>
          <w:sz w:val="15"/>
          <w:szCs w:val="15"/>
          <w:vertAlign w:val="superscript"/>
        </w:rPr>
        <w:t>11</w:t>
      </w:r>
      <w:r w:rsidRPr="00FE39C1">
        <w:rPr>
          <w:sz w:val="15"/>
          <w:szCs w:val="15"/>
        </w:rPr>
        <w:t>United Health Foundation (2011).</w:t>
      </w:r>
      <w:proofErr w:type="gramEnd"/>
      <w:r w:rsidRPr="00FE39C1">
        <w:rPr>
          <w:sz w:val="15"/>
          <w:szCs w:val="15"/>
        </w:rPr>
        <w:t xml:space="preserve"> America’s Health Rankings. </w:t>
      </w:r>
      <w:proofErr w:type="gramStart"/>
      <w:r w:rsidRPr="00FE39C1">
        <w:rPr>
          <w:sz w:val="15"/>
          <w:szCs w:val="15"/>
        </w:rPr>
        <w:t>A Call to Action for Individuals &amp; Their Communities.</w:t>
      </w:r>
      <w:proofErr w:type="gramEnd"/>
      <w:r w:rsidRPr="00FE39C1">
        <w:rPr>
          <w:sz w:val="15"/>
          <w:szCs w:val="15"/>
        </w:rPr>
        <w:t xml:space="preserve"> </w:t>
      </w:r>
      <w:proofErr w:type="gramStart"/>
      <w:r w:rsidRPr="00FE39C1">
        <w:rPr>
          <w:sz w:val="15"/>
          <w:szCs w:val="15"/>
        </w:rPr>
        <w:t>2011 Edition.</w:t>
      </w:r>
      <w:proofErr w:type="gramEnd"/>
      <w:r w:rsidRPr="00FE39C1">
        <w:rPr>
          <w:sz w:val="15"/>
          <w:szCs w:val="15"/>
        </w:rPr>
        <w:t xml:space="preserve"> </w:t>
      </w:r>
      <w:proofErr w:type="gramStart"/>
      <w:r w:rsidRPr="00FE39C1">
        <w:rPr>
          <w:sz w:val="15"/>
          <w:szCs w:val="15"/>
        </w:rPr>
        <w:t>Available at http://www.americashealthrankings.org/sitefiles/reports/ahr%202011edition.pdf.</w:t>
      </w:r>
      <w:proofErr w:type="gramEnd"/>
    </w:p>
    <w:p w:rsidR="00083B6C" w:rsidRPr="00FE39C1" w:rsidRDefault="00083B6C" w:rsidP="00083B6C">
      <w:pPr>
        <w:spacing w:after="0"/>
        <w:rPr>
          <w:sz w:val="15"/>
          <w:szCs w:val="15"/>
        </w:rPr>
      </w:pPr>
      <w:proofErr w:type="gramStart"/>
      <w:r w:rsidRPr="00FE39C1">
        <w:rPr>
          <w:sz w:val="15"/>
          <w:szCs w:val="15"/>
          <w:vertAlign w:val="superscript"/>
        </w:rPr>
        <w:t>12</w:t>
      </w:r>
      <w:r w:rsidRPr="00FE39C1">
        <w:rPr>
          <w:sz w:val="15"/>
          <w:szCs w:val="15"/>
        </w:rPr>
        <w:t>Oklahoma Health Improvement Planning Team (2010).</w:t>
      </w:r>
      <w:proofErr w:type="gramEnd"/>
      <w:r w:rsidRPr="00FE39C1">
        <w:rPr>
          <w:sz w:val="15"/>
          <w:szCs w:val="15"/>
        </w:rPr>
        <w:t xml:space="preserve"> </w:t>
      </w:r>
      <w:proofErr w:type="gramStart"/>
      <w:r w:rsidRPr="00FE39C1">
        <w:rPr>
          <w:sz w:val="15"/>
          <w:szCs w:val="15"/>
        </w:rPr>
        <w:t>Oklahoma Health Improvement Plan.</w:t>
      </w:r>
      <w:proofErr w:type="gramEnd"/>
      <w:r w:rsidRPr="00FE39C1">
        <w:rPr>
          <w:sz w:val="15"/>
          <w:szCs w:val="15"/>
        </w:rPr>
        <w:t xml:space="preserve"> </w:t>
      </w:r>
      <w:proofErr w:type="gramStart"/>
      <w:r w:rsidRPr="00FE39C1">
        <w:rPr>
          <w:sz w:val="15"/>
          <w:szCs w:val="15"/>
        </w:rPr>
        <w:t>Available at http://www.ok.gov/health/documents/OHIP-viewing.pdf.</w:t>
      </w:r>
      <w:proofErr w:type="gramEnd"/>
    </w:p>
    <w:p w:rsidR="00083B6C" w:rsidRPr="00FE39C1" w:rsidRDefault="00083B6C" w:rsidP="00083B6C">
      <w:pPr>
        <w:spacing w:after="0"/>
        <w:rPr>
          <w:sz w:val="15"/>
          <w:szCs w:val="15"/>
        </w:rPr>
      </w:pPr>
      <w:proofErr w:type="gramStart"/>
      <w:r w:rsidRPr="00FE39C1">
        <w:rPr>
          <w:sz w:val="15"/>
          <w:szCs w:val="15"/>
          <w:vertAlign w:val="superscript"/>
        </w:rPr>
        <w:t>13</w:t>
      </w:r>
      <w:r w:rsidRPr="00FE39C1">
        <w:rPr>
          <w:sz w:val="15"/>
          <w:szCs w:val="15"/>
        </w:rPr>
        <w:t>Oklahoma State Department of Health and Tobacco Settlement Endowment Trust.</w:t>
      </w:r>
      <w:proofErr w:type="gramEnd"/>
      <w:r w:rsidRPr="00FE39C1">
        <w:rPr>
          <w:sz w:val="15"/>
          <w:szCs w:val="15"/>
        </w:rPr>
        <w:t xml:space="preserve"> Shape Your </w:t>
      </w:r>
      <w:proofErr w:type="gramStart"/>
      <w:r w:rsidRPr="00FE39C1">
        <w:rPr>
          <w:sz w:val="15"/>
          <w:szCs w:val="15"/>
        </w:rPr>
        <w:t>Future  website</w:t>
      </w:r>
      <w:proofErr w:type="gramEnd"/>
      <w:r w:rsidRPr="00FE39C1">
        <w:rPr>
          <w:sz w:val="15"/>
          <w:szCs w:val="15"/>
        </w:rPr>
        <w:t xml:space="preserve">. </w:t>
      </w:r>
      <w:proofErr w:type="gramStart"/>
      <w:r w:rsidRPr="00FE39C1">
        <w:rPr>
          <w:sz w:val="15"/>
          <w:szCs w:val="15"/>
        </w:rPr>
        <w:t>Available at http://www.shapeyourfutureok.com.</w:t>
      </w:r>
      <w:proofErr w:type="gramEnd"/>
    </w:p>
    <w:p w:rsidR="00083B6C" w:rsidRPr="005C08B8" w:rsidRDefault="00083B6C" w:rsidP="00083B6C"/>
    <w:p w:rsidR="00083B6C" w:rsidRDefault="00083B6C" w:rsidP="00662402">
      <w:pPr>
        <w:rPr>
          <w:color w:val="auto"/>
        </w:rPr>
      </w:pPr>
    </w:p>
    <w:sectPr w:rsidR="00083B6C" w:rsidSect="005F19D2">
      <w:headerReference w:type="default" r:id="rId19"/>
      <w:footerReference w:type="default" r:id="rId20"/>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31" w:rsidRDefault="00475A31">
      <w:pPr>
        <w:spacing w:after="0" w:line="240" w:lineRule="auto"/>
      </w:pPr>
      <w:r>
        <w:separator/>
      </w:r>
    </w:p>
  </w:endnote>
  <w:endnote w:type="continuationSeparator" w:id="0">
    <w:p w:rsidR="00475A31" w:rsidRDefault="0047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31" w:rsidRDefault="00475A31">
    <w:pPr>
      <w:pStyle w:val="Footer"/>
    </w:pPr>
    <w:r>
      <w:ptab w:relativeTo="margin" w:alignment="right" w:leader="none"/>
    </w:r>
    <w:fldSimple w:instr=" PAGE ">
      <w:r w:rsidR="00B22472">
        <w:rPr>
          <w:noProof/>
        </w:rPr>
        <w:t>5</w:t>
      </w:r>
    </w:fldSimple>
    <w:r>
      <w:t xml:space="preserve"> </w:t>
    </w:r>
    <w:r>
      <w:pict>
        <v:oval id="_x0000_s2051" style="width:7.2pt;height:7.2pt;flip:x;mso-left-percent:-10001;mso-top-percent:-10001;mso-position-horizontal:absolute;mso-position-horizontal-relative:char;mso-position-vertical:absolute;mso-position-vertical-relative:line;mso-left-percent:-10001;mso-top-percent:-10001"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31" w:rsidRDefault="00475A31">
      <w:pPr>
        <w:spacing w:after="0" w:line="240" w:lineRule="auto"/>
      </w:pPr>
      <w:r>
        <w:separator/>
      </w:r>
    </w:p>
  </w:footnote>
  <w:footnote w:type="continuationSeparator" w:id="0">
    <w:p w:rsidR="00475A31" w:rsidRDefault="00475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31" w:rsidRDefault="00475A31">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2-05-11T00:00:00Z">
          <w:dateFormat w:val="M/d/yyyy"/>
          <w:lid w:val="en-US"/>
          <w:storeMappedDataAs w:val="dateTime"/>
          <w:calendar w:val="gregorian"/>
        </w:date>
      </w:sdtPr>
      <w:sdtContent>
        <w:r>
          <w:t>5/11/2012</w:t>
        </w:r>
      </w:sdtContent>
    </w:sdt>
    <w:r>
      <w:rPr>
        <w:noProof/>
        <w:lang w:bidi="he-IL"/>
      </w:rPr>
      <w:pict>
        <v:shapetype id="_x0000_t32" coordsize="21600,21600" o:spt="32" o:oned="t" path="m,l21600,21600e" filled="f">
          <v:path arrowok="t" fillok="f" o:connecttype="none"/>
          <o:lock v:ext="edit" shapetype="t"/>
        </v:shapetype>
        <v:shape id="_x0000_s2050"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3A361C"/>
    <w:rsid w:val="00083B6C"/>
    <w:rsid w:val="000861BB"/>
    <w:rsid w:val="001623AC"/>
    <w:rsid w:val="002C4C60"/>
    <w:rsid w:val="003A361C"/>
    <w:rsid w:val="003D2E3C"/>
    <w:rsid w:val="003E5C67"/>
    <w:rsid w:val="00475A31"/>
    <w:rsid w:val="004A109D"/>
    <w:rsid w:val="005F19D2"/>
    <w:rsid w:val="00662402"/>
    <w:rsid w:val="007C787E"/>
    <w:rsid w:val="00864C55"/>
    <w:rsid w:val="008C6819"/>
    <w:rsid w:val="00AE510F"/>
    <w:rsid w:val="00B22472"/>
    <w:rsid w:val="00D55502"/>
    <w:rsid w:val="00EE1204"/>
    <w:rsid w:val="00F370B5"/>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5" type="connector" idref="#_x0000_s1096"/>
        <o:r id="V:Rule6" type="connector" idref="#_x0000_s1099"/>
        <o:r id="V:Rule7" type="connector" idref="#_x0000_s1097"/>
        <o:r id="V:Rule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59"/>
    <w:lsdException w:name="No Spacing" w:semiHidden="0" w:uiPriority="1"/>
    <w:lsdException w:name="List Paragraph" w:semiHidden="0" w:uiPriority="6"/>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LightList-Accent1"/>
    <w:uiPriority w:val="59"/>
    <w:rsid w:val="000861BB"/>
    <w:rPr>
      <w:rFonts w:cstheme="minorHAns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8637" w:themeFill="accent1"/>
      </w:tcPr>
    </w:tblStylePr>
    <w:tblStylePr w:type="lastRow">
      <w:pPr>
        <w:spacing w:before="0" w:after="0" w:line="240" w:lineRule="auto"/>
      </w:pPr>
      <w:rPr>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tcBorders>
      </w:tcPr>
    </w:tblStylePr>
    <w:tblStylePr w:type="firstCol">
      <w:rPr>
        <w:b/>
        <w:bCs/>
      </w:rPr>
    </w:tblStylePr>
    <w:tblStylePr w:type="lastCol">
      <w:rPr>
        <w:b/>
        <w:bCs/>
      </w:r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style>
  <w:style w:type="table" w:styleId="ColorfulShading-Accent1">
    <w:name w:val="Colorful Shading Accent 1"/>
    <w:basedOn w:val="TableNormal"/>
    <w:uiPriority w:val="99"/>
    <w:semiHidden/>
    <w:qFormat/>
    <w:rsid w:val="00475A31"/>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FE8637" w:themeColor="accent1"/>
        <w:bottom w:val="single" w:sz="4" w:space="0" w:color="FE8637" w:themeColor="accent1"/>
        <w:right w:val="single" w:sz="4" w:space="0" w:color="FE863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B" w:themeFill="accent1"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901" w:themeFill="accent1" w:themeFillShade="99"/>
      </w:tcPr>
    </w:tblStylePr>
    <w:tblStylePr w:type="firstCol">
      <w:rPr>
        <w:color w:val="FFFFFF" w:themeColor="background1"/>
      </w:rPr>
      <w:tblPr/>
      <w:tcPr>
        <w:tcBorders>
          <w:top w:val="nil"/>
          <w:left w:val="nil"/>
          <w:bottom w:val="nil"/>
          <w:right w:val="nil"/>
          <w:insideH w:val="single" w:sz="4" w:space="0" w:color="B84901" w:themeColor="accent1" w:themeShade="99"/>
          <w:insideV w:val="nil"/>
        </w:tcBorders>
        <w:shd w:val="clear" w:color="auto" w:fill="B8490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84901" w:themeFill="accent1" w:themeFillShade="99"/>
      </w:tcPr>
    </w:tblStylePr>
    <w:tblStylePr w:type="band1Vert">
      <w:tblPr/>
      <w:tcPr>
        <w:shd w:val="clear" w:color="auto" w:fill="FECEAE" w:themeFill="accent1" w:themeFillTint="66"/>
      </w:tcPr>
    </w:tblStylePr>
    <w:tblStylePr w:type="band1Horz">
      <w:tblPr/>
      <w:tcPr>
        <w:shd w:val="clear" w:color="auto" w:fill="FEC29B"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99"/>
    <w:semiHidden/>
    <w:qFormat/>
    <w:rsid w:val="00475A31"/>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8637" w:themeFill="accent1"/>
      </w:tcPr>
    </w:tblStylePr>
    <w:tblStylePr w:type="lastRow">
      <w:pPr>
        <w:spacing w:before="0" w:after="0" w:line="240" w:lineRule="auto"/>
      </w:pPr>
      <w:rPr>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tcBorders>
      </w:tcPr>
    </w:tblStylePr>
    <w:tblStylePr w:type="firstCol">
      <w:rPr>
        <w:b/>
        <w:bCs/>
      </w:rPr>
    </w:tblStylePr>
    <w:tblStylePr w:type="lastCol">
      <w:rPr>
        <w:b/>
        <w:bCs/>
      </w:r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iamm\Application%20Data\Microsoft\Templates\Orie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0E61"/>
    <w:rsid w:val="003255EA"/>
    <w:rsid w:val="00780E61"/>
    <w:rsid w:val="00A312C0"/>
    <w:rsid w:val="00B57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A"/>
  </w:style>
  <w:style w:type="paragraph" w:styleId="Heading1">
    <w:name w:val="heading 1"/>
    <w:basedOn w:val="Normal"/>
    <w:next w:val="Normal"/>
    <w:link w:val="Heading1Char"/>
    <w:uiPriority w:val="1"/>
    <w:qFormat/>
    <w:rsid w:val="003255EA"/>
    <w:pPr>
      <w:spacing w:before="360" w:after="40"/>
      <w:outlineLvl w:val="0"/>
    </w:pPr>
    <w:rPr>
      <w:rFonts w:asciiTheme="majorHAnsi" w:eastAsiaTheme="minorHAnsi" w:hAnsiTheme="majorHAnsi" w:cstheme="minorHAnsi"/>
      <w:smallCaps/>
      <w:color w:val="17365D" w:themeColor="text2" w:themeShade="BF"/>
      <w:spacing w:val="5"/>
      <w:sz w:val="32"/>
      <w:szCs w:val="32"/>
      <w:lang w:eastAsia="ja-JP"/>
    </w:rPr>
  </w:style>
  <w:style w:type="paragraph" w:styleId="Heading2">
    <w:name w:val="heading 2"/>
    <w:basedOn w:val="Normal"/>
    <w:next w:val="Normal"/>
    <w:link w:val="Heading2Char"/>
    <w:uiPriority w:val="2"/>
    <w:qFormat/>
    <w:rsid w:val="003255EA"/>
    <w:pPr>
      <w:spacing w:after="0"/>
      <w:outlineLvl w:val="1"/>
    </w:pPr>
    <w:rPr>
      <w:rFonts w:asciiTheme="majorHAnsi" w:eastAsiaTheme="minorHAnsi" w:hAnsiTheme="majorHAnsi" w:cstheme="minorHAnsi"/>
      <w:color w:val="17365D" w:themeColor="tex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19E73DFB340E8BFD59201FFACF1D9">
    <w:name w:val="32B19E73DFB340E8BFD59201FFACF1D9"/>
    <w:rsid w:val="003255EA"/>
  </w:style>
  <w:style w:type="paragraph" w:customStyle="1" w:styleId="8172631B06EE457E941A7ECA8049F716">
    <w:name w:val="8172631B06EE457E941A7ECA8049F716"/>
    <w:rsid w:val="003255EA"/>
  </w:style>
  <w:style w:type="character" w:customStyle="1" w:styleId="Heading1Char">
    <w:name w:val="Heading 1 Char"/>
    <w:basedOn w:val="DefaultParagraphFont"/>
    <w:link w:val="Heading1"/>
    <w:uiPriority w:val="1"/>
    <w:rsid w:val="003255EA"/>
    <w:rPr>
      <w:rFonts w:asciiTheme="majorHAnsi" w:eastAsiaTheme="minorHAnsi" w:hAnsiTheme="majorHAnsi" w:cstheme="min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2"/>
    <w:rsid w:val="003255EA"/>
    <w:rPr>
      <w:rFonts w:asciiTheme="majorHAnsi" w:eastAsiaTheme="minorHAnsi" w:hAnsiTheme="majorHAnsi" w:cstheme="minorHAnsi"/>
      <w:color w:val="17365D" w:themeColor="text2" w:themeShade="BF"/>
      <w:sz w:val="28"/>
      <w:szCs w:val="28"/>
      <w:lang w:eastAsia="ja-JP"/>
    </w:rPr>
  </w:style>
  <w:style w:type="paragraph" w:customStyle="1" w:styleId="D0A4F294DF0042EA9991F9B5E6990C03">
    <w:name w:val="D0A4F294DF0042EA9991F9B5E6990C03"/>
    <w:rsid w:val="003255EA"/>
  </w:style>
  <w:style w:type="paragraph" w:customStyle="1" w:styleId="B47700E652FB4C0280E2D23814FC9690">
    <w:name w:val="B47700E652FB4C0280E2D23814FC9690"/>
    <w:rsid w:val="003255EA"/>
  </w:style>
  <w:style w:type="paragraph" w:customStyle="1" w:styleId="99F5D7A3645D481793F0215422C25B4F">
    <w:name w:val="99F5D7A3645D481793F0215422C25B4F"/>
    <w:rsid w:val="003255EA"/>
  </w:style>
  <w:style w:type="paragraph" w:customStyle="1" w:styleId="7C51E7BA4C5F477586FFB4D48A58EEFC">
    <w:name w:val="7C51E7BA4C5F477586FFB4D48A58EEFC"/>
    <w:rsid w:val="003255EA"/>
  </w:style>
  <w:style w:type="paragraph" w:customStyle="1" w:styleId="9886FCCDA9C946F6BB3E959D8B8CC5BA">
    <w:name w:val="9886FCCDA9C946F6BB3E959D8B8CC5BA"/>
    <w:rsid w:val="003255EA"/>
  </w:style>
  <w:style w:type="paragraph" w:customStyle="1" w:styleId="241E3188813C4DD9B91B32CC0EE458D2">
    <w:name w:val="241E3188813C4DD9B91B32CC0EE458D2"/>
    <w:rsid w:val="003255EA"/>
  </w:style>
  <w:style w:type="paragraph" w:customStyle="1" w:styleId="01E65A0089D94C8096FFB88C55B145AD">
    <w:name w:val="01E65A0089D94C8096FFB88C55B145AD"/>
    <w:rsid w:val="003255EA"/>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12.0.4319</_Version>
  <_LCID>-1</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templateProperties xmlns="urn:microsoft.template.properties">
  <_Version>12.0.4319</_Version>
  <_LCID>-1</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OrielReport.dotx</Template>
  <TotalTime>15</TotalTime>
  <Pages>7</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State of Obesity in Oklahoma</vt:lpstr>
    </vt:vector>
  </TitlesOfParts>
  <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Obesity in Oklahoma</dc:title>
  <dc:subject/>
  <dc:creator>Miriam McGaugh</dc:creator>
  <cp:keywords/>
  <dc:description/>
  <cp:lastModifiedBy>Miriam McGaugh</cp:lastModifiedBy>
  <cp:revision>3</cp:revision>
  <cp:lastPrinted>2012-05-23T14:27:00Z</cp:lastPrinted>
  <dcterms:created xsi:type="dcterms:W3CDTF">2012-05-23T14:26:00Z</dcterms:created>
  <dcterms:modified xsi:type="dcterms:W3CDTF">2012-05-23T14:34:00Z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