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E673" w14:textId="7E879C29" w:rsidR="003A4124" w:rsidRDefault="003A4124" w:rsidP="006E508D">
      <w:pPr>
        <w:spacing w:before="100" w:beforeAutospacing="1" w:after="100" w:afterAutospacing="1"/>
        <w:contextualSpacing/>
        <w:jc w:val="center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3A412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337EDE96" wp14:editId="7E0492E9">
            <wp:extent cx="2904696" cy="1246909"/>
            <wp:effectExtent l="0" t="0" r="0" b="0"/>
            <wp:docPr id="4251979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7910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42" cy="12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576" w14:textId="77777777" w:rsidR="006E508D" w:rsidRPr="006E508D" w:rsidRDefault="006E508D" w:rsidP="003A4124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14:paraId="4C3CD70D" w14:textId="14BF1E5C" w:rsidR="0021568E" w:rsidRPr="006E508D" w:rsidRDefault="007B3B4C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Collection Event</w:t>
      </w:r>
      <w:r w:rsidR="0021568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Grant Application</w:t>
      </w:r>
      <w:r w:rsidR="00B1790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FY2</w:t>
      </w:r>
      <w:r w:rsidR="00ED6F1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</w:p>
    <w:p w14:paraId="02608E27" w14:textId="77777777" w:rsidR="006E508D" w:rsidRPr="00BE5822" w:rsidRDefault="006E508D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B25CB1A" w14:textId="77777777" w:rsidR="007B3B4C" w:rsidRPr="007B3B4C" w:rsidRDefault="007B3B4C" w:rsidP="007B3B4C">
      <w:p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7B3B4C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Collection event grants are for hosting the collection of household hazardous waste (HHW) and typically also include the collection of electronic waste (e-waste), tires, unwanted residential pharmaceuticals, and used medical sharps, scrap metal, and/or other difficult-to-manage waste streams. These grants are typically provided for one, or a series of, discrete collection events. </w:t>
      </w:r>
    </w:p>
    <w:p w14:paraId="602A5EC7" w14:textId="77777777" w:rsidR="006E508D" w:rsidRPr="006E508D" w:rsidRDefault="006E508D" w:rsidP="006E508D">
      <w:p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</w:p>
    <w:p w14:paraId="1F434FD9" w14:textId="56613BA2" w:rsidR="006E508D" w:rsidRPr="003A4124" w:rsidRDefault="006E508D" w:rsidP="003A4124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508D">
        <w:rPr>
          <w:rFonts w:asciiTheme="minorHAnsi" w:hAnsiTheme="minorHAnsi" w:cstheme="minorHAnsi"/>
          <w:sz w:val="22"/>
          <w:szCs w:val="22"/>
        </w:rPr>
        <w:t xml:space="preserve">For more information and application deadlines, visit the DEQ website at: </w:t>
      </w:r>
      <w:hyperlink r:id="rId11" w:history="1">
        <w:r w:rsidRPr="003A4124">
          <w:rPr>
            <w:rStyle w:val="Hyperlink"/>
            <w:rFonts w:asciiTheme="minorHAnsi" w:hAnsiTheme="minorHAnsi" w:cstheme="minorHAnsi"/>
            <w:sz w:val="22"/>
            <w:szCs w:val="18"/>
          </w:rPr>
          <w:t>https://oklahoma.gov/deq/divisions/land-protection/sust-materials-management/funding-opportunities/funding-opportunities-for-communities.html</w:t>
        </w:r>
      </w:hyperlink>
      <w:r w:rsidRPr="003A4124">
        <w:rPr>
          <w:rFonts w:asciiTheme="minorHAnsi" w:hAnsiTheme="minorHAnsi" w:cstheme="minorHAnsi"/>
          <w:sz w:val="22"/>
          <w:szCs w:val="18"/>
        </w:rPr>
        <w:t xml:space="preserve"> </w:t>
      </w: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57EAF6DE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Basic Information: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6C0D7EE2" w14:textId="711CAF9A" w:rsidR="006E508D" w:rsidRPr="00647FED" w:rsidRDefault="006E508D" w:rsidP="00647FED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Funding is limited, grant money is not guaranteed.</w:t>
      </w:r>
      <w:r w:rsidRPr="00647FE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CE4B876" w14:textId="7987A632" w:rsidR="006E508D" w:rsidRPr="006E508D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Grantees must enter into a formal Agreement with DEQ </w:t>
      </w:r>
      <w:r w:rsidR="00647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register as a Payee at </w:t>
      </w:r>
      <w:hyperlink r:id="rId12" w:history="1">
        <w:r w:rsidR="00647FED"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Oklahoma Supplier Portal</w:t>
        </w:r>
      </w:hyperlink>
      <w:r w:rsidR="00647FED">
        <w:t xml:space="preserve">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386FF17" w14:textId="77777777" w:rsidR="003A4124" w:rsidRPr="003A4124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funds are available until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fully executed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Contract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issued. </w:t>
      </w:r>
    </w:p>
    <w:p w14:paraId="5CC994F1" w14:textId="6F04BB01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Funds spent prior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execution of the formal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not reimbursable.   </w:t>
      </w:r>
    </w:p>
    <w:p w14:paraId="5C491845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All awarded funding must be spent in the fiscal year granted.  </w:t>
      </w:r>
    </w:p>
    <w:p w14:paraId="7B34FB56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Agreements expire June 30,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.   </w:t>
      </w:r>
    </w:p>
    <w:p w14:paraId="3A9AFE24" w14:textId="12DA2D97" w:rsidR="006E508D" w:rsidRPr="00866849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Final invoices are due by August 31,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66849">
        <w:rPr>
          <w:rFonts w:asciiTheme="minorHAnsi" w:hAnsiTheme="minorHAnsi" w:cstheme="minorHAnsi"/>
          <w:color w:val="000000" w:themeColor="text1"/>
          <w:sz w:val="22"/>
          <w:szCs w:val="22"/>
        </w:rPr>
        <w:t>, i</w:t>
      </w: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nvoices submitted after August 2027 may not be reimbursed.  </w:t>
      </w:r>
    </w:p>
    <w:p w14:paraId="67147422" w14:textId="77777777" w:rsidR="006E508D" w:rsidRDefault="006E508D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E508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DEQ does not reimburse buildings, vehicles, laptops, or drones.</w:t>
      </w:r>
    </w:p>
    <w:p w14:paraId="7EA8EC69" w14:textId="31828623" w:rsidR="00AD6EB6" w:rsidRPr="00647FED" w:rsidRDefault="00AD6EB6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Fonts w:asciiTheme="minorHAnsi" w:eastAsia="Arial" w:hAnsiTheme="minorHAnsi" w:cstheme="minorHAnsi"/>
          <w:color w:val="333333"/>
          <w:sz w:val="22"/>
          <w:szCs w:val="22"/>
        </w:rPr>
        <w:t>DEQ will reimburse 80% of equipment costing $5,000-$50,000.</w:t>
      </w:r>
    </w:p>
    <w:p w14:paraId="16B81A04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Process for Receiving Funds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FCAC0E1" w14:textId="6115CD24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Application is submitted.</w:t>
      </w:r>
    </w:p>
    <w:p w14:paraId="10563EC6" w14:textId="332C6100" w:rsidR="006E508D" w:rsidRPr="00AD6EB6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is reviewed and scored through committee; additional information is requested as needed. </w:t>
      </w:r>
    </w:p>
    <w:p w14:paraId="268DA832" w14:textId="07A34B10" w:rsidR="00AD6EB6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 notices are sent out.</w:t>
      </w:r>
    </w:p>
    <w:p w14:paraId="57B2ECE6" w14:textId="2E19BBAC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DEQ drafts the Agreement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sends it to the Awardee to sign and return. 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8C1D09A" w14:textId="29C766FA" w:rsidR="006E508D" w:rsidRPr="00BE5822" w:rsidRDefault="00647FE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After signature is received, a copy of the executed Agreement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sent to the Awardee.</w:t>
      </w:r>
    </w:p>
    <w:p w14:paraId="277E5165" w14:textId="77777777" w:rsidR="003A4124" w:rsidRPr="003A4124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Awardee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begin to spend funds intended for reimbursement. </w:t>
      </w:r>
    </w:p>
    <w:p w14:paraId="0E6C4AE9" w14:textId="0CF4D439" w:rsidR="006E508D" w:rsidRPr="00866849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Funds spent prior to a fully executed Agreement and Purchase Order (between steps 1-5) are not reimbursable.   </w:t>
      </w:r>
    </w:p>
    <w:p w14:paraId="0AF760C3" w14:textId="0676E6CE" w:rsidR="006E508D" w:rsidRPr="006E508D" w:rsidRDefault="006E508D" w:rsidP="006E508D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>The</w:t>
      </w:r>
      <w:r w:rsidR="003A4124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Awardee</w:t>
      </w: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is required to submit monthly invoices, metrics, photos, and descriptions of each month’s work.</w:t>
      </w:r>
    </w:p>
    <w:p w14:paraId="47A8D0DD" w14:textId="77777777" w:rsidR="00AD6EB6" w:rsidRPr="00AD6EB6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DEQ reimburses invoices within 45 days. </w:t>
      </w:r>
    </w:p>
    <w:p w14:paraId="0B14D8EF" w14:textId="33E08706" w:rsidR="006E508D" w:rsidRPr="00BE5822" w:rsidRDefault="006E508D" w:rsidP="00AD6EB6">
      <w:pPr>
        <w:pStyle w:val="ListParagraph"/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39D2FF00" w14:textId="77777777" w:rsidR="006E508D" w:rsidRPr="00BE5822" w:rsidRDefault="006E508D" w:rsidP="006E508D">
      <w:pPr>
        <w:spacing w:before="120"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Application Submittal Instructions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82BDE4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Return by e-mail to</w:t>
      </w:r>
      <w:r w:rsidR="006E722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4CB81BE" w14:textId="77777777" w:rsidR="006E722D" w:rsidRDefault="006E722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D62FC" w14:textId="4DBBB2E9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3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SWGrants@deq.ok.gov</w:t>
        </w:r>
      </w:hyperlink>
      <w:r w:rsidRPr="00BE5822">
        <w:rPr>
          <w:rFonts w:asciiTheme="minorHAnsi" w:hAnsiTheme="minorHAnsi" w:cstheme="minorHAnsi"/>
          <w:sz w:val="22"/>
          <w:szCs w:val="22"/>
        </w:rPr>
        <w:t xml:space="preserve">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with the subject line,  </w:t>
      </w:r>
    </w:p>
    <w:p w14:paraId="411B6265" w14:textId="626DE845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“[Organization] 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[grant type] Grant Application DEQ”  </w:t>
      </w:r>
    </w:p>
    <w:p w14:paraId="529A987A" w14:textId="44E78B8A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e.g., Oklahoma County 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Professional Services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Grant Application DEQ </w:t>
      </w:r>
    </w:p>
    <w:p w14:paraId="0FD86DB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CD7307D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Or send a hard copy to:</w:t>
      </w:r>
    </w:p>
    <w:p w14:paraId="7CF5E6CF" w14:textId="74EE80FC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0A4918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Oklahoma Department of Environmental Quality </w:t>
      </w:r>
    </w:p>
    <w:p w14:paraId="446FCB79" w14:textId="39A6C6B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>TTN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: Libby McCaskill, Land Protection Division </w:t>
      </w:r>
    </w:p>
    <w:p w14:paraId="0FDDBC39" w14:textId="7777777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P.O. Box 1677 </w:t>
      </w:r>
    </w:p>
    <w:p w14:paraId="128FE8FA" w14:textId="77777777" w:rsidR="0010671A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Oklahoma City, OK 73101-1677</w:t>
      </w:r>
    </w:p>
    <w:p w14:paraId="488A9ECA" w14:textId="2B9F1FB3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</w:p>
    <w:p w14:paraId="2E8CA77A" w14:textId="11DAA78D" w:rsidR="0010671A" w:rsidRPr="00866849" w:rsidRDefault="0010671A" w:rsidP="003A4124">
      <w:p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BE19860" w14:textId="77777777" w:rsidR="00F922BA" w:rsidRDefault="00F922BA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47653175" w14:textId="1EAFE110" w:rsidR="007B3B4C" w:rsidRDefault="007B3B4C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Application Information:</w:t>
      </w:r>
    </w:p>
    <w:p w14:paraId="08B45E3A" w14:textId="255617B1" w:rsidR="00105C7C" w:rsidRDefault="00105C7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Visit DEQ’s event guide to help plan your collection event </w:t>
      </w:r>
      <w:hyperlink r:id="rId14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Community Collection Event Guide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7607E64" w14:textId="615B5AB9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all collection events, the Awardee must </w:t>
      </w:r>
      <w:r w:rsidRPr="007B3B4C">
        <w:rPr>
          <w:rFonts w:asciiTheme="minorHAnsi" w:hAnsiTheme="minorHAnsi" w:cstheme="minorHAnsi"/>
          <w:sz w:val="22"/>
          <w:szCs w:val="22"/>
        </w:rPr>
        <w:t>utilize vendors that are compliant with DEQ rules.</w:t>
      </w:r>
    </w:p>
    <w:p w14:paraId="6609B549" w14:textId="0596DB1C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electronic waste (e-waste) collection events:</w:t>
      </w:r>
    </w:p>
    <w:p w14:paraId="3DCD5ED8" w14:textId="7F1AA9A7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sz w:val="22"/>
          <w:szCs w:val="22"/>
        </w:rPr>
        <w:t xml:space="preserve"> shall use an </w:t>
      </w:r>
      <w:proofErr w:type="gramStart"/>
      <w:r w:rsidRPr="007B3B4C">
        <w:rPr>
          <w:rFonts w:asciiTheme="minorHAnsi" w:hAnsiTheme="minorHAnsi" w:cstheme="minorHAnsi"/>
          <w:sz w:val="22"/>
          <w:szCs w:val="22"/>
        </w:rPr>
        <w:t>R2</w:t>
      </w:r>
      <w:proofErr w:type="gramEnd"/>
      <w:r w:rsidRPr="007B3B4C">
        <w:rPr>
          <w:rFonts w:asciiTheme="minorHAnsi" w:hAnsiTheme="minorHAnsi" w:cstheme="minorHAnsi"/>
          <w:sz w:val="22"/>
          <w:szCs w:val="22"/>
        </w:rPr>
        <w:t xml:space="preserve"> or e-Steward certified electronics recycler. </w:t>
      </w:r>
    </w:p>
    <w:p w14:paraId="0ABC5B9D" w14:textId="77777777" w:rsidR="007B3B4C" w:rsidRPr="007B3B4C" w:rsidRDefault="007B3B4C" w:rsidP="007B3B4C">
      <w:pPr>
        <w:pStyle w:val="ListParagraph"/>
        <w:numPr>
          <w:ilvl w:val="2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hyperlink r:id="rId15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Find a Recycler - e-Stewards</w:t>
        </w:r>
      </w:hyperlink>
    </w:p>
    <w:p w14:paraId="77135306" w14:textId="77777777" w:rsidR="007B3B4C" w:rsidRPr="007B3B4C" w:rsidRDefault="007B3B4C" w:rsidP="007B3B4C">
      <w:pPr>
        <w:pStyle w:val="ListParagraph"/>
        <w:numPr>
          <w:ilvl w:val="2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hyperlink r:id="rId16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Find An R2 Certified Facility - SERI - Sustainable Electronics Recycling International</w:t>
        </w:r>
      </w:hyperlink>
    </w:p>
    <w:p w14:paraId="3B6507D7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sz w:val="22"/>
          <w:szCs w:val="22"/>
        </w:rPr>
        <w:t>Often, HHW collection services partner with a certified electronics recycler</w:t>
      </w:r>
    </w:p>
    <w:p w14:paraId="2DEA83EB" w14:textId="2E90209D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pharmaceutical collection, the</w:t>
      </w:r>
      <w:r w:rsidRPr="007B3B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sz w:val="22"/>
          <w:szCs w:val="22"/>
        </w:rPr>
        <w:t xml:space="preserve"> shall coordinate with the Oklahoma Bureau of Narcotics for coordination on pharmaceuticals.</w:t>
      </w:r>
    </w:p>
    <w:p w14:paraId="18D3ACC9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7B3B4C">
        <w:rPr>
          <w:rFonts w:asciiTheme="minorHAnsi" w:hAnsiTheme="minorHAnsi" w:cstheme="minorHAnsi"/>
          <w:sz w:val="22"/>
          <w:szCs w:val="22"/>
        </w:rPr>
        <w:t xml:space="preserve">Beau Ratke: (918) 446-1616: </w:t>
      </w:r>
      <w:hyperlink r:id="rId17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BRatke@Obn.ok.gov</w:t>
        </w:r>
      </w:hyperlink>
    </w:p>
    <w:p w14:paraId="0B984967" w14:textId="77777777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>Used tires may be collected for recycling for free using DEQ’s Tire Program.</w:t>
      </w:r>
    </w:p>
    <w:p w14:paraId="6C44B89A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7B3B4C">
        <w:rPr>
          <w:rFonts w:asciiTheme="minorHAnsi" w:hAnsiTheme="minorHAnsi" w:cstheme="minorHAnsi"/>
          <w:sz w:val="22"/>
          <w:szCs w:val="22"/>
          <w:lang w:val="pl-PL"/>
        </w:rPr>
        <w:t xml:space="preserve">Kole Kennedy: (405) 702-5177: </w:t>
      </w:r>
      <w:hyperlink r:id="rId18">
        <w:r w:rsidRPr="007B3B4C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Kole.Kennedy@deq.ok.gov</w:t>
        </w:r>
      </w:hyperlink>
    </w:p>
    <w:p w14:paraId="7438A4B9" w14:textId="77777777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shall ensure medical </w:t>
      </w:r>
      <w:proofErr w:type="gramStart"/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>sharps</w:t>
      </w:r>
      <w:proofErr w:type="gramEnd"/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safely collected and properly disposed. </w:t>
      </w:r>
    </w:p>
    <w:p w14:paraId="700A7C69" w14:textId="77777777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can be done through coordination with the HHW collection vendor and a regulated medical waste disposal facility. Sharps collection may also be arranged directly through appropriate vendors. </w:t>
      </w:r>
    </w:p>
    <w:p w14:paraId="236AD107" w14:textId="3C1440E6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a list of sharps disposal vendors that service Oklahoma, see Figure 5 on page 26 of the Oklahoma Meds and Sharps Disposal Committee’s (OMSDC) “Building a Municipal Program for Home-Generated Medical Sharps” guide. You can find the guide on the OMSDC website: </w:t>
      </w:r>
      <w:hyperlink r:id="rId19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Safe Disposal of Pharmaceuticals and Medical Sharps in Oklahoma (oksafemeddisposal.org)</w:t>
        </w:r>
      </w:hyperlink>
      <w:r w:rsidRPr="007B3B4C">
        <w:rPr>
          <w:rStyle w:val="Hyperlink"/>
          <w:rFonts w:asciiTheme="minorHAnsi" w:hAnsiTheme="minorHAnsi" w:cstheme="minorHAnsi"/>
          <w:sz w:val="22"/>
          <w:szCs w:val="22"/>
        </w:rPr>
        <w:t>-</w:t>
      </w:r>
    </w:p>
    <w:p w14:paraId="6A044ABB" w14:textId="6EDE95F6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3B4C">
        <w:rPr>
          <w:rFonts w:asciiTheme="minorHAnsi" w:hAnsiTheme="minorHAnsi" w:cstheme="minorHAnsi"/>
          <w:sz w:val="22"/>
          <w:szCs w:val="22"/>
        </w:rPr>
        <w:t xml:space="preserve">After each collection event, the contractor shall provide an invoice including </w:t>
      </w:r>
      <w:r w:rsidRPr="007B3B4C">
        <w:rPr>
          <w:rFonts w:asciiTheme="minorHAnsi" w:hAnsiTheme="minorHAnsi" w:cstheme="minorHAnsi"/>
          <w:sz w:val="22"/>
          <w:szCs w:val="22"/>
          <w:lang w:eastAsia="zh-CN"/>
        </w:rPr>
        <w:t>a description of the event, photos, and the types and amounts of waste collected. </w:t>
      </w:r>
    </w:p>
    <w:p w14:paraId="5781FB59" w14:textId="77777777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Oklahoma Clean Community Program</w:t>
      </w:r>
    </w:p>
    <w:p w14:paraId="371840C1" w14:textId="524DB40F" w:rsidR="00105C7C" w:rsidRPr="007B3B4C" w:rsidRDefault="007B3B4C" w:rsidP="00105C7C">
      <w:pPr>
        <w:pStyle w:val="ListParagraph"/>
        <w:ind w:left="144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3B4C">
        <w:rPr>
          <w:rFonts w:asciiTheme="minorHAnsi" w:hAnsiTheme="minorHAnsi" w:cstheme="minorHAnsi"/>
          <w:sz w:val="22"/>
          <w:szCs w:val="22"/>
          <w:lang w:eastAsia="zh-CN"/>
        </w:rPr>
        <w:t xml:space="preserve">If you collect tires at a collection event, you may be eligible to become an Oklahoma Clean Community. For more information, e-mail </w:t>
      </w:r>
      <w:hyperlink r:id="rId20">
        <w:r w:rsidRPr="007B3B4C">
          <w:rPr>
            <w:rStyle w:val="Hyperlink"/>
            <w:rFonts w:asciiTheme="minorHAnsi" w:hAnsiTheme="minorHAnsi" w:cstheme="minorHAnsi"/>
            <w:sz w:val="22"/>
            <w:szCs w:val="22"/>
            <w:lang w:eastAsia="zh-CN"/>
          </w:rPr>
          <w:t>okcleancommunity@deq.ok.gov</w:t>
        </w:r>
      </w:hyperlink>
      <w:r w:rsidR="00105C7C">
        <w:rPr>
          <w:rFonts w:asciiTheme="minorHAnsi" w:hAnsiTheme="minorHAnsi" w:cstheme="minorHAnsi"/>
          <w:sz w:val="22"/>
          <w:szCs w:val="22"/>
          <w:lang w:eastAsia="zh-CN"/>
        </w:rPr>
        <w:t xml:space="preserve">, or click here for the application </w:t>
      </w:r>
      <w:hyperlink r:id="rId21" w:history="1">
        <w:r w:rsidR="00105C7C">
          <w:rPr>
            <w:rStyle w:val="Hyperlink"/>
            <w:rFonts w:asciiTheme="minorHAnsi" w:hAnsiTheme="minorHAnsi" w:cstheme="minorHAnsi"/>
            <w:sz w:val="22"/>
            <w:szCs w:val="22"/>
            <w:lang w:eastAsia="zh-CN"/>
          </w:rPr>
          <w:t>Clean Communities Application</w:t>
        </w:r>
      </w:hyperlink>
      <w:r w:rsidR="00105C7C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8099281" w14:textId="6ADE33C1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61DF418A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03F64ECA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01621649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60B2347F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7B57941F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7CC7780F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7519EC0A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3C0A1349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38F90722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5D1C4A7D" w14:textId="77777777" w:rsidR="007B3B4C" w:rsidRDefault="007B3B4C" w:rsidP="00647FED">
      <w:pPr>
        <w:spacing w:before="100" w:beforeAutospacing="1" w:after="100" w:afterAutospacing="1"/>
        <w:contextualSpacing/>
        <w:rPr>
          <w:color w:val="000000" w:themeColor="text1"/>
          <w:sz w:val="22"/>
          <w:szCs w:val="22"/>
        </w:rPr>
      </w:pPr>
    </w:p>
    <w:p w14:paraId="7E369E46" w14:textId="77777777" w:rsidR="007B3B4C" w:rsidRPr="007B3B4C" w:rsidRDefault="007B3B4C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DFA61B0" w14:textId="21466A23" w:rsidR="00530D80" w:rsidRPr="00287B0B" w:rsidRDefault="00105C7C" w:rsidP="771BAD04">
      <w:pPr>
        <w:spacing w:before="100" w:beforeAutospacing="1" w:after="100" w:afterAutospacing="1"/>
        <w:ind w:left="2304"/>
        <w:contextualSpacing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lastRenderedPageBreak/>
        <w:t>Collection Event</w:t>
      </w:r>
      <w:r w:rsidR="00530D80" w:rsidRPr="00287B0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Grant Application FY2</w:t>
      </w:r>
      <w:r w:rsidR="00881B16">
        <w:rPr>
          <w:rFonts w:asciiTheme="minorHAnsi" w:hAnsiTheme="minorHAnsi" w:cstheme="minorHAnsi"/>
          <w:b/>
          <w:bCs/>
          <w:color w:val="000000" w:themeColor="text1"/>
          <w:szCs w:val="24"/>
        </w:rPr>
        <w:t>7</w:t>
      </w:r>
    </w:p>
    <w:p w14:paraId="786647D3" w14:textId="77777777" w:rsidR="00530D80" w:rsidRPr="00BE5822" w:rsidRDefault="00530D80" w:rsidP="1BEE9A6E">
      <w:pPr>
        <w:keepNext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63D47E9C" w14:textId="2FFC2A1C" w:rsidR="00105C7C" w:rsidRPr="00105C7C" w:rsidRDefault="00105C7C" w:rsidP="00105C7C">
      <w:pPr>
        <w:jc w:val="both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  <w:r w:rsidRPr="00105C7C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The following information must be provided before a contract for reimbursement is considered. Scoring will be based on the following categories: types of materials being collected, environmental improvement, feasibility, collaboration, scope of work, budget, quality of proposal, and past performance, if applicable. This form has been prepared to be applicable to a wide range of projects and as a result some of the questions may not seem directly applicable to what you propose. Please answer the questions to the best of your ability based on the information you have.</w:t>
      </w:r>
    </w:p>
    <w:p w14:paraId="3237FD12" w14:textId="5CB8BC97" w:rsidR="00654194" w:rsidRPr="00BE5822" w:rsidRDefault="00654194" w:rsidP="00105C7C">
      <w:pPr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3690" w:type="dxa"/>
        <w:tblInd w:w="5665" w:type="dxa"/>
        <w:tblLayout w:type="fixed"/>
        <w:tblLook w:val="06A0" w:firstRow="1" w:lastRow="0" w:firstColumn="1" w:lastColumn="0" w:noHBand="1" w:noVBand="1"/>
      </w:tblPr>
      <w:tblGrid>
        <w:gridCol w:w="720"/>
        <w:gridCol w:w="2970"/>
      </w:tblGrid>
      <w:tr w:rsidR="00287B0B" w:rsidRPr="00BE5822" w14:paraId="430615E8" w14:textId="77777777" w:rsidTr="00287B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4E20D" w14:textId="773E0287" w:rsidR="00287B0B" w:rsidRPr="0010671A" w:rsidRDefault="00287B0B" w:rsidP="00392A46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10671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46652" w14:textId="3FA9FC3A" w:rsidR="00287B0B" w:rsidRPr="00BE5822" w:rsidRDefault="00287B0B" w:rsidP="00392A46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1DCF3FA7" w14:textId="0CE273EE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5A677" w14:textId="4F139836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1.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105C7C">
        <w:rPr>
          <w:rFonts w:asciiTheme="minorHAnsi" w:eastAsia="Times" w:hAnsiTheme="minorHAnsi" w:cstheme="minorHAnsi"/>
          <w:b/>
          <w:bCs/>
          <w:sz w:val="22"/>
          <w:szCs w:val="22"/>
        </w:rPr>
        <w:t>Applicant Name</w:t>
      </w:r>
      <w:r w:rsidR="004A2000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: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2D590D3" w:rsidRPr="00BE5822" w14:paraId="66B1547A" w14:textId="77777777" w:rsidTr="00287B0B">
        <w:trPr>
          <w:trHeight w:val="305"/>
        </w:trPr>
        <w:tc>
          <w:tcPr>
            <w:tcW w:w="9360" w:type="dxa"/>
          </w:tcPr>
          <w:p w14:paraId="4D3B8AC6" w14:textId="52FFF6F3" w:rsidR="52D590D3" w:rsidRPr="00BE5822" w:rsidRDefault="52D590D3" w:rsidP="52D590D3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  <w:bookmarkStart w:id="0" w:name="_Hlk89168016"/>
          </w:p>
        </w:tc>
      </w:tr>
      <w:bookmarkEnd w:id="0"/>
    </w:tbl>
    <w:p w14:paraId="46962C77" w14:textId="46E32401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2870" w:tblpY="-9"/>
        <w:tblW w:w="6480" w:type="dxa"/>
        <w:tblLayout w:type="fixed"/>
        <w:tblLook w:val="06A0" w:firstRow="1" w:lastRow="0" w:firstColumn="1" w:lastColumn="0" w:noHBand="1" w:noVBand="1"/>
      </w:tblPr>
      <w:tblGrid>
        <w:gridCol w:w="6480"/>
      </w:tblGrid>
      <w:tr w:rsidR="00906076" w:rsidRPr="00BE5822" w14:paraId="334CE3E0" w14:textId="77777777" w:rsidTr="0036170D"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02B9F732" w14:textId="40849BC5" w:rsidR="00906076" w:rsidRPr="00BE5822" w:rsidRDefault="00906076" w:rsidP="0036170D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782D7166" w14:textId="791E56A8" w:rsidR="00906076" w:rsidRPr="00BE5822" w:rsidRDefault="00906076" w:rsidP="62FC5324">
      <w:pPr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2.</w:t>
      </w:r>
      <w:r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Dollar </w:t>
      </w:r>
      <w:r w:rsidR="798C9ACF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mount </w:t>
      </w:r>
      <w:r w:rsidR="42D4BC0B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R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equested:</w:t>
      </w:r>
      <w:r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</w:p>
    <w:p w14:paraId="64EFB54C" w14:textId="77777777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</w:p>
    <w:p w14:paraId="48E6EA5B" w14:textId="2C9A36F2" w:rsidR="52D590D3" w:rsidRPr="00BE5822" w:rsidRDefault="00906076" w:rsidP="62FC5324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3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Contact</w:t>
      </w:r>
      <w:r w:rsidR="5658900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 I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nformation</w:t>
      </w:r>
      <w:r w:rsidR="004A200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02A4AEE4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70857AE8" w14:textId="2DE94120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0EA85FF4" w14:textId="32CAB931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8B2241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7679B65" w14:textId="75540D79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EA2C998" w14:textId="5A2A36DA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2D2221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8D7DB6" w14:textId="2AF165EE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4B4DD4BC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65693FF6" w14:textId="14C70546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B16F4E3" w14:textId="1C4EE0F3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p w14:paraId="6E9D1090" w14:textId="4281AB3D" w:rsidR="52D590D3" w:rsidRPr="00BE5822" w:rsidRDefault="00906076" w:rsidP="62FC5324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4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Signatory Authority for </w:t>
      </w:r>
      <w:r w:rsidR="649FC32F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O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rganization with </w:t>
      </w:r>
      <w:r w:rsidR="53A5FD55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L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egal </w:t>
      </w:r>
      <w:r w:rsidR="4EC7285A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uthority to </w:t>
      </w:r>
      <w:r w:rsidR="57527F09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Si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gn </w:t>
      </w:r>
      <w:r w:rsidR="3842156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Co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ntract with DEQ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3644CB2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604494" w14:textId="0814729D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7674513E" w14:textId="4EDDDE8F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60C2CAF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2440D5D" w14:textId="4C4AC52B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C4FC979" w14:textId="4B63FCE7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431B4758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1DCBC68C" w14:textId="423F6B13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770CAC18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4A4A985B" w14:textId="32ACDD53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183264B" w14:textId="2F4F2935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15780" w14:textId="35025A89" w:rsidR="00383C93" w:rsidRPr="00BE5822" w:rsidRDefault="00383C93" w:rsidP="62FC5324">
      <w:p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5.</w:t>
      </w:r>
      <w:r w:rsidRPr="62FC53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A4EB5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Physical </w:t>
      </w:r>
      <w:r w:rsidR="193E1039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</w:t>
      </w:r>
      <w:r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ddress</w:t>
      </w:r>
      <w:r w:rsidR="43852198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383C93" w:rsidRPr="00BE5822" w14:paraId="108F7EA5" w14:textId="77777777" w:rsidTr="62FC5324">
        <w:tc>
          <w:tcPr>
            <w:tcW w:w="2880" w:type="dxa"/>
            <w:shd w:val="clear" w:color="auto" w:fill="E2EFD9" w:themeFill="accent6" w:themeFillTint="33"/>
          </w:tcPr>
          <w:p w14:paraId="67DCA6C4" w14:textId="688C3E30" w:rsidR="00383C93" w:rsidRPr="00BE5822" w:rsidRDefault="00383C93" w:rsidP="62FC5324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Reimbursements will go to this address</w:t>
            </w:r>
            <w:r w:rsidR="14F353CB"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16F6AE75" w14:textId="77777777" w:rsidR="00383C93" w:rsidRPr="00BE5822" w:rsidRDefault="00383C93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E5822" w:rsidRPr="00BE5822" w14:paraId="6DB61D62" w14:textId="77777777" w:rsidTr="62FC5324">
        <w:tc>
          <w:tcPr>
            <w:tcW w:w="9360" w:type="dxa"/>
            <w:gridSpan w:val="2"/>
            <w:shd w:val="clear" w:color="auto" w:fill="E2EFD9" w:themeFill="accent6" w:themeFillTint="33"/>
          </w:tcPr>
          <w:p w14:paraId="33235665" w14:textId="679E1F73" w:rsidR="00BE5822" w:rsidRPr="00BE5822" w:rsidRDefault="00BE5822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*The address provided here must be registered</w:t>
            </w:r>
            <w:r w:rsidR="005A4EB5">
              <w:rPr>
                <w:rFonts w:asciiTheme="minorHAnsi" w:hAnsiTheme="minorHAnsi" w:cstheme="minorHAnsi"/>
                <w:sz w:val="22"/>
                <w:szCs w:val="22"/>
              </w:rPr>
              <w:t xml:space="preserve"> with the State</w:t>
            </w: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hyperlink r:id="rId22" w:history="1">
              <w:r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Oklahoma Supplier Portal</w:t>
              </w:r>
            </w:hyperlink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B2B7C0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EA9DD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278CE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932BD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C5DF4" w14:textId="695164C1" w:rsidR="00BC492D" w:rsidRPr="00BE5822" w:rsidRDefault="00987527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5822">
        <w:rPr>
          <w:rFonts w:asciiTheme="minorHAnsi" w:hAnsiTheme="minorHAnsi" w:cstheme="minorHAnsi"/>
          <w:sz w:val="22"/>
          <w:szCs w:val="22"/>
        </w:rPr>
        <w:tab/>
      </w:r>
      <w:r w:rsidR="7C876F46" w:rsidRPr="00BE58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D3C317" w14:textId="7929CDE1" w:rsidR="0068483D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lastRenderedPageBreak/>
        <w:t>6</w:t>
      </w:r>
      <w:r w:rsidR="0010671A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.    Attach a detailed scope of work and detailed budget for the project. </w:t>
      </w:r>
    </w:p>
    <w:p w14:paraId="548F881E" w14:textId="77777777" w:rsid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58F9A023" w14:textId="579BCC0B" w:rsidR="00842ABA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eastAsia="Times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7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.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ab/>
        <w:t>Project Description</w:t>
      </w:r>
      <w:r w:rsid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p w14:paraId="63AB10F8" w14:textId="77777777" w:rsidR="0068483D" w:rsidRPr="00BE5822" w:rsidRDefault="0068483D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05"/>
        <w:gridCol w:w="5855"/>
      </w:tblGrid>
      <w:tr w:rsidR="52D590D3" w:rsidRPr="00BE5822" w14:paraId="4B72F86E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E7A95" w14:textId="0E66397A" w:rsidR="52D590D3" w:rsidRPr="00105C7C" w:rsidRDefault="00105C7C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type of solid waste will be collected: HHW, electronic waste, medical pharmaceuticals, medical sharps, tires, scrap metal, green waste, others?</w:t>
            </w:r>
          </w:p>
        </w:tc>
        <w:tc>
          <w:tcPr>
            <w:tcW w:w="5855" w:type="dxa"/>
          </w:tcPr>
          <w:p w14:paraId="0DBA290F" w14:textId="77777777" w:rsidR="00445EBA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49ED25" w14:textId="77777777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FEDF9" w14:textId="2F341366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346F8344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6230DFA" w14:textId="025FCEE2" w:rsidR="52D590D3" w:rsidRPr="00BE5822" w:rsidRDefault="00105C7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When do you anticipate holding the event(s)? Please provide an estimated time of year, or specific date.</w:t>
            </w:r>
          </w:p>
        </w:tc>
        <w:tc>
          <w:tcPr>
            <w:tcW w:w="5855" w:type="dxa"/>
          </w:tcPr>
          <w:p w14:paraId="48625889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32CED9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5EAA05" w14:textId="77777777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C676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66FF5513" w14:textId="77777777" w:rsidTr="00105C7C">
        <w:trPr>
          <w:trHeight w:val="521"/>
        </w:trPr>
        <w:tc>
          <w:tcPr>
            <w:tcW w:w="3505" w:type="dxa"/>
            <w:shd w:val="clear" w:color="auto" w:fill="E2EFD9" w:themeFill="accent6" w:themeFillTint="33"/>
          </w:tcPr>
          <w:p w14:paraId="473410D5" w14:textId="174FF4B0" w:rsidR="52D590D3" w:rsidRPr="00105C7C" w:rsidRDefault="00105C7C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Describe your plans for advertising the event(s).</w:t>
            </w:r>
          </w:p>
        </w:tc>
        <w:tc>
          <w:tcPr>
            <w:tcW w:w="5855" w:type="dxa"/>
          </w:tcPr>
          <w:p w14:paraId="1D0E655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E05E9" w14:textId="2F341366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86352D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5AD75F4C" w14:textId="5A2170C4" w:rsidR="52D590D3" w:rsidRPr="00105C7C" w:rsidRDefault="00741E1B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Who will be served by the program (municipalities, counties, regions, estimated population)?</w:t>
            </w:r>
          </w:p>
        </w:tc>
        <w:tc>
          <w:tcPr>
            <w:tcW w:w="5855" w:type="dxa"/>
          </w:tcPr>
          <w:p w14:paraId="2A513CE8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C148A7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A6EB6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511E2" w14:textId="2F341366" w:rsidR="00082396" w:rsidRPr="00BE5822" w:rsidRDefault="00082396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33926DEB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15D2E0C6" w14:textId="4BFDFF8D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is the total cost of the program?</w:t>
            </w:r>
          </w:p>
        </w:tc>
        <w:tc>
          <w:tcPr>
            <w:tcW w:w="5855" w:type="dxa"/>
          </w:tcPr>
          <w:p w14:paraId="15C2266A" w14:textId="73E4C598" w:rsidR="00F56820" w:rsidRPr="00BE5822" w:rsidRDefault="00F56820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E233F8A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6D454E9D" w14:textId="5B41FF9F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Are you partnering with anyone else to implement this program?</w:t>
            </w:r>
            <w:r w:rsidR="3A8FBAC6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If so, describe.</w:t>
            </w:r>
            <w:r w:rsidR="0A79BA65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55" w:type="dxa"/>
          </w:tcPr>
          <w:p w14:paraId="629DB9BE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E9CB5E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C5D589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7D4B37" w14:textId="44FD25D3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EFE1CBC" w14:textId="77777777" w:rsidTr="00105C7C">
        <w:trPr>
          <w:trHeight w:val="1592"/>
        </w:trPr>
        <w:tc>
          <w:tcPr>
            <w:tcW w:w="3505" w:type="dxa"/>
            <w:shd w:val="clear" w:color="auto" w:fill="E2EFD9" w:themeFill="accent6" w:themeFillTint="33"/>
          </w:tcPr>
          <w:p w14:paraId="0D189BF7" w14:textId="4BAA61C0" w:rsidR="52D590D3" w:rsidRPr="00881B16" w:rsidRDefault="2FD6291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Have you received a previous grant from DEQ? 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yes, what year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what dollar amount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funding was provided, and how much of that funding did you spend?</w:t>
            </w:r>
          </w:p>
        </w:tc>
        <w:tc>
          <w:tcPr>
            <w:tcW w:w="5855" w:type="dxa"/>
          </w:tcPr>
          <w:p w14:paraId="47A8CE6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9872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99C31A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A635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9F5D66" w14:textId="650BF12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6006CE1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C49440C" w14:textId="4CA737E9" w:rsidR="52D590D3" w:rsidRPr="00105C7C" w:rsidRDefault="00105C7C" w:rsidP="00105C7C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 you host collection events regularly? Provide details (annually/bi-annually, time of year, name of event, items collected, participating communities, partnerships, etc.).</w:t>
            </w:r>
          </w:p>
        </w:tc>
        <w:tc>
          <w:tcPr>
            <w:tcW w:w="5855" w:type="dxa"/>
          </w:tcPr>
          <w:p w14:paraId="754D92B2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46BA79" w14:textId="77777777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DEAFDB" w14:textId="75574032" w:rsidR="00044F47" w:rsidRPr="00BE5822" w:rsidRDefault="00044F47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F11F49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0737A" w14:textId="04CA3C28" w:rsidR="52D590D3" w:rsidRPr="00BE5822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there any other information that you would like to share?</w:t>
            </w:r>
          </w:p>
        </w:tc>
        <w:tc>
          <w:tcPr>
            <w:tcW w:w="5855" w:type="dxa"/>
          </w:tcPr>
          <w:p w14:paraId="4B66B248" w14:textId="77777777" w:rsidR="52D590D3" w:rsidRPr="00BE5822" w:rsidRDefault="52D590D3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B4ED82" w14:textId="2CE2FC2D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E47A9" w:rsidRPr="00BE5822" w14:paraId="395CD9EA" w14:textId="77777777" w:rsidTr="00105C7C">
        <w:trPr>
          <w:trHeight w:val="935"/>
        </w:trPr>
        <w:tc>
          <w:tcPr>
            <w:tcW w:w="3505" w:type="dxa"/>
            <w:shd w:val="clear" w:color="auto" w:fill="E2EFD9" w:themeFill="accent6" w:themeFillTint="33"/>
          </w:tcPr>
          <w:p w14:paraId="0AD84685" w14:textId="3A20CB3D" w:rsidR="005E47A9" w:rsidRPr="00BE5822" w:rsidRDefault="005E47A9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did you hear about DEQ’s Solid Waste Management Grant Program?</w:t>
            </w:r>
          </w:p>
        </w:tc>
        <w:tc>
          <w:tcPr>
            <w:tcW w:w="5855" w:type="dxa"/>
          </w:tcPr>
          <w:p w14:paraId="435E8A90" w14:textId="77777777" w:rsidR="00105C7C" w:rsidRDefault="00105C7C" w:rsidP="00105C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6161CD5" w14:textId="77777777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EA4CF" w14:textId="6075B30B" w:rsidR="2986067B" w:rsidRPr="00BE5822" w:rsidRDefault="2986067B" w:rsidP="00044F4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="2986067B" w:rsidRPr="00BE5822" w:rsidSect="00647FED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7C79" w14:textId="77777777" w:rsidR="00850F42" w:rsidRDefault="00850F42" w:rsidP="00971E88">
      <w:r>
        <w:separator/>
      </w:r>
    </w:p>
  </w:endnote>
  <w:endnote w:type="continuationSeparator" w:id="0">
    <w:p w14:paraId="00CDBB0E" w14:textId="77777777" w:rsidR="00850F42" w:rsidRDefault="00850F42" w:rsidP="00971E88">
      <w:r>
        <w:continuationSeparator/>
      </w:r>
    </w:p>
  </w:endnote>
  <w:endnote w:type="continuationNotice" w:id="1">
    <w:p w14:paraId="2B7E13B2" w14:textId="77777777" w:rsidR="00850F42" w:rsidRDefault="00850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35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1B71" w14:textId="25B901C3" w:rsidR="00881B16" w:rsidRDefault="0088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D779" w14:textId="4DE0E326" w:rsidR="00971E88" w:rsidRDefault="0097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C6C4" w14:textId="77777777" w:rsidR="00850F42" w:rsidRDefault="00850F42" w:rsidP="00971E88">
      <w:r>
        <w:separator/>
      </w:r>
    </w:p>
  </w:footnote>
  <w:footnote w:type="continuationSeparator" w:id="0">
    <w:p w14:paraId="2D3EB32B" w14:textId="77777777" w:rsidR="00850F42" w:rsidRDefault="00850F42" w:rsidP="00971E88">
      <w:r>
        <w:continuationSeparator/>
      </w:r>
    </w:p>
  </w:footnote>
  <w:footnote w:type="continuationNotice" w:id="1">
    <w:p w14:paraId="2776FAA6" w14:textId="77777777" w:rsidR="00850F42" w:rsidRDefault="00850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F5F85" w14:paraId="5355CBD8" w14:textId="77777777" w:rsidTr="661F5F85">
      <w:trPr>
        <w:trHeight w:val="300"/>
      </w:trPr>
      <w:tc>
        <w:tcPr>
          <w:tcW w:w="3120" w:type="dxa"/>
        </w:tcPr>
        <w:p w14:paraId="5F539A6B" w14:textId="0E615305" w:rsidR="661F5F85" w:rsidRDefault="661F5F85" w:rsidP="661F5F85">
          <w:pPr>
            <w:pStyle w:val="Header"/>
            <w:ind w:left="-115"/>
          </w:pPr>
        </w:p>
      </w:tc>
      <w:tc>
        <w:tcPr>
          <w:tcW w:w="3120" w:type="dxa"/>
        </w:tcPr>
        <w:p w14:paraId="7CFBA8EC" w14:textId="7CFA6B25" w:rsidR="661F5F85" w:rsidRDefault="661F5F85" w:rsidP="661F5F85">
          <w:pPr>
            <w:pStyle w:val="Header"/>
            <w:jc w:val="center"/>
          </w:pPr>
        </w:p>
      </w:tc>
      <w:tc>
        <w:tcPr>
          <w:tcW w:w="3120" w:type="dxa"/>
        </w:tcPr>
        <w:p w14:paraId="7C0EB002" w14:textId="17861DD5" w:rsidR="661F5F85" w:rsidRDefault="661F5F85" w:rsidP="661F5F85">
          <w:pPr>
            <w:pStyle w:val="Header"/>
            <w:ind w:right="-115"/>
            <w:jc w:val="right"/>
          </w:pPr>
        </w:p>
      </w:tc>
    </w:tr>
  </w:tbl>
  <w:p w14:paraId="69A5ADC7" w14:textId="41AA226C" w:rsidR="661F5F85" w:rsidRDefault="661F5F85" w:rsidP="661F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BA2"/>
    <w:multiLevelType w:val="hybridMultilevel"/>
    <w:tmpl w:val="FFFFFFFF"/>
    <w:lvl w:ilvl="0" w:tplc="090C8A0A">
      <w:start w:val="1"/>
      <w:numFmt w:val="decimal"/>
      <w:lvlText w:val="%1."/>
      <w:lvlJc w:val="left"/>
      <w:pPr>
        <w:ind w:left="720" w:hanging="360"/>
      </w:pPr>
    </w:lvl>
    <w:lvl w:ilvl="1" w:tplc="2B20C1B2">
      <w:start w:val="1"/>
      <w:numFmt w:val="lowerLetter"/>
      <w:lvlText w:val="%2."/>
      <w:lvlJc w:val="left"/>
      <w:pPr>
        <w:ind w:left="1440" w:hanging="360"/>
      </w:pPr>
    </w:lvl>
    <w:lvl w:ilvl="2" w:tplc="671C1D22">
      <w:start w:val="1"/>
      <w:numFmt w:val="lowerRoman"/>
      <w:lvlText w:val="%3."/>
      <w:lvlJc w:val="right"/>
      <w:pPr>
        <w:ind w:left="2160" w:hanging="180"/>
      </w:pPr>
    </w:lvl>
    <w:lvl w:ilvl="3" w:tplc="230A9162">
      <w:start w:val="1"/>
      <w:numFmt w:val="decimal"/>
      <w:lvlText w:val="%4."/>
      <w:lvlJc w:val="left"/>
      <w:pPr>
        <w:ind w:left="2880" w:hanging="360"/>
      </w:pPr>
    </w:lvl>
    <w:lvl w:ilvl="4" w:tplc="E200A16A">
      <w:start w:val="1"/>
      <w:numFmt w:val="lowerLetter"/>
      <w:lvlText w:val="%5."/>
      <w:lvlJc w:val="left"/>
      <w:pPr>
        <w:ind w:left="3600" w:hanging="360"/>
      </w:pPr>
    </w:lvl>
    <w:lvl w:ilvl="5" w:tplc="DD0A6FAE">
      <w:start w:val="1"/>
      <w:numFmt w:val="lowerRoman"/>
      <w:lvlText w:val="%6."/>
      <w:lvlJc w:val="right"/>
      <w:pPr>
        <w:ind w:left="4320" w:hanging="180"/>
      </w:pPr>
    </w:lvl>
    <w:lvl w:ilvl="6" w:tplc="D970524C">
      <w:start w:val="1"/>
      <w:numFmt w:val="decimal"/>
      <w:lvlText w:val="%7."/>
      <w:lvlJc w:val="left"/>
      <w:pPr>
        <w:ind w:left="5040" w:hanging="360"/>
      </w:pPr>
    </w:lvl>
    <w:lvl w:ilvl="7" w:tplc="902C79D6">
      <w:start w:val="1"/>
      <w:numFmt w:val="lowerLetter"/>
      <w:lvlText w:val="%8."/>
      <w:lvlJc w:val="left"/>
      <w:pPr>
        <w:ind w:left="5760" w:hanging="360"/>
      </w:pPr>
    </w:lvl>
    <w:lvl w:ilvl="8" w:tplc="A8F8C5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010"/>
    <w:multiLevelType w:val="hybridMultilevel"/>
    <w:tmpl w:val="E86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BFF"/>
    <w:multiLevelType w:val="hybridMultilevel"/>
    <w:tmpl w:val="C4CAE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B6CAA"/>
    <w:multiLevelType w:val="hybridMultilevel"/>
    <w:tmpl w:val="1FCE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2BF"/>
    <w:multiLevelType w:val="hybridMultilevel"/>
    <w:tmpl w:val="71428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5F08"/>
    <w:multiLevelType w:val="hybridMultilevel"/>
    <w:tmpl w:val="574A3BE0"/>
    <w:lvl w:ilvl="0" w:tplc="CA7ED3F8">
      <w:start w:val="1"/>
      <w:numFmt w:val="lowerLetter"/>
      <w:lvlText w:val="%1."/>
      <w:lvlJc w:val="left"/>
      <w:pPr>
        <w:ind w:left="720" w:hanging="360"/>
      </w:pPr>
    </w:lvl>
    <w:lvl w:ilvl="1" w:tplc="5A724EFE">
      <w:start w:val="1"/>
      <w:numFmt w:val="lowerLetter"/>
      <w:lvlText w:val="%2."/>
      <w:lvlJc w:val="left"/>
      <w:pPr>
        <w:ind w:left="1440" w:hanging="360"/>
      </w:pPr>
    </w:lvl>
    <w:lvl w:ilvl="2" w:tplc="D1FC46AC">
      <w:start w:val="1"/>
      <w:numFmt w:val="lowerRoman"/>
      <w:lvlText w:val="%3."/>
      <w:lvlJc w:val="right"/>
      <w:pPr>
        <w:ind w:left="2160" w:hanging="180"/>
      </w:pPr>
    </w:lvl>
    <w:lvl w:ilvl="3" w:tplc="949CCAB2">
      <w:start w:val="1"/>
      <w:numFmt w:val="decimal"/>
      <w:lvlText w:val="%4."/>
      <w:lvlJc w:val="left"/>
      <w:pPr>
        <w:ind w:left="2880" w:hanging="360"/>
      </w:pPr>
    </w:lvl>
    <w:lvl w:ilvl="4" w:tplc="BED69B28">
      <w:start w:val="1"/>
      <w:numFmt w:val="lowerLetter"/>
      <w:lvlText w:val="%5."/>
      <w:lvlJc w:val="left"/>
      <w:pPr>
        <w:ind w:left="3600" w:hanging="360"/>
      </w:pPr>
    </w:lvl>
    <w:lvl w:ilvl="5" w:tplc="FC3422A6">
      <w:start w:val="1"/>
      <w:numFmt w:val="lowerRoman"/>
      <w:lvlText w:val="%6."/>
      <w:lvlJc w:val="right"/>
      <w:pPr>
        <w:ind w:left="4320" w:hanging="180"/>
      </w:pPr>
    </w:lvl>
    <w:lvl w:ilvl="6" w:tplc="C3AE5F7E">
      <w:start w:val="1"/>
      <w:numFmt w:val="decimal"/>
      <w:lvlText w:val="%7."/>
      <w:lvlJc w:val="left"/>
      <w:pPr>
        <w:ind w:left="5040" w:hanging="360"/>
      </w:pPr>
    </w:lvl>
    <w:lvl w:ilvl="7" w:tplc="C5A49FD8">
      <w:start w:val="1"/>
      <w:numFmt w:val="lowerLetter"/>
      <w:lvlText w:val="%8."/>
      <w:lvlJc w:val="left"/>
      <w:pPr>
        <w:ind w:left="5760" w:hanging="360"/>
      </w:pPr>
    </w:lvl>
    <w:lvl w:ilvl="8" w:tplc="C7767B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95D81"/>
    <w:multiLevelType w:val="hybridMultilevel"/>
    <w:tmpl w:val="DDB2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0DA"/>
    <w:multiLevelType w:val="hybridMultilevel"/>
    <w:tmpl w:val="9D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6239"/>
    <w:multiLevelType w:val="hybridMultilevel"/>
    <w:tmpl w:val="FDC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C1C98"/>
    <w:multiLevelType w:val="hybridMultilevel"/>
    <w:tmpl w:val="077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C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0E1"/>
    <w:multiLevelType w:val="hybridMultilevel"/>
    <w:tmpl w:val="D2C0C5C6"/>
    <w:lvl w:ilvl="0" w:tplc="8EA27FB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1D8D"/>
    <w:multiLevelType w:val="hybridMultilevel"/>
    <w:tmpl w:val="3E14F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E23E8"/>
    <w:multiLevelType w:val="hybridMultilevel"/>
    <w:tmpl w:val="620834AE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1750A"/>
    <w:multiLevelType w:val="hybridMultilevel"/>
    <w:tmpl w:val="82EE8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26D23"/>
    <w:multiLevelType w:val="hybridMultilevel"/>
    <w:tmpl w:val="436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1F2F"/>
    <w:multiLevelType w:val="hybridMultilevel"/>
    <w:tmpl w:val="ED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4353">
    <w:abstractNumId w:val="8"/>
  </w:num>
  <w:num w:numId="2" w16cid:durableId="357391327">
    <w:abstractNumId w:val="2"/>
  </w:num>
  <w:num w:numId="3" w16cid:durableId="1674410236">
    <w:abstractNumId w:val="14"/>
  </w:num>
  <w:num w:numId="4" w16cid:durableId="1519539252">
    <w:abstractNumId w:val="13"/>
  </w:num>
  <w:num w:numId="5" w16cid:durableId="876552309">
    <w:abstractNumId w:val="12"/>
  </w:num>
  <w:num w:numId="6" w16cid:durableId="423958776">
    <w:abstractNumId w:val="6"/>
  </w:num>
  <w:num w:numId="7" w16cid:durableId="540672801">
    <w:abstractNumId w:val="3"/>
  </w:num>
  <w:num w:numId="8" w16cid:durableId="616833101">
    <w:abstractNumId w:val="0"/>
  </w:num>
  <w:num w:numId="9" w16cid:durableId="1743092155">
    <w:abstractNumId w:val="7"/>
  </w:num>
  <w:num w:numId="10" w16cid:durableId="545991394">
    <w:abstractNumId w:val="11"/>
  </w:num>
  <w:num w:numId="11" w16cid:durableId="1825584486">
    <w:abstractNumId w:val="15"/>
  </w:num>
  <w:num w:numId="12" w16cid:durableId="1387340239">
    <w:abstractNumId w:val="10"/>
  </w:num>
  <w:num w:numId="13" w16cid:durableId="1285382877">
    <w:abstractNumId w:val="1"/>
  </w:num>
  <w:num w:numId="14" w16cid:durableId="2104954441">
    <w:abstractNumId w:val="4"/>
  </w:num>
  <w:num w:numId="15" w16cid:durableId="348869294">
    <w:abstractNumId w:val="9"/>
  </w:num>
  <w:num w:numId="16" w16cid:durableId="1071780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A"/>
    <w:rsid w:val="00005F49"/>
    <w:rsid w:val="000068A7"/>
    <w:rsid w:val="00011296"/>
    <w:rsid w:val="00021C55"/>
    <w:rsid w:val="00022581"/>
    <w:rsid w:val="00044F47"/>
    <w:rsid w:val="00046ECC"/>
    <w:rsid w:val="00054A4B"/>
    <w:rsid w:val="000730D3"/>
    <w:rsid w:val="00075478"/>
    <w:rsid w:val="00082396"/>
    <w:rsid w:val="00085134"/>
    <w:rsid w:val="00092CFA"/>
    <w:rsid w:val="000A2ACF"/>
    <w:rsid w:val="000A58DC"/>
    <w:rsid w:val="000A61E1"/>
    <w:rsid w:val="000B615E"/>
    <w:rsid w:val="000C6380"/>
    <w:rsid w:val="000E4B38"/>
    <w:rsid w:val="000E4F17"/>
    <w:rsid w:val="000F4D01"/>
    <w:rsid w:val="0010235D"/>
    <w:rsid w:val="00104B71"/>
    <w:rsid w:val="00105C7C"/>
    <w:rsid w:val="0010671A"/>
    <w:rsid w:val="00106775"/>
    <w:rsid w:val="001113AE"/>
    <w:rsid w:val="00124B02"/>
    <w:rsid w:val="0012659B"/>
    <w:rsid w:val="0013097C"/>
    <w:rsid w:val="001350CF"/>
    <w:rsid w:val="00141CC5"/>
    <w:rsid w:val="001538EB"/>
    <w:rsid w:val="00161B5B"/>
    <w:rsid w:val="00166AAC"/>
    <w:rsid w:val="001677DB"/>
    <w:rsid w:val="00175F92"/>
    <w:rsid w:val="00196B6F"/>
    <w:rsid w:val="001A66C0"/>
    <w:rsid w:val="001A70AD"/>
    <w:rsid w:val="001B6474"/>
    <w:rsid w:val="001C7CB9"/>
    <w:rsid w:val="001D2262"/>
    <w:rsid w:val="001D3652"/>
    <w:rsid w:val="001D7587"/>
    <w:rsid w:val="001E0151"/>
    <w:rsid w:val="001E1BF0"/>
    <w:rsid w:val="001E5FD9"/>
    <w:rsid w:val="001E6C15"/>
    <w:rsid w:val="001F6F6A"/>
    <w:rsid w:val="002144DD"/>
    <w:rsid w:val="00215424"/>
    <w:rsid w:val="0021568E"/>
    <w:rsid w:val="0023505B"/>
    <w:rsid w:val="00237FBD"/>
    <w:rsid w:val="002457B4"/>
    <w:rsid w:val="002501A3"/>
    <w:rsid w:val="00282035"/>
    <w:rsid w:val="00287B0B"/>
    <w:rsid w:val="00293B24"/>
    <w:rsid w:val="002A2FE1"/>
    <w:rsid w:val="002A6C88"/>
    <w:rsid w:val="002A7D4B"/>
    <w:rsid w:val="002B35A2"/>
    <w:rsid w:val="002C2F72"/>
    <w:rsid w:val="002C380F"/>
    <w:rsid w:val="002F1A9F"/>
    <w:rsid w:val="0030673B"/>
    <w:rsid w:val="00307250"/>
    <w:rsid w:val="00311C17"/>
    <w:rsid w:val="00327931"/>
    <w:rsid w:val="003325E5"/>
    <w:rsid w:val="00344147"/>
    <w:rsid w:val="00344366"/>
    <w:rsid w:val="00344AC3"/>
    <w:rsid w:val="003523D1"/>
    <w:rsid w:val="00353EEB"/>
    <w:rsid w:val="0036170D"/>
    <w:rsid w:val="00373623"/>
    <w:rsid w:val="00383C93"/>
    <w:rsid w:val="00392A46"/>
    <w:rsid w:val="003A4124"/>
    <w:rsid w:val="003A4BBD"/>
    <w:rsid w:val="003A5A79"/>
    <w:rsid w:val="003D2340"/>
    <w:rsid w:val="003D7DD5"/>
    <w:rsid w:val="003E4546"/>
    <w:rsid w:val="003F546A"/>
    <w:rsid w:val="003F67EE"/>
    <w:rsid w:val="004020CB"/>
    <w:rsid w:val="00404170"/>
    <w:rsid w:val="0041156B"/>
    <w:rsid w:val="004319A8"/>
    <w:rsid w:val="004344D2"/>
    <w:rsid w:val="00441199"/>
    <w:rsid w:val="00445EBA"/>
    <w:rsid w:val="004511BA"/>
    <w:rsid w:val="00463949"/>
    <w:rsid w:val="004670E8"/>
    <w:rsid w:val="004878B7"/>
    <w:rsid w:val="00487C1E"/>
    <w:rsid w:val="00496921"/>
    <w:rsid w:val="004A2000"/>
    <w:rsid w:val="004A24FE"/>
    <w:rsid w:val="004A7527"/>
    <w:rsid w:val="004B1532"/>
    <w:rsid w:val="004C3A53"/>
    <w:rsid w:val="004C65D7"/>
    <w:rsid w:val="004D281A"/>
    <w:rsid w:val="004E5EC5"/>
    <w:rsid w:val="004E7901"/>
    <w:rsid w:val="005049C8"/>
    <w:rsid w:val="00512745"/>
    <w:rsid w:val="00515F43"/>
    <w:rsid w:val="00530D80"/>
    <w:rsid w:val="0053340A"/>
    <w:rsid w:val="00537AA8"/>
    <w:rsid w:val="00544CD6"/>
    <w:rsid w:val="00550315"/>
    <w:rsid w:val="00552B68"/>
    <w:rsid w:val="00556A21"/>
    <w:rsid w:val="00575DEA"/>
    <w:rsid w:val="00586E28"/>
    <w:rsid w:val="005A2C72"/>
    <w:rsid w:val="005A4EB5"/>
    <w:rsid w:val="005B74F8"/>
    <w:rsid w:val="005C60B3"/>
    <w:rsid w:val="005C6BC0"/>
    <w:rsid w:val="005C6C44"/>
    <w:rsid w:val="005D25F9"/>
    <w:rsid w:val="005D4C2C"/>
    <w:rsid w:val="005D5E47"/>
    <w:rsid w:val="005D6EEA"/>
    <w:rsid w:val="005E47A9"/>
    <w:rsid w:val="005E5453"/>
    <w:rsid w:val="005F6A45"/>
    <w:rsid w:val="005F6E2C"/>
    <w:rsid w:val="005F76EE"/>
    <w:rsid w:val="00602B3E"/>
    <w:rsid w:val="006064F7"/>
    <w:rsid w:val="00612AE8"/>
    <w:rsid w:val="0061641D"/>
    <w:rsid w:val="006316D9"/>
    <w:rsid w:val="00631FA9"/>
    <w:rsid w:val="00647FED"/>
    <w:rsid w:val="00652AA6"/>
    <w:rsid w:val="006530A1"/>
    <w:rsid w:val="00654194"/>
    <w:rsid w:val="00654A01"/>
    <w:rsid w:val="00656783"/>
    <w:rsid w:val="00662337"/>
    <w:rsid w:val="00664883"/>
    <w:rsid w:val="00675907"/>
    <w:rsid w:val="00677DB2"/>
    <w:rsid w:val="006829ED"/>
    <w:rsid w:val="00682CF2"/>
    <w:rsid w:val="0068483D"/>
    <w:rsid w:val="006931A0"/>
    <w:rsid w:val="006A2B50"/>
    <w:rsid w:val="006B623A"/>
    <w:rsid w:val="006D7597"/>
    <w:rsid w:val="006E2474"/>
    <w:rsid w:val="006E2AF8"/>
    <w:rsid w:val="006E2D6E"/>
    <w:rsid w:val="006E31ED"/>
    <w:rsid w:val="006E508D"/>
    <w:rsid w:val="006E722D"/>
    <w:rsid w:val="006F4533"/>
    <w:rsid w:val="006F7CC5"/>
    <w:rsid w:val="00711374"/>
    <w:rsid w:val="00722AC3"/>
    <w:rsid w:val="00732CAF"/>
    <w:rsid w:val="00737DEC"/>
    <w:rsid w:val="00741E1B"/>
    <w:rsid w:val="007528A2"/>
    <w:rsid w:val="0078002A"/>
    <w:rsid w:val="00783807"/>
    <w:rsid w:val="00792CB3"/>
    <w:rsid w:val="007A46A1"/>
    <w:rsid w:val="007A554A"/>
    <w:rsid w:val="007B0021"/>
    <w:rsid w:val="007B0FAB"/>
    <w:rsid w:val="007B36FA"/>
    <w:rsid w:val="007B3B4C"/>
    <w:rsid w:val="007D57E4"/>
    <w:rsid w:val="007E0F27"/>
    <w:rsid w:val="007E12AB"/>
    <w:rsid w:val="007E7767"/>
    <w:rsid w:val="007F25BF"/>
    <w:rsid w:val="007F365A"/>
    <w:rsid w:val="008132B5"/>
    <w:rsid w:val="00815C31"/>
    <w:rsid w:val="00815F18"/>
    <w:rsid w:val="00827524"/>
    <w:rsid w:val="00841EBE"/>
    <w:rsid w:val="00842ABA"/>
    <w:rsid w:val="00850F42"/>
    <w:rsid w:val="00851D18"/>
    <w:rsid w:val="00852E20"/>
    <w:rsid w:val="0086117C"/>
    <w:rsid w:val="008663E7"/>
    <w:rsid w:val="00866849"/>
    <w:rsid w:val="008754DC"/>
    <w:rsid w:val="00881B16"/>
    <w:rsid w:val="00887AE4"/>
    <w:rsid w:val="008A7BFD"/>
    <w:rsid w:val="008B4E66"/>
    <w:rsid w:val="008B5B47"/>
    <w:rsid w:val="008B64FE"/>
    <w:rsid w:val="008E2AAB"/>
    <w:rsid w:val="008E341B"/>
    <w:rsid w:val="008E54B8"/>
    <w:rsid w:val="008F5C53"/>
    <w:rsid w:val="00906076"/>
    <w:rsid w:val="00916D94"/>
    <w:rsid w:val="00923A7A"/>
    <w:rsid w:val="00940C76"/>
    <w:rsid w:val="0094387A"/>
    <w:rsid w:val="00945C81"/>
    <w:rsid w:val="00957FCB"/>
    <w:rsid w:val="00965B61"/>
    <w:rsid w:val="00971E88"/>
    <w:rsid w:val="00975804"/>
    <w:rsid w:val="00983812"/>
    <w:rsid w:val="00985692"/>
    <w:rsid w:val="00987527"/>
    <w:rsid w:val="009B0E03"/>
    <w:rsid w:val="009B1C18"/>
    <w:rsid w:val="009B4339"/>
    <w:rsid w:val="009C1128"/>
    <w:rsid w:val="009C25C2"/>
    <w:rsid w:val="009D48F7"/>
    <w:rsid w:val="009E2830"/>
    <w:rsid w:val="009E38ED"/>
    <w:rsid w:val="009E5571"/>
    <w:rsid w:val="009F2D09"/>
    <w:rsid w:val="009F6697"/>
    <w:rsid w:val="00A0026A"/>
    <w:rsid w:val="00A00B5E"/>
    <w:rsid w:val="00A06022"/>
    <w:rsid w:val="00A07624"/>
    <w:rsid w:val="00A15B39"/>
    <w:rsid w:val="00A31EC0"/>
    <w:rsid w:val="00A40112"/>
    <w:rsid w:val="00A47E1A"/>
    <w:rsid w:val="00A517C9"/>
    <w:rsid w:val="00A51C3D"/>
    <w:rsid w:val="00A73CCF"/>
    <w:rsid w:val="00A7465B"/>
    <w:rsid w:val="00A84A79"/>
    <w:rsid w:val="00A9025B"/>
    <w:rsid w:val="00A9704B"/>
    <w:rsid w:val="00AA51E6"/>
    <w:rsid w:val="00AB5793"/>
    <w:rsid w:val="00AC419E"/>
    <w:rsid w:val="00AC4F77"/>
    <w:rsid w:val="00AD0BC0"/>
    <w:rsid w:val="00AD1988"/>
    <w:rsid w:val="00AD5FAE"/>
    <w:rsid w:val="00AD6EB6"/>
    <w:rsid w:val="00AE158A"/>
    <w:rsid w:val="00AE198E"/>
    <w:rsid w:val="00AE1CA2"/>
    <w:rsid w:val="00AE79D4"/>
    <w:rsid w:val="00AF552A"/>
    <w:rsid w:val="00AF5CA7"/>
    <w:rsid w:val="00B0604B"/>
    <w:rsid w:val="00B144E2"/>
    <w:rsid w:val="00B17547"/>
    <w:rsid w:val="00B1790E"/>
    <w:rsid w:val="00B355D1"/>
    <w:rsid w:val="00B36E9C"/>
    <w:rsid w:val="00B42700"/>
    <w:rsid w:val="00B46DC2"/>
    <w:rsid w:val="00B5596C"/>
    <w:rsid w:val="00B56083"/>
    <w:rsid w:val="00B620BF"/>
    <w:rsid w:val="00B717AE"/>
    <w:rsid w:val="00B74755"/>
    <w:rsid w:val="00B754C9"/>
    <w:rsid w:val="00B77BFC"/>
    <w:rsid w:val="00B954B6"/>
    <w:rsid w:val="00BA3B8D"/>
    <w:rsid w:val="00BC492D"/>
    <w:rsid w:val="00BD272D"/>
    <w:rsid w:val="00BD3054"/>
    <w:rsid w:val="00BE1778"/>
    <w:rsid w:val="00BE5822"/>
    <w:rsid w:val="00BE6B77"/>
    <w:rsid w:val="00BF1DC6"/>
    <w:rsid w:val="00BF6606"/>
    <w:rsid w:val="00C06971"/>
    <w:rsid w:val="00C12070"/>
    <w:rsid w:val="00C16CCE"/>
    <w:rsid w:val="00C31115"/>
    <w:rsid w:val="00C36882"/>
    <w:rsid w:val="00C44CDD"/>
    <w:rsid w:val="00C4544F"/>
    <w:rsid w:val="00C46AC9"/>
    <w:rsid w:val="00C53C70"/>
    <w:rsid w:val="00C5429F"/>
    <w:rsid w:val="00C6238E"/>
    <w:rsid w:val="00C73DEE"/>
    <w:rsid w:val="00C8006B"/>
    <w:rsid w:val="00C863EE"/>
    <w:rsid w:val="00CB09D4"/>
    <w:rsid w:val="00CD2DBE"/>
    <w:rsid w:val="00CE4290"/>
    <w:rsid w:val="00CE4A47"/>
    <w:rsid w:val="00CE62D1"/>
    <w:rsid w:val="00CF03B5"/>
    <w:rsid w:val="00CF3CA2"/>
    <w:rsid w:val="00CF723F"/>
    <w:rsid w:val="00D024C3"/>
    <w:rsid w:val="00D063A5"/>
    <w:rsid w:val="00D16A6C"/>
    <w:rsid w:val="00D217DE"/>
    <w:rsid w:val="00D35B12"/>
    <w:rsid w:val="00D47B19"/>
    <w:rsid w:val="00D523E7"/>
    <w:rsid w:val="00D83072"/>
    <w:rsid w:val="00D845A4"/>
    <w:rsid w:val="00D905BC"/>
    <w:rsid w:val="00DA140C"/>
    <w:rsid w:val="00DA3F92"/>
    <w:rsid w:val="00DA5C62"/>
    <w:rsid w:val="00DB2B0D"/>
    <w:rsid w:val="00DB73F7"/>
    <w:rsid w:val="00DC5033"/>
    <w:rsid w:val="00DC5311"/>
    <w:rsid w:val="00DC6123"/>
    <w:rsid w:val="00DD4414"/>
    <w:rsid w:val="00DD4C07"/>
    <w:rsid w:val="00DE1B8C"/>
    <w:rsid w:val="00DE5866"/>
    <w:rsid w:val="00DF06AD"/>
    <w:rsid w:val="00DF713E"/>
    <w:rsid w:val="00E008DB"/>
    <w:rsid w:val="00E11B24"/>
    <w:rsid w:val="00E2153F"/>
    <w:rsid w:val="00E27613"/>
    <w:rsid w:val="00E278F3"/>
    <w:rsid w:val="00E35762"/>
    <w:rsid w:val="00E50225"/>
    <w:rsid w:val="00E520AB"/>
    <w:rsid w:val="00E532EC"/>
    <w:rsid w:val="00E7402A"/>
    <w:rsid w:val="00E75EB0"/>
    <w:rsid w:val="00E85167"/>
    <w:rsid w:val="00E85A3D"/>
    <w:rsid w:val="00E923A4"/>
    <w:rsid w:val="00EA2A1A"/>
    <w:rsid w:val="00EB1D8A"/>
    <w:rsid w:val="00EB3232"/>
    <w:rsid w:val="00EB56D4"/>
    <w:rsid w:val="00EC3BF5"/>
    <w:rsid w:val="00EC74CA"/>
    <w:rsid w:val="00ED6F1E"/>
    <w:rsid w:val="00ED73CF"/>
    <w:rsid w:val="00EE306F"/>
    <w:rsid w:val="00EF54E0"/>
    <w:rsid w:val="00EF6FDA"/>
    <w:rsid w:val="00F1104A"/>
    <w:rsid w:val="00F241B5"/>
    <w:rsid w:val="00F270BB"/>
    <w:rsid w:val="00F3606B"/>
    <w:rsid w:val="00F41160"/>
    <w:rsid w:val="00F44019"/>
    <w:rsid w:val="00F56820"/>
    <w:rsid w:val="00F6768F"/>
    <w:rsid w:val="00F701B8"/>
    <w:rsid w:val="00F729D2"/>
    <w:rsid w:val="00F73EB8"/>
    <w:rsid w:val="00F81F8D"/>
    <w:rsid w:val="00F922BA"/>
    <w:rsid w:val="00FB20A9"/>
    <w:rsid w:val="00FB2149"/>
    <w:rsid w:val="00FB72B3"/>
    <w:rsid w:val="00FC7DD6"/>
    <w:rsid w:val="00FD1E5A"/>
    <w:rsid w:val="00FD3C43"/>
    <w:rsid w:val="00FF7E0D"/>
    <w:rsid w:val="01606B5B"/>
    <w:rsid w:val="03D811C7"/>
    <w:rsid w:val="06275243"/>
    <w:rsid w:val="06BC64EC"/>
    <w:rsid w:val="0926A18B"/>
    <w:rsid w:val="0951CE18"/>
    <w:rsid w:val="0A79BA65"/>
    <w:rsid w:val="0C1173DC"/>
    <w:rsid w:val="0CD0E05F"/>
    <w:rsid w:val="0DEC0B78"/>
    <w:rsid w:val="0E2C9A4B"/>
    <w:rsid w:val="0ED705D3"/>
    <w:rsid w:val="10504544"/>
    <w:rsid w:val="11416F0E"/>
    <w:rsid w:val="122A2419"/>
    <w:rsid w:val="127666E3"/>
    <w:rsid w:val="14F353CB"/>
    <w:rsid w:val="14F7E69E"/>
    <w:rsid w:val="1653E4AD"/>
    <w:rsid w:val="17050BFA"/>
    <w:rsid w:val="193E1039"/>
    <w:rsid w:val="1949E0BC"/>
    <w:rsid w:val="1B8E76C3"/>
    <w:rsid w:val="1BEE9A6E"/>
    <w:rsid w:val="1CE90050"/>
    <w:rsid w:val="1D6E6E30"/>
    <w:rsid w:val="1F22F470"/>
    <w:rsid w:val="2666FDE2"/>
    <w:rsid w:val="269D072D"/>
    <w:rsid w:val="27C0839A"/>
    <w:rsid w:val="27FC9914"/>
    <w:rsid w:val="2986067B"/>
    <w:rsid w:val="29A1AF91"/>
    <w:rsid w:val="2A4ECAEB"/>
    <w:rsid w:val="2D43EFB1"/>
    <w:rsid w:val="2FA7B76E"/>
    <w:rsid w:val="2FBF6DA6"/>
    <w:rsid w:val="2FD6291C"/>
    <w:rsid w:val="31AAE9C8"/>
    <w:rsid w:val="32DB20D0"/>
    <w:rsid w:val="33F10E26"/>
    <w:rsid w:val="3625EFD8"/>
    <w:rsid w:val="368D99A8"/>
    <w:rsid w:val="38421560"/>
    <w:rsid w:val="3A8FBAC6"/>
    <w:rsid w:val="3B6576AA"/>
    <w:rsid w:val="3C7494BA"/>
    <w:rsid w:val="4109BFAF"/>
    <w:rsid w:val="41ED481B"/>
    <w:rsid w:val="42D4BC0B"/>
    <w:rsid w:val="43093CF7"/>
    <w:rsid w:val="43852198"/>
    <w:rsid w:val="43F6C052"/>
    <w:rsid w:val="45ED7B87"/>
    <w:rsid w:val="473D82AF"/>
    <w:rsid w:val="48A80727"/>
    <w:rsid w:val="49851585"/>
    <w:rsid w:val="4B4DD4BC"/>
    <w:rsid w:val="4EC7285A"/>
    <w:rsid w:val="510C43FB"/>
    <w:rsid w:val="52613271"/>
    <w:rsid w:val="529E1CBA"/>
    <w:rsid w:val="52D590D3"/>
    <w:rsid w:val="53A5FD55"/>
    <w:rsid w:val="5467B3FC"/>
    <w:rsid w:val="562E1501"/>
    <w:rsid w:val="56589000"/>
    <w:rsid w:val="572C5AC3"/>
    <w:rsid w:val="57527F09"/>
    <w:rsid w:val="58ED34D7"/>
    <w:rsid w:val="59745AE8"/>
    <w:rsid w:val="5997059F"/>
    <w:rsid w:val="5D56038E"/>
    <w:rsid w:val="618BB056"/>
    <w:rsid w:val="62FC5324"/>
    <w:rsid w:val="630338AD"/>
    <w:rsid w:val="638F5EE6"/>
    <w:rsid w:val="649FC32F"/>
    <w:rsid w:val="651CDFF1"/>
    <w:rsid w:val="661F5F85"/>
    <w:rsid w:val="668C57B1"/>
    <w:rsid w:val="6798A07C"/>
    <w:rsid w:val="67C88E11"/>
    <w:rsid w:val="68F74661"/>
    <w:rsid w:val="6925C209"/>
    <w:rsid w:val="69BFC453"/>
    <w:rsid w:val="69E98A01"/>
    <w:rsid w:val="6B70D529"/>
    <w:rsid w:val="6BA0A65B"/>
    <w:rsid w:val="6BDE38CA"/>
    <w:rsid w:val="6EDD6AA9"/>
    <w:rsid w:val="6F54B55C"/>
    <w:rsid w:val="6FA358D8"/>
    <w:rsid w:val="75065CE8"/>
    <w:rsid w:val="7638C13C"/>
    <w:rsid w:val="7687CB90"/>
    <w:rsid w:val="76A3BA9E"/>
    <w:rsid w:val="770CAC18"/>
    <w:rsid w:val="771BAD04"/>
    <w:rsid w:val="7743B5A0"/>
    <w:rsid w:val="7986C7CC"/>
    <w:rsid w:val="798C9ACF"/>
    <w:rsid w:val="7C876F46"/>
    <w:rsid w:val="7F1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CEEA7"/>
  <w15:chartTrackingRefBased/>
  <w15:docId w15:val="{1AF9C831-CD63-4D3B-8EA1-099CC72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30A1"/>
    <w:rPr>
      <w:color w:val="0000FF"/>
      <w:u w:val="single"/>
    </w:rPr>
  </w:style>
  <w:style w:type="paragraph" w:styleId="Header">
    <w:name w:val="header"/>
    <w:basedOn w:val="Normal"/>
    <w:link w:val="HeaderChar"/>
    <w:rsid w:val="00971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1E88"/>
    <w:rPr>
      <w:sz w:val="24"/>
    </w:rPr>
  </w:style>
  <w:style w:type="paragraph" w:styleId="Footer">
    <w:name w:val="footer"/>
    <w:basedOn w:val="Normal"/>
    <w:link w:val="FooterChar"/>
    <w:uiPriority w:val="99"/>
    <w:rsid w:val="00971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E88"/>
    <w:rPr>
      <w:sz w:val="24"/>
    </w:rPr>
  </w:style>
  <w:style w:type="paragraph" w:styleId="BalloonText">
    <w:name w:val="Balloon Text"/>
    <w:basedOn w:val="Normal"/>
    <w:link w:val="BalloonTextChar"/>
    <w:rsid w:val="006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90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0315"/>
    <w:rPr>
      <w:sz w:val="24"/>
      <w:lang w:eastAsia="en-US"/>
    </w:rPr>
  </w:style>
  <w:style w:type="character" w:styleId="CommentReference">
    <w:name w:val="annotation reference"/>
    <w:rsid w:val="0049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6921"/>
  </w:style>
  <w:style w:type="paragraph" w:styleId="CommentSubject">
    <w:name w:val="annotation subject"/>
    <w:basedOn w:val="CommentText"/>
    <w:next w:val="CommentText"/>
    <w:link w:val="CommentSubjectChar"/>
    <w:rsid w:val="00496921"/>
    <w:rPr>
      <w:b/>
      <w:bCs/>
    </w:rPr>
  </w:style>
  <w:style w:type="character" w:customStyle="1" w:styleId="CommentSubjectChar">
    <w:name w:val="Comment Subject Char"/>
    <w:link w:val="CommentSubject"/>
    <w:rsid w:val="0049692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unhideWhenUsed/>
    <w:rsid w:val="00852E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E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E6B7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normaltextrun">
    <w:name w:val="normaltextrun"/>
    <w:basedOn w:val="DefaultParagraphFont"/>
    <w:rsid w:val="00BE6B77"/>
  </w:style>
  <w:style w:type="character" w:customStyle="1" w:styleId="eop">
    <w:name w:val="eop"/>
    <w:basedOn w:val="DefaultParagraphFont"/>
    <w:rsid w:val="00BE6B77"/>
  </w:style>
  <w:style w:type="paragraph" w:styleId="NormalWeb">
    <w:name w:val="Normal (Web)"/>
    <w:basedOn w:val="Normal"/>
    <w:uiPriority w:val="99"/>
    <w:unhideWhenUsed/>
    <w:rsid w:val="00282035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rsid w:val="00647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Grants@deq.ok.gov" TargetMode="External"/><Relationship Id="rId18" Type="http://schemas.openxmlformats.org/officeDocument/2006/relationships/hyperlink" Target="mailto:Kole.Kennedy@deq.ok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klahoma.gov/content/dam/ok/en/deq/documents/land-division/2024-Clean-Communities-Application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klahoma.gov/omes/divisions/central-purchasing/suppliers-and-payees/supplier-portal.html" TargetMode="External"/><Relationship Id="rId17" Type="http://schemas.openxmlformats.org/officeDocument/2006/relationships/hyperlink" Target="mailto:BRatke@Obn.ok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stainableelectronics.org/find-an-r2-certified-facility/" TargetMode="External"/><Relationship Id="rId20" Type="http://schemas.openxmlformats.org/officeDocument/2006/relationships/hyperlink" Target="mailto:okcleancommunity@deq.ok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lahoma.gov/deq/divisions/land-protection/sust-materials-management/funding-opportunities/funding-opportunities-for-communities.html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e-stewards.org/find-a-recycler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oksafemeddisposal.org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lahoma.gov/content/dam/ok/en/deq/documents/land-division/Community-Collection-Event-Guide-2024.pdf" TargetMode="External"/><Relationship Id="rId22" Type="http://schemas.openxmlformats.org/officeDocument/2006/relationships/hyperlink" Target="https://oklahoma.gov/omes/divisions/central-purchasing/suppliers-and-payees/supplier-port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35c652-784e-4f00-a2ac-1048c4280bb8">
      <UserInfo>
        <DisplayName/>
        <AccountId xsi:nil="true"/>
        <AccountType/>
      </UserInfo>
    </SharedWithUsers>
    <TaxCatchAll xmlns="0a35c652-784e-4f00-a2ac-1048c4280bb8" xsi:nil="true"/>
    <lcf76f155ced4ddcb4097134ff3c332f xmlns="e5121de5-bb42-46d1-8fc1-e8c07162e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15" ma:contentTypeDescription="Create a new document." ma:contentTypeScope="" ma:versionID="8b9528eae4ca4fcf5e020223abe57316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1342fa44a29373756f92e955f9348605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8b1841-5464-4508-b8b1-1cb81c39e4bf}" ma:internalName="TaxCatchAll" ma:showField="CatchAllData" ma:web="0a35c652-784e-4f00-a2ac-1048c428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823F9-56BA-445F-864D-38022CECEC30}">
  <ds:schemaRefs>
    <ds:schemaRef ds:uri="http://purl.org/dc/terms/"/>
    <ds:schemaRef ds:uri="http://www.w3.org/XML/1998/namespace"/>
    <ds:schemaRef ds:uri="http://schemas.microsoft.com/office/2006/documentManagement/types"/>
    <ds:schemaRef ds:uri="e5121de5-bb42-46d1-8fc1-e8c07162e232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a35c652-784e-4f00-a2ac-1048c4280bb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597A99-4119-487E-A717-4BBAFDE14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50C25-7144-4792-9C9A-B72A229C5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6591</Characters>
  <Application>Microsoft Office Word</Application>
  <DocSecurity>0</DocSecurity>
  <Lines>54</Lines>
  <Paragraphs>15</Paragraphs>
  <ScaleCrop>false</ScaleCrop>
  <Company>Department of Environmental Quality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brauch</dc:creator>
  <cp:keywords/>
  <cp:lastModifiedBy>Elizabeth McCaskill</cp:lastModifiedBy>
  <cp:revision>6</cp:revision>
  <cp:lastPrinted>2015-12-07T23:56:00Z</cp:lastPrinted>
  <dcterms:created xsi:type="dcterms:W3CDTF">2025-10-17T15:16:00Z</dcterms:created>
  <dcterms:modified xsi:type="dcterms:W3CDTF">2025-10-29T15:58:00Z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  <property fmtid="{D5CDD505-2E9C-101B-9397-08002B2CF9AE}" pid="3" name="Order">
    <vt:r8>315400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