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A0" w:rsidRDefault="003158A4">
      <w:pPr>
        <w:jc w:val="center"/>
        <w:rPr>
          <w:rFonts w:cs="Gill Sans MT"/>
          <w:b/>
          <w:bCs/>
          <w:u w:val="single"/>
        </w:rPr>
      </w:pPr>
      <w:r>
        <w:rPr>
          <w:noProof/>
        </w:rPr>
        <mc:AlternateContent>
          <mc:Choice Requires="wps">
            <w:drawing>
              <wp:anchor distT="0" distB="0" distL="114300" distR="114300" simplePos="0" relativeHeight="251656192" behindDoc="0" locked="0" layoutInCell="1" allowOverlap="1">
                <wp:simplePos x="0" y="0"/>
                <wp:positionH relativeFrom="column">
                  <wp:posOffset>120015</wp:posOffset>
                </wp:positionH>
                <wp:positionV relativeFrom="paragraph">
                  <wp:posOffset>147320</wp:posOffset>
                </wp:positionV>
                <wp:extent cx="6063615" cy="0"/>
                <wp:effectExtent l="15240" t="13970" r="17145" b="1460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11.6pt" to="486.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3eEwIAACo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TLMFKk&#10;B42eheJoFlozGFdCRK22NhRHT+rFPGv63SGl646oPY8UX88G0rKQkbxJCRtn4ILd8FkziCEHr2Of&#10;Tq3tAyR0AJ2iHOebHPzkEYXDIi0eimyOER19CSnHRGOd/8R1j4JRYQmcIzA5PjsfiJByDAn3KL0R&#10;Uka1pUJDhWfzPE1jhtNSsOANcc7ud7W06EjCwMQvlgWe+zCrD4pFtI4Ttr7angh5seF2qQIe1AJ8&#10;rtZlIn48po/rxXqRT/JZsZ7kadNMPm7qfFJssg/z5qGp6yb7GahledkJxrgK7MbpzPK/U//6Ti5z&#10;dZvPWx+St+ixYUB2/EfSUcyg32USdpqdt3YUGQYyBl8fT5j4+z3Y90989QsAAP//AwBQSwMEFAAG&#10;AAgAAAAhACYtsZLcAAAACAEAAA8AAABkcnMvZG93bnJldi54bWxMj81OwzAQhO9IvIO1SNyoQyrR&#10;NMSpUFXUA5cSkLhuYhNH8U+w3Ta8PYs40OPsjGa/qTazNeykQhy8E3C/yIAp13k5uF7A+9vzXQEs&#10;JnQSjXdKwLeKsKmvryospT+7V3VqUs+oxMUSBeiUppLz2GllMS78pBx5nz5YTCRDz2XAM5Vbw/Ms&#10;e+AWB0cfNE5qq1U3NkcrwOzaORSHsdH7w8v49bHD/WqLQtzezE+PwJKa038YfvEJHWpiav3RycgM&#10;6WJNSQH5MgdG/nq1pCnt34HXFb8cUP8AAAD//wMAUEsBAi0AFAAGAAgAAAAhALaDOJL+AAAA4QEA&#10;ABMAAAAAAAAAAAAAAAAAAAAAAFtDb250ZW50X1R5cGVzXS54bWxQSwECLQAUAAYACAAAACEAOP0h&#10;/9YAAACUAQAACwAAAAAAAAAAAAAAAAAvAQAAX3JlbHMvLnJlbHNQSwECLQAUAAYACAAAACEADWHN&#10;3hMCAAAqBAAADgAAAAAAAAAAAAAAAAAuAgAAZHJzL2Uyb0RvYy54bWxQSwECLQAUAAYACAAAACEA&#10;Ji2xktwAAAAIAQAADwAAAAAAAAAAAAAAAABtBAAAZHJzL2Rvd25yZXYueG1sUEsFBgAAAAAEAAQA&#10;8wAAAHYFAAAAAA==&#10;" strokeweight="2pt"/>
            </w:pict>
          </mc:Fallback>
        </mc:AlternateContent>
      </w:r>
      <w:r>
        <w:rPr>
          <w:noProof/>
        </w:rPr>
        <mc:AlternateContent>
          <mc:Choice Requires="wps">
            <w:drawing>
              <wp:anchor distT="0" distB="0" distL="114300" distR="114300" simplePos="0" relativeHeight="251655168" behindDoc="0" locked="0" layoutInCell="0" allowOverlap="1">
                <wp:simplePos x="0" y="0"/>
                <wp:positionH relativeFrom="column">
                  <wp:posOffset>0</wp:posOffset>
                </wp:positionH>
                <wp:positionV relativeFrom="paragraph">
                  <wp:posOffset>91440</wp:posOffset>
                </wp:positionV>
                <wp:extent cx="6400800" cy="0"/>
                <wp:effectExtent l="19050" t="15240" r="19050" b="1333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7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3SEgIAACo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SD9ijS&#10;gUZboTh6CK3pjSsgolI7G4qjZ/Vitpp+d0jpqiXqwCPF14uBtCxkJG9SwsYZuGDff9YMYsjR69in&#10;c2O7AAkdQOcox+UmBz97ROFwnqfpIgVadPQlpBgTjXX+E9cdCkaJJXCOwOS0dT4QIcUYEu5ReiOk&#10;jGpLhfoSzx4BPWY4LQUL3hDn7GFfSYtOJAxM/GJZ4LkPs/qoWERrOWHrwfZEyKsNt0sV8KAW4DNY&#10;14n48ZQ+rRfrRT7JZ/P1JE/revJxU+WT+Sb78Fg/1FVVZz8DtSwvWsEYV4HdOJ1Z/nfqD+/kOle3&#10;+bz1IXmLHhsGZMd/JB3FDPpdJ2Gv2WVnR5FhIGPw8HjCxN/vwb5/4qtfAAAA//8DAFBLAwQUAAYA&#10;CAAAACEAA5hyN9oAAAAHAQAADwAAAGRycy9kb3ducmV2LnhtbEyPwU7DMAyG70i8Q2QkbiwBTVCV&#10;phOahnbgMgoSV7cJTdXEKUm2dW+/TBzg6O+3fn+uVrOz7KBDHDxJuF8IYJo6rwbqJXx+vN4VwGJC&#10;Umg9aQknHWFVX19VWCp/pHd9aFLPcgnFEiWYlKaS89gZ7TAu/KQpZ98+OEx5DD1XAY+53Fn+IMQj&#10;dzhQvmBw0muju7HZOwl2086h2I2N2e7exp+vDW6f1ijl7c388gws6Tn9LcNFP6tDnZ1avycVmZWQ&#10;H0mZLpfALqkQRSbtL+F1xf/712cAAAD//wMAUEsBAi0AFAAGAAgAAAAhALaDOJL+AAAA4QEAABMA&#10;AAAAAAAAAAAAAAAAAAAAAFtDb250ZW50X1R5cGVzXS54bWxQSwECLQAUAAYACAAAACEAOP0h/9YA&#10;AACUAQAACwAAAAAAAAAAAAAAAAAvAQAAX3JlbHMvLnJlbHNQSwECLQAUAAYACAAAACEAnom90hIC&#10;AAAqBAAADgAAAAAAAAAAAAAAAAAuAgAAZHJzL2Uyb0RvYy54bWxQSwECLQAUAAYACAAAACEAA5hy&#10;N9oAAAAHAQAADwAAAAAAAAAAAAAAAABsBAAAZHJzL2Rvd25yZXYueG1sUEsFBgAAAAAEAAQA8wAA&#10;AHMFAAAAAA==&#10;" o:allowincell="f" strokeweight="2pt"/>
            </w:pict>
          </mc:Fallback>
        </mc:AlternateContent>
      </w:r>
    </w:p>
    <w:p w:rsidR="00FA40A0" w:rsidRDefault="00FA40A0">
      <w:pPr>
        <w:jc w:val="center"/>
        <w:rPr>
          <w:rFonts w:cs="Gill Sans MT"/>
        </w:rPr>
      </w:pPr>
    </w:p>
    <w:p w:rsidR="00FA40A0" w:rsidRDefault="00FA40A0">
      <w:pPr>
        <w:jc w:val="center"/>
        <w:rPr>
          <w:rFonts w:cs="Gill Sans MT"/>
          <w:b/>
          <w:bCs/>
          <w:sz w:val="44"/>
          <w:szCs w:val="44"/>
        </w:rPr>
      </w:pPr>
    </w:p>
    <w:p w:rsidR="00FA40A0" w:rsidRDefault="00FA40A0">
      <w:pPr>
        <w:jc w:val="center"/>
        <w:rPr>
          <w:rFonts w:cs="Gill Sans MT"/>
          <w:b/>
          <w:bCs/>
          <w:sz w:val="44"/>
          <w:szCs w:val="44"/>
        </w:rPr>
      </w:pPr>
      <w:smartTag w:uri="urn:schemas-microsoft-com:office:smarttags" w:element="State">
        <w:smartTag w:uri="urn:schemas-microsoft-com:office:smarttags" w:element="place">
          <w:r>
            <w:rPr>
              <w:rFonts w:cs="Gill Sans MT"/>
              <w:b/>
              <w:bCs/>
              <w:sz w:val="44"/>
              <w:szCs w:val="44"/>
            </w:rPr>
            <w:t>Oklahoma</w:t>
          </w:r>
        </w:smartTag>
      </w:smartTag>
      <w:r>
        <w:rPr>
          <w:rFonts w:cs="Gill Sans MT"/>
          <w:b/>
          <w:bCs/>
          <w:sz w:val="44"/>
          <w:szCs w:val="44"/>
        </w:rPr>
        <w:t>’s State Plan</w:t>
      </w:r>
    </w:p>
    <w:p w:rsidR="00FA40A0" w:rsidRDefault="00FA40A0">
      <w:pPr>
        <w:jc w:val="center"/>
        <w:rPr>
          <w:rFonts w:cs="Gill Sans MT"/>
          <w:b/>
          <w:bCs/>
          <w:sz w:val="44"/>
          <w:szCs w:val="44"/>
        </w:rPr>
      </w:pPr>
      <w:r>
        <w:rPr>
          <w:rFonts w:cs="Gill Sans MT"/>
          <w:b/>
          <w:bCs/>
          <w:sz w:val="44"/>
          <w:szCs w:val="44"/>
        </w:rPr>
        <w:t>For the Improvement of</w:t>
      </w:r>
    </w:p>
    <w:p w:rsidR="00FA40A0" w:rsidRDefault="00FA40A0">
      <w:pPr>
        <w:jc w:val="center"/>
        <w:rPr>
          <w:rFonts w:cs="Gill Sans MT"/>
          <w:b/>
          <w:bCs/>
          <w:sz w:val="44"/>
          <w:szCs w:val="44"/>
        </w:rPr>
      </w:pPr>
      <w:r>
        <w:rPr>
          <w:rFonts w:cs="Gill Sans MT"/>
          <w:b/>
          <w:bCs/>
          <w:sz w:val="44"/>
          <w:szCs w:val="44"/>
        </w:rPr>
        <w:t xml:space="preserve">Forensic Science </w:t>
      </w:r>
    </w:p>
    <w:p w:rsidR="00FA40A0" w:rsidRDefault="00FA40A0">
      <w:pPr>
        <w:jc w:val="center"/>
        <w:rPr>
          <w:rFonts w:cs="Gill Sans MT"/>
          <w:b/>
          <w:bCs/>
          <w:sz w:val="44"/>
          <w:szCs w:val="44"/>
        </w:rPr>
      </w:pPr>
      <w:r>
        <w:rPr>
          <w:rFonts w:cs="Gill Sans MT"/>
          <w:b/>
          <w:bCs/>
          <w:sz w:val="44"/>
          <w:szCs w:val="44"/>
        </w:rPr>
        <w:t xml:space="preserve">and Toxicology Medical Examiner Services </w:t>
      </w:r>
    </w:p>
    <w:p w:rsidR="00FA40A0" w:rsidRDefault="00FA40A0">
      <w:pPr>
        <w:jc w:val="center"/>
        <w:rPr>
          <w:rFonts w:cs="Gill Sans MT"/>
          <w:b/>
          <w:bCs/>
          <w:sz w:val="44"/>
          <w:szCs w:val="44"/>
        </w:rPr>
      </w:pPr>
      <w:r w:rsidRPr="00327479">
        <w:rPr>
          <w:rFonts w:cs="Gill Sans MT"/>
          <w:b/>
          <w:bCs/>
          <w:sz w:val="44"/>
          <w:szCs w:val="44"/>
        </w:rPr>
        <w:t>2010</w:t>
      </w:r>
    </w:p>
    <w:p w:rsidR="00FA40A0" w:rsidRDefault="00FA40A0">
      <w:pPr>
        <w:jc w:val="center"/>
        <w:rPr>
          <w:rFonts w:cs="Gill Sans MT"/>
          <w:b/>
          <w:bCs/>
        </w:rPr>
      </w:pPr>
    </w:p>
    <w:p w:rsidR="00FA40A0" w:rsidRDefault="00FA40A0">
      <w:pPr>
        <w:jc w:val="center"/>
        <w:rPr>
          <w:rFonts w:cs="Gill Sans MT"/>
          <w:b/>
          <w:bCs/>
        </w:rPr>
      </w:pPr>
    </w:p>
    <w:p w:rsidR="00FA40A0" w:rsidRDefault="00731DB1">
      <w:pPr>
        <w:jc w:val="center"/>
        <w:rPr>
          <w:rFonts w:cs="Gill Sans MT"/>
          <w:b/>
          <w:bCs/>
        </w:rPr>
      </w:pPr>
      <w:r>
        <w:rPr>
          <w:noProof/>
        </w:rPr>
        <w:drawing>
          <wp:inline distT="0" distB="0" distL="0" distR="0">
            <wp:extent cx="1866900" cy="1905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66900" cy="1905000"/>
                    </a:xfrm>
                    <a:prstGeom prst="rect">
                      <a:avLst/>
                    </a:prstGeom>
                    <a:noFill/>
                    <a:ln w="9525">
                      <a:noFill/>
                      <a:miter lim="800000"/>
                      <a:headEnd/>
                      <a:tailEnd/>
                    </a:ln>
                  </pic:spPr>
                </pic:pic>
              </a:graphicData>
            </a:graphic>
          </wp:inline>
        </w:drawing>
      </w: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sz w:val="32"/>
          <w:szCs w:val="32"/>
        </w:rPr>
      </w:pPr>
      <w:r>
        <w:rPr>
          <w:rFonts w:cs="Gill Sans MT"/>
          <w:sz w:val="32"/>
          <w:szCs w:val="32"/>
        </w:rPr>
        <w:t>Oklahoma District Attorneys Council</w:t>
      </w:r>
    </w:p>
    <w:p w:rsidR="00FA40A0" w:rsidRDefault="00FA40A0">
      <w:pPr>
        <w:jc w:val="center"/>
        <w:rPr>
          <w:rFonts w:cs="Gill Sans MT"/>
          <w:sz w:val="32"/>
          <w:szCs w:val="32"/>
        </w:rPr>
      </w:pPr>
      <w:smartTag w:uri="urn:schemas-microsoft-com:office:smarttags" w:element="Street">
        <w:smartTag w:uri="urn:schemas-microsoft-com:office:smarttags" w:element="address">
          <w:r>
            <w:rPr>
              <w:rFonts w:cs="Gill Sans MT"/>
              <w:sz w:val="32"/>
              <w:szCs w:val="32"/>
            </w:rPr>
            <w:t>421 N.W. 13</w:t>
          </w:r>
          <w:r>
            <w:rPr>
              <w:rFonts w:cs="Gill Sans MT"/>
              <w:sz w:val="32"/>
              <w:szCs w:val="32"/>
              <w:vertAlign w:val="superscript"/>
            </w:rPr>
            <w:t>th</w:t>
          </w:r>
          <w:r>
            <w:rPr>
              <w:rFonts w:cs="Gill Sans MT"/>
              <w:sz w:val="32"/>
              <w:szCs w:val="32"/>
            </w:rPr>
            <w:t xml:space="preserve"> Street</w:t>
          </w:r>
        </w:smartTag>
      </w:smartTag>
    </w:p>
    <w:p w:rsidR="00FA40A0" w:rsidRDefault="00FA40A0">
      <w:pPr>
        <w:jc w:val="center"/>
        <w:rPr>
          <w:rFonts w:cs="Gill Sans MT"/>
          <w:sz w:val="32"/>
          <w:szCs w:val="32"/>
        </w:rPr>
      </w:pPr>
      <w:smartTag w:uri="urn:schemas-microsoft-com:office:smarttags" w:element="Street">
        <w:smartTag w:uri="urn:schemas-microsoft-com:office:smarttags" w:element="address">
          <w:smartTag w:uri="urn:schemas-microsoft-com:office:smarttags" w:element="Street">
            <w:smartTag w:uri="urn:schemas-microsoft-com:office:smarttags" w:element="address">
              <w:r>
                <w:rPr>
                  <w:rFonts w:cs="Gill Sans MT"/>
                  <w:sz w:val="32"/>
                  <w:szCs w:val="32"/>
                </w:rPr>
                <w:t>Suite</w:t>
              </w:r>
            </w:smartTag>
          </w:smartTag>
          <w:r>
            <w:rPr>
              <w:rFonts w:cs="Gill Sans MT"/>
              <w:sz w:val="32"/>
              <w:szCs w:val="32"/>
            </w:rPr>
            <w:t xml:space="preserve"> 290</w:t>
          </w:r>
        </w:smartTag>
      </w:smartTag>
    </w:p>
    <w:p w:rsidR="00FA40A0" w:rsidRDefault="00FA40A0">
      <w:pPr>
        <w:jc w:val="center"/>
        <w:rPr>
          <w:rFonts w:cs="Gill Sans MT"/>
          <w:sz w:val="32"/>
          <w:szCs w:val="32"/>
        </w:rPr>
      </w:pPr>
      <w:smartTag w:uri="urn:schemas-microsoft-com:office:smarttags" w:element="City">
        <w:smartTag w:uri="urn:schemas-microsoft-com:office:smarttags" w:element="place">
          <w:r>
            <w:rPr>
              <w:rFonts w:cs="Gill Sans MT"/>
              <w:sz w:val="32"/>
              <w:szCs w:val="32"/>
            </w:rPr>
            <w:t>Oklahoma City</w:t>
          </w:r>
        </w:smartTag>
        <w:r>
          <w:rPr>
            <w:rFonts w:cs="Gill Sans MT"/>
            <w:sz w:val="32"/>
            <w:szCs w:val="32"/>
          </w:rPr>
          <w:t xml:space="preserve">, </w:t>
        </w:r>
        <w:smartTag w:uri="urn:schemas-microsoft-com:office:smarttags" w:element="State">
          <w:r>
            <w:rPr>
              <w:rFonts w:cs="Gill Sans MT"/>
              <w:sz w:val="32"/>
              <w:szCs w:val="32"/>
            </w:rPr>
            <w:t>Oklahoma</w:t>
          </w:r>
        </w:smartTag>
      </w:smartTag>
    </w:p>
    <w:p w:rsidR="00FA40A0" w:rsidRDefault="00FA40A0">
      <w:pPr>
        <w:jc w:val="center"/>
        <w:rPr>
          <w:rFonts w:cs="Gill Sans MT"/>
          <w:sz w:val="32"/>
          <w:szCs w:val="32"/>
        </w:rPr>
      </w:pPr>
      <w:r>
        <w:rPr>
          <w:rFonts w:cs="Gill Sans MT"/>
          <w:sz w:val="32"/>
          <w:szCs w:val="32"/>
        </w:rPr>
        <w:t>405/264-5008</w:t>
      </w:r>
    </w:p>
    <w:p w:rsidR="00FA40A0" w:rsidRDefault="00FA40A0">
      <w:pPr>
        <w:jc w:val="center"/>
        <w:rPr>
          <w:rFonts w:cs="Gill Sans MT"/>
          <w:sz w:val="32"/>
          <w:szCs w:val="32"/>
        </w:rPr>
      </w:pPr>
      <w:r>
        <w:rPr>
          <w:rFonts w:cs="Gill Sans MT"/>
          <w:sz w:val="32"/>
          <w:szCs w:val="32"/>
        </w:rPr>
        <w:t>405/264-5095 (fax)</w:t>
      </w: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3158A4">
      <w:pPr>
        <w:jc w:val="center"/>
        <w:rPr>
          <w:rFonts w:cs="Gill Sans MT"/>
          <w:sz w:val="32"/>
          <w:szCs w:val="32"/>
        </w:rPr>
      </w:pPr>
      <w:r>
        <w:rPr>
          <w:noProof/>
        </w:rPr>
        <mc:AlternateContent>
          <mc:Choice Requires="wps">
            <w:drawing>
              <wp:anchor distT="0" distB="0" distL="114300" distR="114300" simplePos="0" relativeHeight="251657216" behindDoc="0" locked="0" layoutInCell="1" allowOverlap="1">
                <wp:simplePos x="0" y="0"/>
                <wp:positionH relativeFrom="column">
                  <wp:posOffset>196215</wp:posOffset>
                </wp:positionH>
                <wp:positionV relativeFrom="paragraph">
                  <wp:posOffset>521970</wp:posOffset>
                </wp:positionV>
                <wp:extent cx="5867400" cy="0"/>
                <wp:effectExtent l="15240" t="17145" r="13335" b="2095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41.1pt" to="477.4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rPEA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FRop0&#10;INFWKI7y0JneuAICKrWzoTZ6Vs9mq+kPh5SuWqIOPDJ8uRhIy0JG8iYlbJwB/H3/VTOIIUevY5vO&#10;je0CJDQAnaMal7sa/OwRhcPpfPaQpyAaHXwJKYZEY53/wnWHglFiCZwjMDltnQ9ESDGEhHuU3ggp&#10;o9hSob7Ek2mADi6npWDBGzf2sK+kRScS5iV+sax3YVYfFYtoLSdsfbM9EfJqw+1SBTyoBfjcrOtA&#10;/Fyki/V8Pc9H+WS2HuVpXY8+b6p8NNtkD9P6U11VdfYrUMvyohWMcRXYDcOZ5X8n/u2ZXMfqPp73&#10;PiRv0WPDgOzwj6SjmEG/6yTsNbvs7CAyzGMMvr2dMPCv92C/fuGr3wAAAP//AwBQSwMEFAAGAAgA&#10;AAAhALwy7o7cAAAACAEAAA8AAABkcnMvZG93bnJldi54bWxMj0tPwzAQhO9I/AdrkbhRh/BKQ5wK&#10;VUU9cCkBiesmXuIofgTbbcO/x6gHOO7MaPabajUbzQ7kw+CsgOtFBoxs5+RgewHvb89XBbAQ0UrU&#10;zpKAbwqwqs/PKiylO9pXOjSxZ6nEhhIFqBinkvPQKTIYFm4im7xP5w3GdPqeS4/HVG40z7Psnhsc&#10;bPqgcKK1om5s9kaA3rSzL3Zjo7a7l/HrY4PbhzUKcXkxPz0CizTHvzD84id0qBNT6/ZWBqYF3GTL&#10;lBRQ5Dmw5C/vbpPQngReV/z/gPoHAAD//wMAUEsBAi0AFAAGAAgAAAAhALaDOJL+AAAA4QEAABMA&#10;AAAAAAAAAAAAAAAAAAAAAFtDb250ZW50X1R5cGVzXS54bWxQSwECLQAUAAYACAAAACEAOP0h/9YA&#10;AACUAQAACwAAAAAAAAAAAAAAAAAvAQAAX3JlbHMvLnJlbHNQSwECLQAUAAYACAAAACEAedqqzxAC&#10;AAApBAAADgAAAAAAAAAAAAAAAAAuAgAAZHJzL2Uyb0RvYy54bWxQSwECLQAUAAYACAAAACEAvDLu&#10;jtwAAAAIAQAADwAAAAAAAAAAAAAAAABqBAAAZHJzL2Rvd25yZXYueG1sUEsFBgAAAAAEAAQA8wAA&#10;AHMFAAAAAA==&#10;" strokeweight="2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598170</wp:posOffset>
                </wp:positionV>
                <wp:extent cx="6400800" cy="0"/>
                <wp:effectExtent l="15240" t="17145" r="13335" b="2095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7.1pt" to="495.4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jvEQIAACkEAAAOAAAAZHJzL2Uyb0RvYy54bWysU8GO2jAQvVfqP1i+QxIaKB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KzEIpUgH&#10;Em2E4mgaOtMbV0BApbY21EZP6tlsNP3pkNJVS9SeR4YvZwNpWchIXqWEjTOAv+u/aQYx5OB1bNOp&#10;sV2AhAagU1TjfFODnzyicDjL03Segmh08CWkGBKNdf4r1x0KRoklcI7A5LhxPhAhxRAS7lF6LaSM&#10;YkuF+hJPpoAeM5yWggVviHN2v6ukRUcS5iV+sSzw3IdZfVAsorWcsNXV9kTIiw23SxXwoBbgc7Uu&#10;A/HrIX1YzVfzfJRPZqtRntb16Mu6ykezdfZ5Wn+qq6rOfgdqWV60gjGuArthOLP8/8S/PpPLWN3G&#10;89aH5DV6bBiQHf6RdBQz6HeZhJ1m560dRIZ5jMHXtxMG/n4P9v0LX/4BAAD//wMAUEsDBBQABgAI&#10;AAAAIQB1fxJ63gAAAAkBAAAPAAAAZHJzL2Rvd25yZXYueG1sTI/LTsMwEEX3SPyDNUjsWicVok2I&#10;U6GqqAs2JSCxncRDHMWPYLtt+HuMWMByZo7unFttZ6PZmXwYnBWQLzNgZDsnB9sLeHt9WmyAhYhW&#10;onaWBHxRgG19fVVhKd3FvtC5iT1LITaUKEDFOJWch06RwbB0E9l0+3DeYEyj77n0eEnhRvNVlt1z&#10;g4NNHxROtFPUjc3JCND7dvab49iow/F5/Hzf42G9QyFub+bHB2CR5vgHw49+Uoc6ObXuZGVgWsAi&#10;X+cJFVDcrYAloCiyAlj7u+B1xf83qL8BAAD//wMAUEsBAi0AFAAGAAgAAAAhALaDOJL+AAAA4QEA&#10;ABMAAAAAAAAAAAAAAAAAAAAAAFtDb250ZW50X1R5cGVzXS54bWxQSwECLQAUAAYACAAAACEAOP0h&#10;/9YAAACUAQAACwAAAAAAAAAAAAAAAAAvAQAAX3JlbHMvLnJlbHNQSwECLQAUAAYACAAAACEAl/Ko&#10;7xECAAApBAAADgAAAAAAAAAAAAAAAAAuAgAAZHJzL2Uyb0RvYy54bWxQSwECLQAUAAYACAAAACEA&#10;dX8Set4AAAAJAQAADwAAAAAAAAAAAAAAAABrBAAAZHJzL2Rvd25yZXYueG1sUEsFBgAAAAAEAAQA&#10;8wAAAHYFAAAAAA==&#10;" strokeweight="2pt"/>
            </w:pict>
          </mc:Fallback>
        </mc:AlternateContent>
      </w:r>
    </w:p>
    <w:p w:rsidR="00FA40A0" w:rsidRPr="00992713" w:rsidRDefault="00FA40A0">
      <w:pPr>
        <w:jc w:val="center"/>
        <w:rPr>
          <w:rFonts w:cs="Gill Sans MT"/>
          <w:b/>
          <w:bCs/>
          <w:sz w:val="25"/>
          <w:szCs w:val="25"/>
        </w:rPr>
      </w:pPr>
      <w:r>
        <w:rPr>
          <w:rFonts w:cs="Gill Sans MT"/>
          <w:b/>
          <w:bCs/>
          <w:u w:val="single"/>
        </w:rPr>
        <w:br w:type="page"/>
      </w:r>
      <w:r w:rsidR="00DD02CF" w:rsidRPr="00992713">
        <w:rPr>
          <w:rFonts w:cs="Gill Sans MT"/>
          <w:b/>
          <w:bCs/>
          <w:sz w:val="25"/>
          <w:szCs w:val="25"/>
        </w:rPr>
        <w:lastRenderedPageBreak/>
        <w:t>TABLE OF CONTENTS</w:t>
      </w:r>
    </w:p>
    <w:p w:rsidR="00FA40A0" w:rsidRDefault="00FA40A0">
      <w:pPr>
        <w:jc w:val="center"/>
        <w:rPr>
          <w:rFonts w:cs="Gill Sans MT"/>
          <w:b/>
          <w:bCs/>
          <w:sz w:val="25"/>
          <w:szCs w:val="25"/>
          <w:u w:val="single"/>
        </w:rPr>
      </w:pPr>
    </w:p>
    <w:p w:rsidR="00FA40A0" w:rsidRDefault="00FA40A0" w:rsidP="00882874">
      <w:pPr>
        <w:tabs>
          <w:tab w:val="right" w:leader="dot" w:pos="8597"/>
        </w:tabs>
        <w:rPr>
          <w:rFonts w:cs="Gill Sans MT"/>
          <w:sz w:val="25"/>
          <w:szCs w:val="25"/>
        </w:rPr>
      </w:pPr>
      <w:r w:rsidRPr="00FB30DD">
        <w:rPr>
          <w:rFonts w:cs="Gill Sans MT"/>
          <w:sz w:val="25"/>
          <w:szCs w:val="25"/>
        </w:rPr>
        <w:t>Purpose</w:t>
      </w:r>
      <w:r w:rsidRPr="00FB30DD">
        <w:rPr>
          <w:rFonts w:cs="Gill Sans MT"/>
          <w:sz w:val="25"/>
          <w:szCs w:val="25"/>
        </w:rPr>
        <w:tab/>
        <w:t>3</w:t>
      </w:r>
    </w:p>
    <w:p w:rsidR="00FA40A0" w:rsidRPr="00FB30DD" w:rsidRDefault="00FA40A0" w:rsidP="0090638B">
      <w:pPr>
        <w:tabs>
          <w:tab w:val="right" w:leader="dot" w:pos="8597"/>
        </w:tabs>
        <w:rPr>
          <w:rFonts w:cs="Gill Sans MT"/>
          <w:sz w:val="25"/>
          <w:szCs w:val="25"/>
        </w:rPr>
      </w:pPr>
    </w:p>
    <w:p w:rsidR="00FA40A0" w:rsidRPr="009D6AE2" w:rsidRDefault="00FA40A0" w:rsidP="0090638B">
      <w:pPr>
        <w:tabs>
          <w:tab w:val="right" w:leader="dot" w:pos="8597"/>
        </w:tabs>
        <w:rPr>
          <w:rFonts w:cs="Gill Sans MT"/>
          <w:sz w:val="25"/>
          <w:szCs w:val="25"/>
        </w:rPr>
      </w:pPr>
      <w:r w:rsidRPr="009D6AE2">
        <w:rPr>
          <w:rFonts w:cs="Gill Sans MT"/>
          <w:sz w:val="25"/>
          <w:szCs w:val="25"/>
        </w:rPr>
        <w:t xml:space="preserve">Overview of Forensic Science Laboratories in </w:t>
      </w:r>
      <w:smartTag w:uri="urn:schemas-microsoft-com:office:smarttags" w:element="State">
        <w:smartTag w:uri="urn:schemas-microsoft-com:office:smarttags" w:element="place">
          <w:r w:rsidRPr="009D6AE2">
            <w:rPr>
              <w:rFonts w:cs="Gill Sans MT"/>
              <w:sz w:val="25"/>
              <w:szCs w:val="25"/>
            </w:rPr>
            <w:t>Oklahoma</w:t>
          </w:r>
        </w:smartTag>
      </w:smartTag>
      <w:r>
        <w:rPr>
          <w:rFonts w:cs="Gill Sans MT"/>
          <w:sz w:val="25"/>
          <w:szCs w:val="25"/>
        </w:rPr>
        <w:tab/>
      </w:r>
      <w:r w:rsidRPr="009D6AE2">
        <w:rPr>
          <w:rFonts w:cs="Gill Sans MT"/>
          <w:sz w:val="25"/>
          <w:szCs w:val="25"/>
        </w:rPr>
        <w:t>3</w:t>
      </w:r>
    </w:p>
    <w:p w:rsidR="00FA40A0" w:rsidRPr="00FB30DD" w:rsidRDefault="00FA40A0" w:rsidP="0090638B">
      <w:pPr>
        <w:tabs>
          <w:tab w:val="right" w:leader="dot" w:pos="8597"/>
        </w:tabs>
        <w:rPr>
          <w:rFonts w:cs="Gill Sans MT"/>
          <w:sz w:val="26"/>
          <w:szCs w:val="26"/>
        </w:rPr>
      </w:pPr>
    </w:p>
    <w:p w:rsidR="00FA40A0" w:rsidRPr="00FB30DD" w:rsidRDefault="00FA40A0" w:rsidP="0090638B">
      <w:pPr>
        <w:tabs>
          <w:tab w:val="right" w:leader="dot" w:pos="8597"/>
        </w:tabs>
        <w:rPr>
          <w:rFonts w:cs="Gill Sans MT"/>
          <w:sz w:val="25"/>
          <w:szCs w:val="25"/>
        </w:rPr>
      </w:pPr>
      <w:r w:rsidRPr="009D6AE2">
        <w:rPr>
          <w:rFonts w:cs="Gill Sans MT"/>
          <w:sz w:val="25"/>
          <w:szCs w:val="25"/>
        </w:rPr>
        <w:t>Coverdell Forensic Science Impr</w:t>
      </w:r>
      <w:r>
        <w:rPr>
          <w:rFonts w:cs="Gill Sans MT"/>
          <w:sz w:val="25"/>
          <w:szCs w:val="25"/>
        </w:rPr>
        <w:t>ovement Grant Program</w:t>
      </w:r>
      <w:r>
        <w:rPr>
          <w:rFonts w:cs="Gill Sans MT"/>
          <w:sz w:val="25"/>
          <w:szCs w:val="25"/>
        </w:rPr>
        <w:tab/>
      </w:r>
      <w:r w:rsidRPr="009D6AE2">
        <w:rPr>
          <w:rFonts w:cs="Gill Sans MT"/>
          <w:sz w:val="25"/>
          <w:szCs w:val="25"/>
        </w:rPr>
        <w:t>4</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Organizational Structure</w:t>
      </w:r>
      <w:r w:rsidRPr="00FB30DD">
        <w:rPr>
          <w:rFonts w:cs="Gill Sans MT"/>
          <w:sz w:val="25"/>
          <w:szCs w:val="25"/>
        </w:rPr>
        <w:tab/>
      </w:r>
      <w:r w:rsidR="006970CC">
        <w:rPr>
          <w:rFonts w:cs="Gill Sans MT"/>
          <w:sz w:val="25"/>
          <w:szCs w:val="25"/>
        </w:rPr>
        <w:t>5</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Problem Identification</w:t>
      </w:r>
      <w:r w:rsidRPr="00FB30DD">
        <w:rPr>
          <w:rFonts w:cs="Gill Sans MT"/>
          <w:sz w:val="25"/>
          <w:szCs w:val="25"/>
        </w:rPr>
        <w:tab/>
      </w:r>
      <w:r w:rsidR="002144AA">
        <w:rPr>
          <w:rFonts w:cs="Gill Sans MT"/>
          <w:sz w:val="25"/>
          <w:szCs w:val="25"/>
        </w:rPr>
        <w:t>7</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Maint</w:t>
      </w:r>
      <w:r>
        <w:rPr>
          <w:rFonts w:cs="Gill Sans MT"/>
          <w:sz w:val="25"/>
          <w:szCs w:val="25"/>
        </w:rPr>
        <w:t>aining Accreditation</w:t>
      </w:r>
      <w:r>
        <w:rPr>
          <w:rFonts w:cs="Gill Sans MT"/>
          <w:sz w:val="25"/>
          <w:szCs w:val="25"/>
        </w:rPr>
        <w:tab/>
      </w:r>
      <w:r w:rsidR="002144AA">
        <w:rPr>
          <w:rFonts w:cs="Gill Sans MT"/>
          <w:sz w:val="25"/>
          <w:szCs w:val="25"/>
        </w:rPr>
        <w:t>8</w:t>
      </w:r>
    </w:p>
    <w:p w:rsidR="00FA40A0" w:rsidRPr="00FB30DD" w:rsidRDefault="00FA40A0" w:rsidP="0090638B">
      <w:pPr>
        <w:tabs>
          <w:tab w:val="right" w:leader="dot" w:pos="8597"/>
        </w:tabs>
        <w:rPr>
          <w:rFonts w:cs="Gill Sans MT"/>
          <w:sz w:val="25"/>
          <w:szCs w:val="25"/>
        </w:rPr>
      </w:pPr>
    </w:p>
    <w:p w:rsidR="00FA40A0" w:rsidRPr="00FB30DD" w:rsidRDefault="00FA40A0" w:rsidP="00882874">
      <w:pPr>
        <w:tabs>
          <w:tab w:val="right" w:leader="dot" w:pos="8597"/>
        </w:tabs>
        <w:rPr>
          <w:rFonts w:cs="Gill Sans MT"/>
          <w:sz w:val="25"/>
          <w:szCs w:val="25"/>
        </w:rPr>
      </w:pPr>
      <w:r w:rsidRPr="00FB30DD">
        <w:rPr>
          <w:rFonts w:cs="Gill Sans MT"/>
          <w:sz w:val="25"/>
          <w:szCs w:val="25"/>
        </w:rPr>
        <w:t>Recru</w:t>
      </w:r>
      <w:r>
        <w:rPr>
          <w:rFonts w:cs="Gill Sans MT"/>
          <w:sz w:val="25"/>
          <w:szCs w:val="25"/>
        </w:rPr>
        <w:t>iting and Maintaining Personnel</w:t>
      </w:r>
      <w:r>
        <w:rPr>
          <w:rFonts w:cs="Gill Sans MT"/>
          <w:sz w:val="25"/>
          <w:szCs w:val="25"/>
        </w:rPr>
        <w:tab/>
      </w:r>
      <w:r w:rsidRPr="00FB30DD">
        <w:rPr>
          <w:rFonts w:cs="Gill Sans MT"/>
          <w:sz w:val="25"/>
          <w:szCs w:val="25"/>
        </w:rPr>
        <w:t>11</w:t>
      </w:r>
    </w:p>
    <w:p w:rsidR="00FA40A0" w:rsidRPr="00FB30DD" w:rsidRDefault="00FA40A0" w:rsidP="0090638B">
      <w:pPr>
        <w:tabs>
          <w:tab w:val="right" w:leader="dot" w:pos="8597"/>
        </w:tabs>
        <w:rPr>
          <w:rFonts w:cs="Gill Sans MT"/>
          <w:sz w:val="25"/>
          <w:szCs w:val="25"/>
        </w:rPr>
      </w:pPr>
    </w:p>
    <w:p w:rsidR="00FA40A0" w:rsidRPr="00FB30DD" w:rsidRDefault="00FA40A0" w:rsidP="002F0A2C">
      <w:pPr>
        <w:tabs>
          <w:tab w:val="right" w:leader="dot" w:pos="8597"/>
        </w:tabs>
        <w:rPr>
          <w:rFonts w:cs="Gill Sans MT"/>
          <w:sz w:val="25"/>
          <w:szCs w:val="25"/>
        </w:rPr>
      </w:pPr>
      <w:r w:rsidRPr="00FB30DD">
        <w:rPr>
          <w:rFonts w:cs="Gill Sans MT"/>
          <w:sz w:val="25"/>
          <w:szCs w:val="25"/>
        </w:rPr>
        <w:t>Maintaining Equipment and Instrumentation</w:t>
      </w:r>
      <w:r>
        <w:rPr>
          <w:rFonts w:cs="Gill Sans MT"/>
          <w:sz w:val="25"/>
          <w:szCs w:val="25"/>
        </w:rPr>
        <w:tab/>
      </w:r>
      <w:r w:rsidRPr="00FB30DD">
        <w:rPr>
          <w:rFonts w:cs="Gill Sans MT"/>
          <w:sz w:val="25"/>
          <w:szCs w:val="25"/>
        </w:rPr>
        <w:t>1</w:t>
      </w:r>
      <w:r w:rsidR="002144AA">
        <w:rPr>
          <w:rFonts w:cs="Gill Sans MT"/>
          <w:sz w:val="25"/>
          <w:szCs w:val="25"/>
        </w:rPr>
        <w:t>2</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 xml:space="preserve">Ensuring Continuing Education and Training </w:t>
      </w:r>
      <w:r>
        <w:rPr>
          <w:rFonts w:cs="Gill Sans MT"/>
          <w:sz w:val="25"/>
          <w:szCs w:val="25"/>
        </w:rPr>
        <w:t>for Personnel</w:t>
      </w:r>
      <w:r>
        <w:rPr>
          <w:rFonts w:cs="Gill Sans MT"/>
          <w:sz w:val="25"/>
          <w:szCs w:val="25"/>
        </w:rPr>
        <w:tab/>
      </w:r>
      <w:r w:rsidRPr="00FB30DD">
        <w:rPr>
          <w:rFonts w:cs="Gill Sans MT"/>
          <w:sz w:val="25"/>
          <w:szCs w:val="25"/>
        </w:rPr>
        <w:t>1</w:t>
      </w:r>
      <w:r w:rsidR="00045A80">
        <w:rPr>
          <w:rFonts w:cs="Gill Sans MT"/>
          <w:sz w:val="25"/>
          <w:szCs w:val="25"/>
        </w:rPr>
        <w:t>3</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Increasing Demand for Services</w:t>
      </w:r>
      <w:r w:rsidRPr="00FB30DD">
        <w:rPr>
          <w:rFonts w:cs="Gill Sans MT"/>
          <w:sz w:val="25"/>
          <w:szCs w:val="25"/>
        </w:rPr>
        <w:tab/>
        <w:t>1</w:t>
      </w:r>
      <w:r w:rsidR="002144AA">
        <w:rPr>
          <w:rFonts w:cs="Gill Sans MT"/>
          <w:sz w:val="25"/>
          <w:szCs w:val="25"/>
        </w:rPr>
        <w:t>4</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Addressing the CSI Effect</w:t>
      </w:r>
      <w:r>
        <w:rPr>
          <w:rFonts w:cs="Gill Sans MT"/>
          <w:sz w:val="25"/>
          <w:szCs w:val="25"/>
        </w:rPr>
        <w:tab/>
        <w:t>1</w:t>
      </w:r>
      <w:r w:rsidR="002144AA">
        <w:rPr>
          <w:rFonts w:cs="Gill Sans MT"/>
          <w:sz w:val="25"/>
          <w:szCs w:val="25"/>
        </w:rPr>
        <w:t>5</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Improving Case Turnaround Time</w:t>
      </w:r>
      <w:r w:rsidRPr="00FB30DD">
        <w:rPr>
          <w:rFonts w:cs="Gill Sans MT"/>
          <w:sz w:val="25"/>
          <w:szCs w:val="25"/>
        </w:rPr>
        <w:tab/>
        <w:t>1</w:t>
      </w:r>
      <w:r w:rsidR="00045A80">
        <w:rPr>
          <w:rFonts w:cs="Gill Sans MT"/>
          <w:sz w:val="25"/>
          <w:szCs w:val="25"/>
        </w:rPr>
        <w:t>5</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 xml:space="preserve">Reducing Case </w:t>
      </w:r>
      <w:r>
        <w:rPr>
          <w:rFonts w:cs="Gill Sans MT"/>
          <w:sz w:val="25"/>
          <w:szCs w:val="25"/>
        </w:rPr>
        <w:t>Backlog</w:t>
      </w:r>
      <w:r>
        <w:rPr>
          <w:rFonts w:cs="Gill Sans MT"/>
          <w:sz w:val="25"/>
          <w:szCs w:val="25"/>
        </w:rPr>
        <w:tab/>
      </w:r>
      <w:r w:rsidR="00FF7B8B">
        <w:rPr>
          <w:rFonts w:cs="Gill Sans MT"/>
          <w:sz w:val="25"/>
          <w:szCs w:val="25"/>
        </w:rPr>
        <w:t>19</w:t>
      </w:r>
    </w:p>
    <w:p w:rsidR="00FA40A0" w:rsidRPr="00FB30DD" w:rsidRDefault="00FA40A0" w:rsidP="0090638B">
      <w:pPr>
        <w:tabs>
          <w:tab w:val="right" w:leader="dot" w:pos="8597"/>
        </w:tabs>
        <w:rPr>
          <w:rFonts w:cs="Gill Sans MT"/>
          <w:sz w:val="25"/>
          <w:szCs w:val="25"/>
        </w:rPr>
      </w:pPr>
    </w:p>
    <w:p w:rsidR="00FA40A0" w:rsidRPr="00FB30DD" w:rsidRDefault="00FA40A0" w:rsidP="0090638B">
      <w:pPr>
        <w:tabs>
          <w:tab w:val="right" w:leader="dot" w:pos="8597"/>
        </w:tabs>
        <w:rPr>
          <w:rFonts w:cs="Gill Sans MT"/>
          <w:sz w:val="25"/>
          <w:szCs w:val="25"/>
        </w:rPr>
      </w:pPr>
      <w:r w:rsidRPr="00FB30DD">
        <w:rPr>
          <w:rFonts w:cs="Gill Sans MT"/>
          <w:sz w:val="25"/>
          <w:szCs w:val="25"/>
        </w:rPr>
        <w:t xml:space="preserve">Plan for Use of the Coverdell Forensic Science </w:t>
      </w:r>
    </w:p>
    <w:p w:rsidR="00FA40A0" w:rsidRPr="00FB30DD" w:rsidRDefault="00FA40A0" w:rsidP="0090638B">
      <w:pPr>
        <w:tabs>
          <w:tab w:val="right" w:leader="dot" w:pos="8597"/>
        </w:tabs>
        <w:rPr>
          <w:rFonts w:cs="Gill Sans MT"/>
          <w:sz w:val="25"/>
          <w:szCs w:val="25"/>
        </w:rPr>
      </w:pPr>
      <w:r>
        <w:rPr>
          <w:rFonts w:cs="Gill Sans MT"/>
          <w:sz w:val="25"/>
          <w:szCs w:val="25"/>
        </w:rPr>
        <w:t>Improvement Grant Funds</w:t>
      </w:r>
      <w:r>
        <w:rPr>
          <w:rFonts w:cs="Gill Sans MT"/>
          <w:sz w:val="25"/>
          <w:szCs w:val="25"/>
        </w:rPr>
        <w:tab/>
      </w:r>
      <w:r w:rsidR="00FF7B8B">
        <w:rPr>
          <w:rFonts w:cs="Gill Sans MT"/>
          <w:sz w:val="25"/>
          <w:szCs w:val="25"/>
        </w:rPr>
        <w:t>20</w:t>
      </w:r>
    </w:p>
    <w:p w:rsidR="00FA40A0" w:rsidRPr="00FB30DD" w:rsidRDefault="00FA40A0" w:rsidP="0090638B">
      <w:pPr>
        <w:tabs>
          <w:tab w:val="right" w:leader="dot" w:pos="8597"/>
        </w:tabs>
        <w:rPr>
          <w:rFonts w:cs="Gill Sans MT"/>
          <w:sz w:val="25"/>
          <w:szCs w:val="25"/>
        </w:rPr>
      </w:pPr>
    </w:p>
    <w:p w:rsidR="00FA40A0" w:rsidRDefault="00FA40A0" w:rsidP="0090638B">
      <w:pPr>
        <w:tabs>
          <w:tab w:val="right" w:leader="dot" w:pos="8597"/>
        </w:tabs>
        <w:rPr>
          <w:rFonts w:cs="Gill Sans MT"/>
          <w:sz w:val="25"/>
          <w:szCs w:val="25"/>
        </w:rPr>
      </w:pPr>
      <w:r w:rsidRPr="00FB30DD">
        <w:rPr>
          <w:rFonts w:cs="Gill Sans MT"/>
          <w:sz w:val="25"/>
          <w:szCs w:val="25"/>
        </w:rPr>
        <w:t>National Academy of Sciences</w:t>
      </w:r>
      <w:r>
        <w:rPr>
          <w:rFonts w:cs="Gill Sans MT"/>
          <w:sz w:val="25"/>
          <w:szCs w:val="25"/>
        </w:rPr>
        <w:t xml:space="preserve"> (NAS) Report Recommendations</w:t>
      </w:r>
      <w:r>
        <w:rPr>
          <w:rFonts w:cs="Gill Sans MT"/>
          <w:sz w:val="25"/>
          <w:szCs w:val="25"/>
        </w:rPr>
        <w:tab/>
      </w:r>
      <w:r w:rsidRPr="00FB30DD">
        <w:rPr>
          <w:rFonts w:cs="Gill Sans MT"/>
          <w:sz w:val="25"/>
          <w:szCs w:val="25"/>
        </w:rPr>
        <w:t>2</w:t>
      </w:r>
      <w:r w:rsidR="00045A80">
        <w:rPr>
          <w:rFonts w:cs="Gill Sans MT"/>
          <w:sz w:val="25"/>
          <w:szCs w:val="25"/>
        </w:rPr>
        <w:t>1</w:t>
      </w:r>
    </w:p>
    <w:p w:rsidR="00FA40A0" w:rsidRDefault="00FA40A0">
      <w:pPr>
        <w:tabs>
          <w:tab w:val="right" w:leader="dot" w:pos="8597"/>
        </w:tabs>
        <w:rPr>
          <w:rFonts w:cs="Gill Sans MT"/>
          <w:sz w:val="25"/>
          <w:szCs w:val="25"/>
        </w:rPr>
      </w:pPr>
    </w:p>
    <w:p w:rsidR="00FA40A0" w:rsidRDefault="00FA40A0">
      <w:pPr>
        <w:tabs>
          <w:tab w:val="right" w:leader="dot" w:pos="8597"/>
        </w:tabs>
        <w:rPr>
          <w:rFonts w:cs="Gill Sans MT"/>
          <w:sz w:val="25"/>
          <w:szCs w:val="25"/>
        </w:rPr>
      </w:pPr>
    </w:p>
    <w:p w:rsidR="00FA40A0" w:rsidRDefault="00FA40A0">
      <w:pPr>
        <w:jc w:val="center"/>
        <w:rPr>
          <w:rFonts w:cs="Gill Sans MT"/>
          <w:b/>
          <w:bCs/>
          <w:sz w:val="26"/>
          <w:szCs w:val="26"/>
        </w:rPr>
      </w:pPr>
      <w:r>
        <w:rPr>
          <w:rFonts w:cs="Gill Sans MT"/>
          <w:b/>
          <w:bCs/>
          <w:sz w:val="26"/>
          <w:szCs w:val="26"/>
        </w:rPr>
        <w:br w:type="page"/>
      </w:r>
      <w:r>
        <w:rPr>
          <w:rFonts w:cs="Gill Sans MT"/>
          <w:b/>
          <w:bCs/>
          <w:sz w:val="26"/>
          <w:szCs w:val="26"/>
        </w:rPr>
        <w:lastRenderedPageBreak/>
        <w:t xml:space="preserve">2010 </w:t>
      </w:r>
      <w:smartTag w:uri="urn:schemas-microsoft-com:office:smarttags" w:element="PlaceName">
        <w:smartTag w:uri="urn:schemas-microsoft-com:office:smarttags" w:element="place">
          <w:smartTag w:uri="urn:schemas-microsoft-com:office:smarttags" w:element="PlaceName">
            <w:r>
              <w:rPr>
                <w:rFonts w:cs="Gill Sans MT"/>
                <w:b/>
                <w:bCs/>
                <w:sz w:val="26"/>
                <w:szCs w:val="26"/>
              </w:rPr>
              <w:t>Oklahoma</w:t>
            </w:r>
          </w:smartTag>
          <w:r>
            <w:rPr>
              <w:rFonts w:cs="Gill Sans MT"/>
              <w:b/>
              <w:bCs/>
              <w:sz w:val="26"/>
              <w:szCs w:val="26"/>
            </w:rPr>
            <w:t xml:space="preserve"> </w:t>
          </w:r>
          <w:smartTag w:uri="urn:schemas-microsoft-com:office:smarttags" w:element="PlaceType">
            <w:r>
              <w:rPr>
                <w:rFonts w:cs="Gill Sans MT"/>
                <w:b/>
                <w:bCs/>
                <w:sz w:val="26"/>
                <w:szCs w:val="26"/>
              </w:rPr>
              <w:t>State</w:t>
            </w:r>
          </w:smartTag>
        </w:smartTag>
      </w:smartTag>
      <w:r>
        <w:rPr>
          <w:rFonts w:cs="Gill Sans MT"/>
          <w:b/>
          <w:bCs/>
          <w:sz w:val="26"/>
          <w:szCs w:val="26"/>
        </w:rPr>
        <w:t xml:space="preserve"> Plan for the Improvement of </w:t>
      </w:r>
    </w:p>
    <w:p w:rsidR="00FA40A0" w:rsidRDefault="00FA40A0">
      <w:pPr>
        <w:jc w:val="center"/>
        <w:rPr>
          <w:rFonts w:cs="Gill Sans MT"/>
          <w:b/>
          <w:bCs/>
          <w:sz w:val="26"/>
          <w:szCs w:val="26"/>
        </w:rPr>
      </w:pPr>
      <w:r>
        <w:rPr>
          <w:rFonts w:cs="Gill Sans MT"/>
          <w:b/>
          <w:bCs/>
          <w:sz w:val="26"/>
          <w:szCs w:val="26"/>
        </w:rPr>
        <w:t>Forensic Science and Toxicology Medical Examiner Services</w:t>
      </w:r>
    </w:p>
    <w:p w:rsidR="00FA40A0" w:rsidRDefault="00FA40A0">
      <w:pPr>
        <w:jc w:val="center"/>
        <w:rPr>
          <w:rFonts w:cs="Gill Sans MT"/>
          <w:b/>
          <w:bCs/>
          <w:sz w:val="26"/>
          <w:szCs w:val="26"/>
        </w:rPr>
      </w:pPr>
    </w:p>
    <w:p w:rsidR="00FA40A0" w:rsidRDefault="00FA40A0">
      <w:pPr>
        <w:rPr>
          <w:rFonts w:cs="Gill Sans MT"/>
          <w:b/>
          <w:bCs/>
          <w:caps/>
          <w:sz w:val="26"/>
          <w:szCs w:val="26"/>
        </w:rPr>
      </w:pPr>
      <w:r>
        <w:rPr>
          <w:rFonts w:cs="Gill Sans MT"/>
          <w:b/>
          <w:bCs/>
          <w:caps/>
          <w:sz w:val="26"/>
          <w:szCs w:val="26"/>
        </w:rPr>
        <w:t>Purpose</w:t>
      </w:r>
    </w:p>
    <w:p w:rsidR="00FA40A0" w:rsidRDefault="00FA40A0">
      <w:pPr>
        <w:rPr>
          <w:rFonts w:cs="Gill Sans MT"/>
          <w:sz w:val="26"/>
          <w:szCs w:val="26"/>
        </w:rPr>
      </w:pPr>
      <w:r>
        <w:rPr>
          <w:rFonts w:cs="Gill Sans MT"/>
          <w:sz w:val="26"/>
          <w:szCs w:val="26"/>
        </w:rPr>
        <w:t xml:space="preserve">The purpose of the Oklahoma State Plan for the Improvement of Forensic Science and Toxicology Examiner Services is to improve the quality and timeliness of forensic sciences and toxicology examiner services for the criminal justice system in </w:t>
      </w: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and to reduce the backlog of forensic science cases. The original plan was developed in 2002 prior to the submission of the Coverdell Forensic Science Improvement Grant Program. The Plan was updated and approved in 2006 and again in 2010. </w:t>
      </w:r>
    </w:p>
    <w:p w:rsidR="00FA40A0" w:rsidRDefault="00FA40A0">
      <w:pPr>
        <w:rPr>
          <w:rFonts w:cs="Gill Sans MT"/>
          <w:sz w:val="26"/>
          <w:szCs w:val="26"/>
        </w:rPr>
      </w:pPr>
    </w:p>
    <w:p w:rsidR="00FA40A0" w:rsidRPr="004722C1" w:rsidRDefault="00FA40A0">
      <w:pPr>
        <w:rPr>
          <w:rFonts w:cs="Gill Sans MT"/>
          <w:sz w:val="26"/>
          <w:szCs w:val="26"/>
          <w:u w:val="single"/>
        </w:rPr>
      </w:pPr>
      <w:r w:rsidRPr="007D21FA">
        <w:rPr>
          <w:rFonts w:cs="Gill Sans MT"/>
          <w:sz w:val="26"/>
          <w:szCs w:val="26"/>
        </w:rPr>
        <w:t>In November 2005, the Science, State, Justice, Commerce, and Related Agencies Appropri</w:t>
      </w:r>
      <w:r w:rsidR="00E669BC">
        <w:rPr>
          <w:rFonts w:cs="Gill Sans MT"/>
          <w:sz w:val="26"/>
          <w:szCs w:val="26"/>
        </w:rPr>
        <w:t xml:space="preserve">ations Act of 2006 became law. </w:t>
      </w:r>
      <w:r w:rsidRPr="007D21FA">
        <w:rPr>
          <w:rFonts w:cs="Gill Sans MT"/>
          <w:sz w:val="26"/>
          <w:szCs w:val="26"/>
        </w:rPr>
        <w:t xml:space="preserve">Under the terms of the statute, Congress authorized “the National Academy of Sciences (NAS) to conduct a study on forensic science, as described in the Senate report.” The Forensic Science Committee charged with performing the study completed and issued its report “Strengthening Forensic Science in the </w:t>
      </w:r>
      <w:smartTag w:uri="urn:schemas-microsoft-com:office:smarttags" w:element="place">
        <w:smartTag w:uri="urn:schemas-microsoft-com:office:smarttags" w:element="country-region">
          <w:r w:rsidRPr="007D21FA">
            <w:rPr>
              <w:rFonts w:cs="Gill Sans MT"/>
              <w:sz w:val="26"/>
              <w:szCs w:val="26"/>
            </w:rPr>
            <w:t>United States</w:t>
          </w:r>
        </w:smartTag>
      </w:smartTag>
      <w:r w:rsidRPr="007D21FA">
        <w:rPr>
          <w:rFonts w:cs="Gill Sans MT"/>
          <w:sz w:val="26"/>
          <w:szCs w:val="26"/>
        </w:rPr>
        <w:t>: A Path</w:t>
      </w:r>
      <w:r w:rsidR="00E669BC">
        <w:rPr>
          <w:rFonts w:cs="Gill Sans MT"/>
          <w:sz w:val="26"/>
          <w:szCs w:val="26"/>
        </w:rPr>
        <w:t xml:space="preserve"> Forward” in the fall of 2009. </w:t>
      </w:r>
      <w:r w:rsidRPr="007D21FA">
        <w:rPr>
          <w:rFonts w:cs="Gill Sans MT"/>
          <w:sz w:val="26"/>
          <w:szCs w:val="26"/>
        </w:rPr>
        <w:t xml:space="preserve">The report was evaluated by members of Oklahoma’s Forensic Science Improvement Task Force and recommendations issued in the report were considered </w:t>
      </w:r>
      <w:r w:rsidR="009B56D5">
        <w:rPr>
          <w:rFonts w:cs="Gill Sans MT"/>
          <w:sz w:val="26"/>
          <w:szCs w:val="26"/>
        </w:rPr>
        <w:t>with this 2010 update of Oklahoma’s State Plan.</w:t>
      </w:r>
      <w:r w:rsidR="00E669BC">
        <w:rPr>
          <w:rFonts w:cs="Gill Sans MT"/>
          <w:sz w:val="26"/>
          <w:szCs w:val="26"/>
        </w:rPr>
        <w:t xml:space="preserve"> </w:t>
      </w:r>
      <w:r w:rsidRPr="007D21FA">
        <w:rPr>
          <w:rFonts w:cs="Gill Sans MT"/>
          <w:sz w:val="26"/>
          <w:szCs w:val="26"/>
        </w:rPr>
        <w:t>Th</w:t>
      </w:r>
      <w:r w:rsidR="009B56D5">
        <w:rPr>
          <w:rFonts w:cs="Gill Sans MT"/>
          <w:sz w:val="26"/>
          <w:szCs w:val="26"/>
        </w:rPr>
        <w:t>is</w:t>
      </w:r>
      <w:r w:rsidRPr="007D21FA">
        <w:rPr>
          <w:rFonts w:cs="Gill Sans MT"/>
          <w:sz w:val="26"/>
          <w:szCs w:val="26"/>
        </w:rPr>
        <w:t xml:space="preserve"> Plan contains information about the thirteen recommendations issued in the NAS report and discusses Oklahoma’s position in relation to those recommendations</w:t>
      </w:r>
      <w:r w:rsidRPr="00E669BC">
        <w:rPr>
          <w:rFonts w:cs="Gill Sans MT"/>
          <w:sz w:val="26"/>
          <w:szCs w:val="26"/>
        </w:rPr>
        <w:t>.</w:t>
      </w:r>
    </w:p>
    <w:p w:rsidR="00FA40A0" w:rsidRDefault="00FA40A0">
      <w:pPr>
        <w:rPr>
          <w:rFonts w:cs="Gill Sans MT"/>
          <w:sz w:val="26"/>
          <w:szCs w:val="26"/>
        </w:rPr>
      </w:pPr>
    </w:p>
    <w:p w:rsidR="00FA40A0" w:rsidRDefault="00FA40A0">
      <w:pPr>
        <w:rPr>
          <w:rFonts w:cs="Gill Sans MT"/>
          <w:b/>
          <w:bCs/>
          <w:caps/>
          <w:sz w:val="26"/>
          <w:szCs w:val="26"/>
        </w:rPr>
      </w:pPr>
      <w:r>
        <w:rPr>
          <w:rFonts w:cs="Gill Sans MT"/>
          <w:b/>
          <w:bCs/>
          <w:caps/>
          <w:sz w:val="26"/>
          <w:szCs w:val="26"/>
        </w:rPr>
        <w:t xml:space="preserve">Overview of Forensic Science Laboratories in </w:t>
      </w:r>
      <w:smartTag w:uri="urn:schemas-microsoft-com:office:smarttags" w:element="place">
        <w:smartTag w:uri="urn:schemas-microsoft-com:office:smarttags" w:element="State">
          <w:r>
            <w:rPr>
              <w:rFonts w:cs="Gill Sans MT"/>
              <w:b/>
              <w:bCs/>
              <w:caps/>
              <w:sz w:val="26"/>
              <w:szCs w:val="26"/>
            </w:rPr>
            <w:t>Oklahoma</w:t>
          </w:r>
        </w:smartTag>
      </w:smartTag>
    </w:p>
    <w:p w:rsidR="00FA40A0" w:rsidRDefault="00FA40A0">
      <w:pPr>
        <w:rPr>
          <w:rFonts w:cs="Gill Sans MT"/>
          <w:sz w:val="26"/>
          <w:szCs w:val="26"/>
        </w:rPr>
      </w:pPr>
      <w:r>
        <w:rPr>
          <w:rFonts w:cs="Gill Sans MT"/>
          <w:sz w:val="26"/>
          <w:szCs w:val="26"/>
        </w:rPr>
        <w:t>In a forensic science lab, there are a number of different disciplines. These</w:t>
      </w:r>
      <w:r w:rsidR="009B56D5">
        <w:rPr>
          <w:rFonts w:cs="Gill Sans MT"/>
          <w:sz w:val="26"/>
          <w:szCs w:val="26"/>
        </w:rPr>
        <w:t xml:space="preserve"> may</w:t>
      </w:r>
      <w:r>
        <w:rPr>
          <w:rFonts w:cs="Gill Sans MT"/>
          <w:sz w:val="26"/>
          <w:szCs w:val="26"/>
        </w:rPr>
        <w:t xml:space="preserve"> include: </w:t>
      </w:r>
    </w:p>
    <w:p w:rsidR="00FA40A0" w:rsidRDefault="00FA40A0">
      <w:pPr>
        <w:rPr>
          <w:rFonts w:cs="Gill Sans MT"/>
          <w:sz w:val="26"/>
          <w:szCs w:val="26"/>
        </w:rPr>
      </w:pPr>
    </w:p>
    <w:p w:rsidR="00FA40A0" w:rsidRDefault="00FA40A0" w:rsidP="0001141C">
      <w:pPr>
        <w:numPr>
          <w:ilvl w:val="0"/>
          <w:numId w:val="22"/>
        </w:numPr>
        <w:tabs>
          <w:tab w:val="left" w:pos="1080"/>
        </w:tabs>
        <w:rPr>
          <w:rFonts w:cs="Gill Sans MT"/>
          <w:sz w:val="26"/>
          <w:szCs w:val="26"/>
        </w:rPr>
      </w:pPr>
      <w:r>
        <w:rPr>
          <w:rFonts w:cs="Gill Sans MT"/>
          <w:sz w:val="26"/>
          <w:szCs w:val="26"/>
        </w:rPr>
        <w:t>Biology;</w:t>
      </w:r>
    </w:p>
    <w:p w:rsidR="00FA40A0" w:rsidRDefault="00FA40A0" w:rsidP="0001141C">
      <w:pPr>
        <w:numPr>
          <w:ilvl w:val="0"/>
          <w:numId w:val="22"/>
        </w:numPr>
        <w:tabs>
          <w:tab w:val="left" w:pos="1080"/>
        </w:tabs>
        <w:rPr>
          <w:rFonts w:cs="Gill Sans MT"/>
          <w:sz w:val="26"/>
          <w:szCs w:val="26"/>
        </w:rPr>
      </w:pPr>
      <w:r>
        <w:rPr>
          <w:rFonts w:cs="Gill Sans MT"/>
          <w:sz w:val="26"/>
          <w:szCs w:val="26"/>
        </w:rPr>
        <w:t>Controlled Substances;</w:t>
      </w:r>
    </w:p>
    <w:p w:rsidR="00FA40A0" w:rsidRDefault="00FA40A0" w:rsidP="0001141C">
      <w:pPr>
        <w:numPr>
          <w:ilvl w:val="0"/>
          <w:numId w:val="22"/>
        </w:numPr>
        <w:tabs>
          <w:tab w:val="left" w:pos="1080"/>
        </w:tabs>
        <w:rPr>
          <w:rFonts w:cs="Gill Sans MT"/>
          <w:sz w:val="26"/>
          <w:szCs w:val="26"/>
        </w:rPr>
      </w:pPr>
      <w:r>
        <w:rPr>
          <w:rFonts w:cs="Gill Sans MT"/>
          <w:sz w:val="26"/>
          <w:szCs w:val="26"/>
        </w:rPr>
        <w:t>Latent Prints;</w:t>
      </w:r>
    </w:p>
    <w:p w:rsidR="00FA40A0" w:rsidRDefault="00FA40A0" w:rsidP="0001141C">
      <w:pPr>
        <w:numPr>
          <w:ilvl w:val="0"/>
          <w:numId w:val="22"/>
        </w:numPr>
        <w:tabs>
          <w:tab w:val="left" w:pos="1080"/>
        </w:tabs>
        <w:rPr>
          <w:rFonts w:cs="Gill Sans MT"/>
          <w:sz w:val="26"/>
          <w:szCs w:val="26"/>
        </w:rPr>
      </w:pPr>
      <w:r>
        <w:rPr>
          <w:rFonts w:cs="Gill Sans MT"/>
          <w:sz w:val="26"/>
          <w:szCs w:val="26"/>
        </w:rPr>
        <w:t>Toxicology;</w:t>
      </w:r>
    </w:p>
    <w:p w:rsidR="00FA40A0" w:rsidRDefault="00FA40A0" w:rsidP="0001141C">
      <w:pPr>
        <w:numPr>
          <w:ilvl w:val="0"/>
          <w:numId w:val="22"/>
        </w:numPr>
        <w:tabs>
          <w:tab w:val="left" w:pos="1080"/>
        </w:tabs>
        <w:rPr>
          <w:rFonts w:cs="Gill Sans MT"/>
          <w:sz w:val="26"/>
          <w:szCs w:val="26"/>
        </w:rPr>
      </w:pPr>
      <w:r>
        <w:rPr>
          <w:rFonts w:cs="Gill Sans MT"/>
          <w:sz w:val="26"/>
          <w:szCs w:val="26"/>
        </w:rPr>
        <w:t>Firearms and Tool Marks;</w:t>
      </w:r>
    </w:p>
    <w:p w:rsidR="00FA40A0" w:rsidRDefault="00FA40A0" w:rsidP="0001141C">
      <w:pPr>
        <w:numPr>
          <w:ilvl w:val="0"/>
          <w:numId w:val="22"/>
        </w:numPr>
        <w:tabs>
          <w:tab w:val="left" w:pos="1080"/>
        </w:tabs>
        <w:rPr>
          <w:rFonts w:cs="Gill Sans MT"/>
          <w:sz w:val="26"/>
          <w:szCs w:val="26"/>
        </w:rPr>
      </w:pPr>
      <w:r>
        <w:rPr>
          <w:rFonts w:cs="Gill Sans MT"/>
          <w:sz w:val="26"/>
          <w:szCs w:val="26"/>
        </w:rPr>
        <w:t xml:space="preserve">Questioned Documents; </w:t>
      </w:r>
    </w:p>
    <w:p w:rsidR="00FA40A0" w:rsidRDefault="00FA40A0" w:rsidP="0001141C">
      <w:pPr>
        <w:numPr>
          <w:ilvl w:val="0"/>
          <w:numId w:val="22"/>
        </w:numPr>
        <w:tabs>
          <w:tab w:val="left" w:pos="1080"/>
        </w:tabs>
        <w:rPr>
          <w:rFonts w:cs="Gill Sans MT"/>
          <w:sz w:val="26"/>
          <w:szCs w:val="26"/>
        </w:rPr>
      </w:pPr>
      <w:r>
        <w:rPr>
          <w:rFonts w:cs="Gill Sans MT"/>
          <w:sz w:val="26"/>
          <w:szCs w:val="26"/>
        </w:rPr>
        <w:t>Trace Evidence; and,</w:t>
      </w:r>
    </w:p>
    <w:p w:rsidR="00FA40A0" w:rsidRDefault="00FA40A0" w:rsidP="0001141C">
      <w:pPr>
        <w:numPr>
          <w:ilvl w:val="0"/>
          <w:numId w:val="22"/>
        </w:numPr>
        <w:tabs>
          <w:tab w:val="left" w:pos="1080"/>
        </w:tabs>
        <w:rPr>
          <w:rFonts w:cs="Gill Sans MT"/>
          <w:sz w:val="26"/>
          <w:szCs w:val="26"/>
        </w:rPr>
      </w:pPr>
      <w:r>
        <w:rPr>
          <w:rFonts w:cs="Gill Sans MT"/>
          <w:sz w:val="26"/>
          <w:szCs w:val="26"/>
        </w:rPr>
        <w:t>Digital and Multimedia Evidence.</w:t>
      </w:r>
    </w:p>
    <w:p w:rsidR="00FA40A0" w:rsidRDefault="00FA40A0">
      <w:pPr>
        <w:rPr>
          <w:rFonts w:cs="Gill Sans MT"/>
          <w:sz w:val="26"/>
          <w:szCs w:val="26"/>
        </w:rPr>
      </w:pPr>
    </w:p>
    <w:p w:rsidR="00FA40A0" w:rsidRDefault="00FA40A0">
      <w:pPr>
        <w:tabs>
          <w:tab w:val="left" w:pos="270"/>
        </w:tabs>
        <w:rPr>
          <w:rFonts w:cs="Gill Sans MT"/>
          <w:sz w:val="26"/>
          <w:szCs w:val="26"/>
        </w:rPr>
      </w:pPr>
      <w:r>
        <w:rPr>
          <w:rFonts w:cs="Gill Sans MT"/>
          <w:sz w:val="26"/>
          <w:szCs w:val="26"/>
        </w:rPr>
        <w:t xml:space="preserve">Currently, there are ten (10) forensic labs operating within the state that are accredited for specific disciplines. The Oklahoma State Bureau of Investigation (OSBI) has five labs involving multiple disciplines operating regionally throughout the state. These labs are located in </w:t>
      </w:r>
      <w:smartTag w:uri="urn:schemas-microsoft-com:office:smarttags" w:element="City">
        <w:r>
          <w:rPr>
            <w:rFonts w:cs="Gill Sans MT"/>
            <w:sz w:val="26"/>
            <w:szCs w:val="26"/>
          </w:rPr>
          <w:t>Edmond</w:t>
        </w:r>
      </w:smartTag>
      <w:r>
        <w:rPr>
          <w:rFonts w:cs="Gill Sans MT"/>
          <w:sz w:val="26"/>
          <w:szCs w:val="26"/>
        </w:rPr>
        <w:t xml:space="preserve">, </w:t>
      </w:r>
      <w:smartTag w:uri="urn:schemas-microsoft-com:office:smarttags" w:element="City">
        <w:r>
          <w:rPr>
            <w:rFonts w:cs="Gill Sans MT"/>
            <w:sz w:val="26"/>
            <w:szCs w:val="26"/>
          </w:rPr>
          <w:t>Lawton</w:t>
        </w:r>
      </w:smartTag>
      <w:r>
        <w:rPr>
          <w:rFonts w:cs="Gill Sans MT"/>
          <w:sz w:val="26"/>
          <w:szCs w:val="26"/>
        </w:rPr>
        <w:t xml:space="preserve">, </w:t>
      </w:r>
      <w:smartTag w:uri="urn:schemas-microsoft-com:office:smarttags" w:element="City">
        <w:r>
          <w:rPr>
            <w:rFonts w:cs="Gill Sans MT"/>
            <w:sz w:val="26"/>
            <w:szCs w:val="26"/>
          </w:rPr>
          <w:t>Enid</w:t>
        </w:r>
      </w:smartTag>
      <w:r>
        <w:rPr>
          <w:rFonts w:cs="Gill Sans MT"/>
          <w:sz w:val="26"/>
          <w:szCs w:val="26"/>
        </w:rPr>
        <w:t xml:space="preserve">, Tahlequah, and </w:t>
      </w:r>
      <w:smartTag w:uri="urn:schemas-microsoft-com:office:smarttags" w:element="place">
        <w:smartTag w:uri="urn:schemas-microsoft-com:office:smarttags" w:element="City">
          <w:r>
            <w:rPr>
              <w:rFonts w:cs="Gill Sans MT"/>
              <w:sz w:val="26"/>
              <w:szCs w:val="26"/>
            </w:rPr>
            <w:t>McAlester</w:t>
          </w:r>
        </w:smartTag>
      </w:smartTag>
      <w:r>
        <w:rPr>
          <w:rFonts w:cs="Gill Sans MT"/>
          <w:sz w:val="26"/>
          <w:szCs w:val="26"/>
        </w:rPr>
        <w:t>. In addition, the Oklahoma City Police Department and the Tulsa Police Department, the two major metropolitan jurisdictions in the state, have multiple discipline forensic labs.</w:t>
      </w:r>
    </w:p>
    <w:p w:rsidR="00FA40A0" w:rsidRDefault="00FA40A0">
      <w:pPr>
        <w:rPr>
          <w:rFonts w:cs="Gill Sans MT"/>
          <w:sz w:val="26"/>
          <w:szCs w:val="26"/>
        </w:rPr>
      </w:pPr>
    </w:p>
    <w:p w:rsidR="00992713" w:rsidRDefault="009B56D5" w:rsidP="009B56D5">
      <w:pPr>
        <w:rPr>
          <w:rFonts w:cs="Gill Sans MT"/>
          <w:sz w:val="26"/>
          <w:szCs w:val="26"/>
        </w:rPr>
      </w:pPr>
      <w:r>
        <w:rPr>
          <w:rFonts w:cs="Gill Sans MT"/>
          <w:sz w:val="26"/>
          <w:szCs w:val="26"/>
        </w:rPr>
        <w:t xml:space="preserve">Several law enforcement agencies throughout the state operate Latent Print and/or Marijuana Identification labs. However, only the Broken Arrow Police Department is nationally accredited by the American Society of Crime Lab Directors/Laboratory Accreditation Board </w:t>
      </w:r>
    </w:p>
    <w:p w:rsidR="00992713" w:rsidRDefault="00992713" w:rsidP="009B56D5">
      <w:pPr>
        <w:rPr>
          <w:rFonts w:cs="Gill Sans MT"/>
          <w:sz w:val="26"/>
          <w:szCs w:val="26"/>
        </w:rPr>
      </w:pPr>
    </w:p>
    <w:p w:rsidR="009B56D5" w:rsidRDefault="009B56D5" w:rsidP="009B56D5">
      <w:pPr>
        <w:rPr>
          <w:rFonts w:cs="Gill Sans MT"/>
          <w:sz w:val="26"/>
          <w:szCs w:val="26"/>
        </w:rPr>
      </w:pPr>
      <w:proofErr w:type="gramStart"/>
      <w:r>
        <w:rPr>
          <w:rFonts w:cs="Gill Sans MT"/>
          <w:sz w:val="26"/>
          <w:szCs w:val="26"/>
        </w:rPr>
        <w:lastRenderedPageBreak/>
        <w:t>(ASCLD/LAB).</w:t>
      </w:r>
      <w:proofErr w:type="gramEnd"/>
      <w:r>
        <w:rPr>
          <w:rFonts w:cs="Gill Sans MT"/>
          <w:sz w:val="26"/>
          <w:szCs w:val="26"/>
        </w:rPr>
        <w:t xml:space="preserve"> In addition, the Oklahoma County District Attorney’s Office has a Questioned Documents lab that is also ASCLD/LAB accredited. </w:t>
      </w:r>
    </w:p>
    <w:p w:rsidR="009B56D5" w:rsidRDefault="009B56D5">
      <w:pPr>
        <w:rPr>
          <w:rFonts w:cs="Gill Sans MT"/>
          <w:sz w:val="26"/>
          <w:szCs w:val="26"/>
        </w:rPr>
      </w:pPr>
    </w:p>
    <w:p w:rsidR="00FA40A0" w:rsidRDefault="00FA40A0">
      <w:pPr>
        <w:rPr>
          <w:rFonts w:cs="Gill Sans MT"/>
          <w:sz w:val="26"/>
          <w:szCs w:val="26"/>
        </w:rPr>
      </w:pPr>
      <w:r>
        <w:rPr>
          <w:rFonts w:cs="Gill Sans MT"/>
          <w:sz w:val="26"/>
          <w:szCs w:val="26"/>
        </w:rPr>
        <w:t xml:space="preserve">The Office of the Chief Medical Examiner has the sole responsibility for investigating sudden, unexpected, and suspicious deaths. This process involves scene investigation and medicolegal autopsy (including radiology, toxicology, histology, and microbiology), complementing the activities of law enforcement agencies, district attorneys, and public health officials. </w:t>
      </w:r>
    </w:p>
    <w:p w:rsidR="00FA40A0" w:rsidRDefault="00FA40A0">
      <w:pPr>
        <w:rPr>
          <w:rFonts w:cs="Gill Sans MT"/>
          <w:b/>
          <w:bCs/>
          <w:caps/>
          <w:sz w:val="26"/>
          <w:szCs w:val="26"/>
        </w:rPr>
      </w:pPr>
    </w:p>
    <w:p w:rsidR="00FA40A0" w:rsidRDefault="00FA40A0">
      <w:pPr>
        <w:rPr>
          <w:rFonts w:cs="Gill Sans MT"/>
          <w:b/>
          <w:bCs/>
          <w:caps/>
          <w:sz w:val="26"/>
          <w:szCs w:val="26"/>
        </w:rPr>
      </w:pPr>
      <w:r>
        <w:rPr>
          <w:rFonts w:cs="Gill Sans MT"/>
          <w:b/>
          <w:bCs/>
          <w:caps/>
          <w:sz w:val="26"/>
          <w:szCs w:val="26"/>
        </w:rPr>
        <w:t>Coverdell Forensic Science Improvement Grant Program</w:t>
      </w:r>
    </w:p>
    <w:p w:rsidR="00FA40A0" w:rsidRDefault="00FA40A0">
      <w:pPr>
        <w:rPr>
          <w:rFonts w:cs="Gill Sans MT"/>
          <w:sz w:val="26"/>
          <w:szCs w:val="26"/>
        </w:rPr>
      </w:pPr>
      <w:r>
        <w:rPr>
          <w:rFonts w:cs="Gill Sans MT"/>
          <w:sz w:val="26"/>
          <w:szCs w:val="26"/>
        </w:rPr>
        <w:t xml:space="preserve">In 2002, the National Institute of Justice, U.S. Department of Justice established the Coverdell Forensic Science Improvement Grant Program which included both formula and discretionary funding. The District Attorneys Council serves as the state administering agency for these federal funds. </w:t>
      </w:r>
    </w:p>
    <w:p w:rsidR="00FA40A0" w:rsidRDefault="00FA40A0">
      <w:pPr>
        <w:rPr>
          <w:rFonts w:cs="Gill Sans MT"/>
          <w:sz w:val="26"/>
          <w:szCs w:val="26"/>
        </w:rPr>
      </w:pPr>
    </w:p>
    <w:p w:rsidR="00FA40A0" w:rsidRDefault="00FA40A0" w:rsidP="00034969">
      <w:pPr>
        <w:rPr>
          <w:rFonts w:cs="Gill Sans MT"/>
          <w:sz w:val="26"/>
          <w:szCs w:val="26"/>
        </w:rPr>
      </w:pPr>
      <w:r w:rsidRPr="00034969">
        <w:rPr>
          <w:rFonts w:cs="Gill Sans MT"/>
          <w:sz w:val="26"/>
          <w:szCs w:val="26"/>
        </w:rPr>
        <w:t xml:space="preserve">Since the inception of the grant program in 2002, the State of </w:t>
      </w:r>
      <w:smartTag w:uri="urn:schemas-microsoft-com:office:smarttags" w:element="place">
        <w:smartTag w:uri="urn:schemas-microsoft-com:office:smarttags" w:element="State">
          <w:r w:rsidRPr="00034969">
            <w:rPr>
              <w:rFonts w:cs="Gill Sans MT"/>
              <w:sz w:val="26"/>
              <w:szCs w:val="26"/>
            </w:rPr>
            <w:t>Oklahoma</w:t>
          </w:r>
        </w:smartTag>
      </w:smartTag>
      <w:r w:rsidRPr="00034969">
        <w:rPr>
          <w:rFonts w:cs="Gill Sans MT"/>
          <w:sz w:val="26"/>
          <w:szCs w:val="26"/>
        </w:rPr>
        <w:t xml:space="preserve"> has received $1,394,419 in formula and discretionary funding of which $1,254,977.10 pass-through was funding for the participating forensic labs. The remaining amount was administrative costs for the District Attorneys Council </w:t>
      </w:r>
      <w:r w:rsidR="00E669BC">
        <w:rPr>
          <w:rFonts w:cs="Gill Sans MT"/>
          <w:sz w:val="26"/>
          <w:szCs w:val="26"/>
        </w:rPr>
        <w:t>to implement the grant program. T</w:t>
      </w:r>
      <w:r w:rsidRPr="00034969">
        <w:rPr>
          <w:rFonts w:cs="Gill Sans MT"/>
          <w:sz w:val="26"/>
          <w:szCs w:val="26"/>
        </w:rPr>
        <w:t>he following chart identifies the funds received by fiscal year.</w:t>
      </w:r>
      <w:r>
        <w:rPr>
          <w:rFonts w:cs="Gill Sans MT"/>
          <w:sz w:val="26"/>
          <w:szCs w:val="26"/>
        </w:rPr>
        <w:t xml:space="preserve"> </w:t>
      </w:r>
    </w:p>
    <w:p w:rsidR="00FA40A0" w:rsidRDefault="00FA40A0" w:rsidP="00881515">
      <w:pPr>
        <w:jc w:val="center"/>
        <w:rPr>
          <w:rFonts w:cs="Gill Sans MT"/>
          <w:b/>
          <w:bCs/>
          <w:sz w:val="26"/>
          <w:szCs w:val="26"/>
        </w:rPr>
      </w:pPr>
    </w:p>
    <w:p w:rsidR="00FA40A0" w:rsidRDefault="00FA40A0" w:rsidP="00881515">
      <w:pPr>
        <w:jc w:val="center"/>
        <w:rPr>
          <w:rFonts w:cs="Gill Sans MT"/>
          <w:b/>
          <w:bCs/>
          <w:sz w:val="26"/>
          <w:szCs w:val="26"/>
        </w:rPr>
      </w:pPr>
    </w:p>
    <w:p w:rsidR="00FA40A0" w:rsidRDefault="00FA40A0" w:rsidP="00881515">
      <w:pPr>
        <w:jc w:val="center"/>
        <w:rPr>
          <w:rFonts w:cs="Gill Sans MT"/>
          <w:b/>
          <w:bCs/>
          <w:sz w:val="26"/>
          <w:szCs w:val="26"/>
        </w:rPr>
      </w:pPr>
      <w:r>
        <w:rPr>
          <w:rFonts w:cs="Gill Sans MT"/>
          <w:b/>
          <w:bCs/>
          <w:sz w:val="26"/>
          <w:szCs w:val="26"/>
        </w:rPr>
        <w:t xml:space="preserve">Coverdell Forensic Science Improvement Program Grant </w:t>
      </w:r>
    </w:p>
    <w:p w:rsidR="00FA40A0" w:rsidRDefault="00FA40A0" w:rsidP="00881515">
      <w:pPr>
        <w:jc w:val="center"/>
        <w:rPr>
          <w:rFonts w:cs="Gill Sans MT"/>
          <w:b/>
          <w:bCs/>
          <w:sz w:val="26"/>
          <w:szCs w:val="26"/>
        </w:rPr>
      </w:pPr>
      <w:r>
        <w:rPr>
          <w:rFonts w:cs="Gill Sans MT"/>
          <w:b/>
          <w:bCs/>
          <w:sz w:val="26"/>
          <w:szCs w:val="26"/>
        </w:rPr>
        <w:t xml:space="preserve">State of </w:t>
      </w:r>
      <w:smartTag w:uri="urn:schemas-microsoft-com:office:smarttags" w:element="place">
        <w:smartTag w:uri="urn:schemas-microsoft-com:office:smarttags" w:element="State">
          <w:r>
            <w:rPr>
              <w:rFonts w:cs="Gill Sans MT"/>
              <w:b/>
              <w:bCs/>
              <w:sz w:val="26"/>
              <w:szCs w:val="26"/>
            </w:rPr>
            <w:t>Oklahoma</w:t>
          </w:r>
        </w:smartTag>
      </w:smartTag>
      <w:r>
        <w:rPr>
          <w:rFonts w:cs="Gill Sans MT"/>
          <w:b/>
          <w:bCs/>
          <w:sz w:val="26"/>
          <w:szCs w:val="26"/>
        </w:rPr>
        <w:t xml:space="preserve"> Funding</w:t>
      </w:r>
    </w:p>
    <w:p w:rsidR="00FA40A0" w:rsidRDefault="00FA40A0" w:rsidP="00881515">
      <w:pPr>
        <w:jc w:val="center"/>
        <w:rPr>
          <w:rFonts w:cs="Gill Sans MT"/>
          <w:b/>
          <w:bCs/>
          <w:sz w:val="26"/>
          <w:szCs w:val="26"/>
        </w:rPr>
      </w:pPr>
      <w:r>
        <w:rPr>
          <w:rFonts w:cs="Gill Sans MT"/>
          <w:b/>
          <w:bCs/>
          <w:sz w:val="26"/>
          <w:szCs w:val="26"/>
        </w:rPr>
        <w:t>2002 - 2009</w:t>
      </w:r>
    </w:p>
    <w:p w:rsidR="00FA40A0" w:rsidRDefault="00731DB1">
      <w:pPr>
        <w:rPr>
          <w:rFonts w:ascii="Times New Roman" w:hAnsi="Times New Roman"/>
          <w:sz w:val="20"/>
          <w:szCs w:val="20"/>
        </w:rPr>
      </w:pPr>
      <w:r>
        <w:rPr>
          <w:noProof/>
        </w:rPr>
        <w:drawing>
          <wp:anchor distT="60960" distB="190246" distL="321564" distR="310261" simplePos="0" relativeHeight="251660288" behindDoc="0" locked="0" layoutInCell="1" allowOverlap="1">
            <wp:simplePos x="0" y="0"/>
            <wp:positionH relativeFrom="column">
              <wp:posOffset>174625</wp:posOffset>
            </wp:positionH>
            <wp:positionV relativeFrom="paragraph">
              <wp:posOffset>89535</wp:posOffset>
            </wp:positionV>
            <wp:extent cx="5821680" cy="2950210"/>
            <wp:effectExtent l="0" t="0" r="26670" b="21590"/>
            <wp:wrapNone/>
            <wp:docPr id="2"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FA40A0" w:rsidRDefault="00FA40A0" w:rsidP="008326F5">
      <w:pPr>
        <w:rPr>
          <w:rFonts w:cs="Gill Sans MT"/>
          <w:sz w:val="26"/>
          <w:szCs w:val="26"/>
        </w:rPr>
      </w:pPr>
    </w:p>
    <w:p w:rsidR="00324B1C" w:rsidRDefault="00324B1C" w:rsidP="008326F5">
      <w:pPr>
        <w:rPr>
          <w:rFonts w:cs="Gill Sans MT"/>
          <w:sz w:val="26"/>
          <w:szCs w:val="26"/>
        </w:rPr>
      </w:pPr>
    </w:p>
    <w:p w:rsidR="00FA40A0" w:rsidRPr="00EA3873" w:rsidRDefault="00FA40A0" w:rsidP="008326F5">
      <w:pPr>
        <w:rPr>
          <w:rFonts w:cs="Gill Sans MT"/>
          <w:sz w:val="26"/>
          <w:szCs w:val="26"/>
        </w:rPr>
      </w:pPr>
      <w:r>
        <w:rPr>
          <w:rFonts w:cs="Gill Sans MT"/>
          <w:sz w:val="26"/>
          <w:szCs w:val="26"/>
        </w:rPr>
        <w:t xml:space="preserve">The Coverdell Grant funds have served as a significant source of supplemental funding for the accredited forensic labs in Oklahoma. </w:t>
      </w:r>
      <w:r w:rsidR="009B56D5">
        <w:rPr>
          <w:rFonts w:cs="Gill Sans MT"/>
          <w:sz w:val="26"/>
          <w:szCs w:val="26"/>
        </w:rPr>
        <w:t>As a result of the Coverdell Forensic Science Improvement Grant Program, a number of critical advancements have been afforded to the participating forensic labs which likely woul</w:t>
      </w:r>
      <w:r w:rsidR="00E669BC">
        <w:rPr>
          <w:rFonts w:cs="Gill Sans MT"/>
          <w:sz w:val="26"/>
          <w:szCs w:val="26"/>
        </w:rPr>
        <w:t xml:space="preserve">d not have occurred otherwise. </w:t>
      </w:r>
      <w:r>
        <w:rPr>
          <w:rFonts w:cs="Gill Sans MT"/>
          <w:sz w:val="26"/>
          <w:szCs w:val="26"/>
        </w:rPr>
        <w:t xml:space="preserve">The following </w:t>
      </w:r>
      <w:r>
        <w:rPr>
          <w:rFonts w:cs="Gill Sans MT"/>
          <w:sz w:val="26"/>
          <w:szCs w:val="26"/>
        </w:rPr>
        <w:lastRenderedPageBreak/>
        <w:t xml:space="preserve">chart </w:t>
      </w:r>
      <w:r w:rsidRPr="00EA3873">
        <w:rPr>
          <w:rFonts w:cs="Gill Sans MT"/>
          <w:sz w:val="26"/>
          <w:szCs w:val="26"/>
        </w:rPr>
        <w:t xml:space="preserve">identifies the categories in which the funding was expended. </w:t>
      </w:r>
    </w:p>
    <w:p w:rsidR="00FA40A0" w:rsidRDefault="00FA40A0" w:rsidP="00EA3873">
      <w:pPr>
        <w:rPr>
          <w:noProof/>
        </w:rPr>
      </w:pPr>
    </w:p>
    <w:p w:rsidR="00FA40A0" w:rsidRPr="006970CC" w:rsidRDefault="00731DB1" w:rsidP="00EA3873">
      <w:pPr>
        <w:rPr>
          <w:rFonts w:cs="Gill Sans MT"/>
          <w:b/>
          <w:bCs/>
          <w:sz w:val="26"/>
          <w:szCs w:val="26"/>
        </w:rPr>
      </w:pPr>
      <w:r>
        <w:rPr>
          <w:rFonts w:cs="Gill Sans MT"/>
          <w:b/>
          <w:noProof/>
          <w:sz w:val="26"/>
          <w:szCs w:val="26"/>
        </w:rPr>
        <w:drawing>
          <wp:inline distT="0" distB="0" distL="0" distR="0">
            <wp:extent cx="5943600" cy="3022600"/>
            <wp:effectExtent l="0" t="0" r="19050" b="2540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40A0" w:rsidRDefault="00FA40A0">
      <w:pPr>
        <w:rPr>
          <w:rFonts w:cs="Gill Sans MT"/>
          <w:b/>
          <w:bCs/>
          <w:caps/>
          <w:sz w:val="26"/>
          <w:szCs w:val="26"/>
        </w:rPr>
      </w:pPr>
    </w:p>
    <w:p w:rsidR="00FA40A0" w:rsidRDefault="00FA40A0">
      <w:pPr>
        <w:rPr>
          <w:rFonts w:cs="Gill Sans MT"/>
          <w:b/>
          <w:bCs/>
          <w:caps/>
          <w:sz w:val="26"/>
          <w:szCs w:val="26"/>
        </w:rPr>
      </w:pPr>
      <w:r>
        <w:rPr>
          <w:rFonts w:cs="Gill Sans MT"/>
          <w:b/>
          <w:bCs/>
          <w:caps/>
          <w:sz w:val="26"/>
          <w:szCs w:val="26"/>
        </w:rPr>
        <w:t>Organizational Structure</w:t>
      </w:r>
    </w:p>
    <w:p w:rsidR="00FA40A0" w:rsidRDefault="00FA40A0">
      <w:pPr>
        <w:rPr>
          <w:rFonts w:cs="Gill Sans MT"/>
          <w:sz w:val="26"/>
          <w:szCs w:val="26"/>
        </w:rPr>
      </w:pPr>
      <w:r>
        <w:rPr>
          <w:rFonts w:cs="Gill Sans MT"/>
          <w:sz w:val="26"/>
          <w:szCs w:val="26"/>
        </w:rPr>
        <w:t>In 2002, the Forensic Science Improvement Task Force was formed. The overall goals of the Task Force are to improve the quality and timeliness of forensic science services for criminal justice purposes, to reduce the backlog of forensic science cases, and to provide input into the Coverdell Forensic Science Improvement Grant. The participants on the Task Force include representatives from the following agencies and/or departments:</w:t>
      </w:r>
    </w:p>
    <w:p w:rsidR="00FA40A0" w:rsidRDefault="00FA40A0">
      <w:pPr>
        <w:rPr>
          <w:rFonts w:cs="Gill Sans MT"/>
          <w:sz w:val="26"/>
          <w:szCs w:val="26"/>
        </w:rPr>
      </w:pP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Broken Arrow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District Attorneys Council</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Norman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Office of the Medical Examiner</w:t>
      </w:r>
    </w:p>
    <w:p w:rsidR="00FA40A0" w:rsidRDefault="00FA40A0" w:rsidP="00881515">
      <w:pPr>
        <w:numPr>
          <w:ilvl w:val="0"/>
          <w:numId w:val="8"/>
        </w:numPr>
        <w:tabs>
          <w:tab w:val="left" w:pos="1080"/>
        </w:tabs>
        <w:ind w:left="1080" w:hanging="360"/>
        <w:rPr>
          <w:rFonts w:cs="Gill Sans MT"/>
          <w:sz w:val="26"/>
          <w:szCs w:val="26"/>
        </w:rPr>
      </w:pP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Association of Chiefs of Police</w:t>
      </w:r>
    </w:p>
    <w:p w:rsidR="00FA40A0" w:rsidRPr="00324B1C" w:rsidRDefault="00FA40A0" w:rsidP="00324B1C">
      <w:pPr>
        <w:numPr>
          <w:ilvl w:val="0"/>
          <w:numId w:val="8"/>
        </w:numPr>
        <w:tabs>
          <w:tab w:val="left" w:pos="1080"/>
        </w:tabs>
        <w:ind w:left="1080" w:hanging="360"/>
        <w:rPr>
          <w:rFonts w:cs="Gill Sans MT"/>
          <w:sz w:val="26"/>
          <w:szCs w:val="26"/>
        </w:rPr>
      </w:pPr>
      <w:r>
        <w:rPr>
          <w:rFonts w:cs="Gill Sans MT"/>
          <w:sz w:val="26"/>
          <w:szCs w:val="26"/>
        </w:rPr>
        <w:t>Oklahoma City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Oklahoma Sheriff’s Association</w:t>
      </w:r>
    </w:p>
    <w:p w:rsidR="00FA40A0" w:rsidRDefault="00FA40A0" w:rsidP="00881515">
      <w:pPr>
        <w:numPr>
          <w:ilvl w:val="0"/>
          <w:numId w:val="8"/>
        </w:numPr>
        <w:tabs>
          <w:tab w:val="left" w:pos="1080"/>
        </w:tabs>
        <w:ind w:left="1080" w:hanging="360"/>
        <w:rPr>
          <w:rFonts w:cs="Gill Sans MT"/>
          <w:sz w:val="26"/>
          <w:szCs w:val="26"/>
        </w:rPr>
      </w:pPr>
      <w:smartTag w:uri="urn:schemas-microsoft-com:office:smarttags" w:element="place">
        <w:smartTag w:uri="urn:schemas-microsoft-com:office:smarttags" w:element="PlaceName">
          <w:r>
            <w:rPr>
              <w:rFonts w:cs="Gill Sans MT"/>
              <w:sz w:val="26"/>
              <w:szCs w:val="26"/>
            </w:rPr>
            <w:t>Oklahoma</w:t>
          </w:r>
        </w:smartTag>
        <w:r>
          <w:rPr>
            <w:rFonts w:cs="Gill Sans MT"/>
            <w:sz w:val="26"/>
            <w:szCs w:val="26"/>
          </w:rPr>
          <w:t xml:space="preserve"> </w:t>
        </w:r>
        <w:smartTag w:uri="urn:schemas-microsoft-com:office:smarttags" w:element="PlaceType">
          <w:r>
            <w:rPr>
              <w:rFonts w:cs="Gill Sans MT"/>
              <w:sz w:val="26"/>
              <w:szCs w:val="26"/>
            </w:rPr>
            <w:t>State</w:t>
          </w:r>
        </w:smartTag>
      </w:smartTag>
      <w:r>
        <w:rPr>
          <w:rFonts w:cs="Gill Sans MT"/>
          <w:sz w:val="26"/>
          <w:szCs w:val="26"/>
        </w:rPr>
        <w:t xml:space="preserve"> Bureau of Investigation</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Tulsa Police Department</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members representing the District Attorneys Council, the Oklahoma Sheriff’s Association, and the Oklahoma Association of Chiefs of Police serve as consumers of forensic science services in the state and provide additional perspective in achieving the overall goals of the Task Force.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other participants from the above referenced agencies and local law enforcement jurisdictions represent forensic labs in the major metropolitan areas as well as medium sized jurisdictions within the state. </w:t>
      </w:r>
    </w:p>
    <w:p w:rsidR="00FA40A0" w:rsidRDefault="00FA40A0">
      <w:pPr>
        <w:rPr>
          <w:rFonts w:cs="Gill Sans MT"/>
          <w:sz w:val="26"/>
          <w:szCs w:val="26"/>
        </w:rPr>
      </w:pPr>
      <w:r>
        <w:rPr>
          <w:rFonts w:cs="Gill Sans MT"/>
          <w:sz w:val="26"/>
          <w:szCs w:val="26"/>
        </w:rPr>
        <w:lastRenderedPageBreak/>
        <w:t xml:space="preserve">The Task Force operates under the purview of the Justice Assistance Grant (JAG) Board.  In </w:t>
      </w: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the JAG Board is charged with overseeing the Justice Assistance Grant Program and other criminal justice grant programs funded through the Bureau of Justice Assistance. The goal of this grant program is to improve the criminal justice system. The projects funded in </w:t>
      </w:r>
      <w:smartTag w:uri="urn:schemas-microsoft-com:office:smarttags" w:element="place">
        <w:smartTag w:uri="urn:schemas-microsoft-com:office:smarttags" w:element="State">
          <w:r>
            <w:rPr>
              <w:rFonts w:cs="Gill Sans MT"/>
              <w:sz w:val="26"/>
              <w:szCs w:val="26"/>
            </w:rPr>
            <w:t>Oklahoma</w:t>
          </w:r>
        </w:smartTag>
      </w:smartTag>
      <w:r>
        <w:rPr>
          <w:rFonts w:cs="Gill Sans MT"/>
          <w:sz w:val="26"/>
          <w:szCs w:val="26"/>
        </w:rPr>
        <w:t xml:space="preserve"> under this grant program have a special emphasis on drug-related crimes, violent crimes, and serious offenders. Forensic labs are indelibly intertwined in these types of crimes, so the Task Force functions as a committee of the JAG Board.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JAG Board, comprised of 17 voting and non-voting members, is charged with determining priorities for funding, reviewing grant proposals, and determining awards. The following is a list of the agencies and the representing members of the JAG Board. </w:t>
      </w:r>
    </w:p>
    <w:p w:rsidR="00FA40A0" w:rsidRDefault="00FA40A0">
      <w:pPr>
        <w:rPr>
          <w:rFonts w:cs="Gill Sans MT"/>
          <w:sz w:val="26"/>
          <w:szCs w:val="26"/>
        </w:rPr>
      </w:pPr>
    </w:p>
    <w:p w:rsidR="00FA40A0" w:rsidRDefault="00FA40A0">
      <w:pPr>
        <w:pBdr>
          <w:top w:val="double" w:sz="12" w:space="1" w:color="auto"/>
          <w:left w:val="double" w:sz="12" w:space="4" w:color="auto"/>
          <w:bottom w:val="double" w:sz="12" w:space="1" w:color="auto"/>
          <w:right w:val="double" w:sz="12" w:space="4" w:color="auto"/>
        </w:pBdr>
        <w:jc w:val="center"/>
        <w:rPr>
          <w:rFonts w:cs="Gill Sans MT"/>
          <w:b/>
          <w:bCs/>
          <w:sz w:val="26"/>
          <w:szCs w:val="26"/>
        </w:rPr>
      </w:pPr>
      <w:r>
        <w:rPr>
          <w:rFonts w:cs="Gill Sans MT"/>
          <w:b/>
          <w:bCs/>
          <w:sz w:val="26"/>
          <w:szCs w:val="26"/>
        </w:rPr>
        <w:t>Justice Assistance Grant Board</w:t>
      </w:r>
    </w:p>
    <w:p w:rsidR="00FA40A0" w:rsidRDefault="00FA40A0">
      <w:pPr>
        <w:pBdr>
          <w:top w:val="double" w:sz="12" w:space="1" w:color="auto"/>
          <w:left w:val="double" w:sz="12" w:space="4" w:color="auto"/>
          <w:bottom w:val="double" w:sz="12" w:space="1" w:color="auto"/>
          <w:right w:val="double" w:sz="12" w:space="4" w:color="auto"/>
        </w:pBdr>
        <w:jc w:val="center"/>
        <w:rPr>
          <w:rFonts w:cs="Gill Sans MT"/>
          <w:b/>
          <w:bCs/>
          <w:sz w:val="26"/>
          <w:szCs w:val="26"/>
        </w:rPr>
      </w:pPr>
      <w:r>
        <w:rPr>
          <w:rFonts w:cs="Gill Sans MT"/>
          <w:b/>
          <w:bCs/>
          <w:sz w:val="26"/>
          <w:szCs w:val="26"/>
        </w:rPr>
        <w:t>Membership Roster</w:t>
      </w:r>
    </w:p>
    <w:p w:rsidR="00FA40A0" w:rsidRDefault="00FA40A0">
      <w:pPr>
        <w:pStyle w:val="Heading1"/>
        <w:keepNext/>
        <w:tabs>
          <w:tab w:val="left" w:pos="720"/>
          <w:tab w:val="left" w:pos="3600"/>
          <w:tab w:val="left" w:pos="4320"/>
        </w:tabs>
        <w:rPr>
          <w:rFonts w:cs="Gill Sans MT"/>
          <w:b/>
          <w:bCs/>
          <w:sz w:val="26"/>
          <w:szCs w:val="26"/>
          <w:u w:val="single"/>
        </w:rPr>
      </w:pPr>
    </w:p>
    <w:p w:rsidR="00FA40A0" w:rsidRDefault="00FA40A0">
      <w:pPr>
        <w:rPr>
          <w:rFonts w:cs="Gill Sans MT"/>
          <w:b/>
          <w:bCs/>
          <w:sz w:val="26"/>
          <w:szCs w:val="26"/>
          <w:u w:val="single"/>
        </w:rPr>
      </w:pPr>
      <w:r>
        <w:rPr>
          <w:rFonts w:cs="Gill Sans MT"/>
          <w:b/>
          <w:bCs/>
          <w:sz w:val="26"/>
          <w:szCs w:val="26"/>
          <w:u w:val="single"/>
        </w:rPr>
        <w:t xml:space="preserve">Voting Members  </w:t>
      </w:r>
    </w:p>
    <w:p w:rsidR="00FA40A0" w:rsidRDefault="00FA40A0">
      <w:pPr>
        <w:tabs>
          <w:tab w:val="left" w:pos="720"/>
          <w:tab w:val="left" w:pos="5040"/>
        </w:tabs>
        <w:rPr>
          <w:rFonts w:cs="Gill Sans MT"/>
          <w:b/>
          <w:bCs/>
        </w:rPr>
      </w:pPr>
      <w:r>
        <w:rPr>
          <w:rFonts w:cs="Gill Sans MT"/>
          <w:b/>
          <w:bCs/>
        </w:rPr>
        <w:t>Trent Baggett, Acting Executive Coordinator</w:t>
      </w:r>
    </w:p>
    <w:p w:rsidR="00FA40A0" w:rsidRDefault="00FA40A0">
      <w:pPr>
        <w:tabs>
          <w:tab w:val="left" w:pos="720"/>
          <w:tab w:val="left" w:pos="4320"/>
          <w:tab w:val="left" w:pos="5040"/>
        </w:tabs>
        <w:rPr>
          <w:rFonts w:cs="Gill Sans MT"/>
        </w:rPr>
      </w:pPr>
      <w:r>
        <w:rPr>
          <w:rFonts w:cs="Gill Sans MT"/>
        </w:rPr>
        <w:t>District Attorneys Council</w:t>
      </w:r>
    </w:p>
    <w:p w:rsidR="00FA40A0" w:rsidRDefault="00FA40A0">
      <w:pPr>
        <w:tabs>
          <w:tab w:val="left" w:pos="720"/>
          <w:tab w:val="left" w:pos="4320"/>
          <w:tab w:val="left" w:pos="5040"/>
        </w:tabs>
        <w:rPr>
          <w:rFonts w:cs="Gill Sans MT"/>
        </w:rPr>
      </w:pPr>
      <w:r>
        <w:rPr>
          <w:rFonts w:cs="Gill Sans MT"/>
        </w:rPr>
        <w:t xml:space="preserve">     Lee Cohlmia, Designee</w:t>
      </w:r>
    </w:p>
    <w:p w:rsidR="00FA40A0" w:rsidRDefault="00FA40A0">
      <w:pPr>
        <w:tabs>
          <w:tab w:val="left" w:pos="720"/>
          <w:tab w:val="left" w:pos="3600"/>
        </w:tabs>
        <w:rPr>
          <w:rFonts w:cs="Gill Sans MT"/>
          <w:b/>
          <w:bCs/>
        </w:rPr>
      </w:pPr>
    </w:p>
    <w:p w:rsidR="00FA40A0" w:rsidRDefault="00FA40A0">
      <w:pPr>
        <w:tabs>
          <w:tab w:val="left" w:pos="720"/>
          <w:tab w:val="left" w:pos="3600"/>
        </w:tabs>
        <w:rPr>
          <w:rFonts w:cs="Gill Sans MT"/>
          <w:b/>
          <w:bCs/>
        </w:rPr>
      </w:pPr>
      <w:r>
        <w:rPr>
          <w:rFonts w:cs="Gill Sans MT"/>
          <w:b/>
          <w:bCs/>
        </w:rPr>
        <w:t>Mike Boring, District Attorney</w:t>
      </w:r>
    </w:p>
    <w:p w:rsidR="00FA40A0" w:rsidRDefault="00FA40A0">
      <w:pPr>
        <w:tabs>
          <w:tab w:val="left" w:pos="720"/>
          <w:tab w:val="left" w:pos="3600"/>
        </w:tabs>
        <w:rPr>
          <w:rFonts w:cs="Gill Sans MT"/>
        </w:rPr>
      </w:pPr>
      <w:r>
        <w:rPr>
          <w:rFonts w:cs="Gill Sans MT"/>
        </w:rPr>
        <w:t>District Attorney District 1</w:t>
      </w:r>
    </w:p>
    <w:p w:rsidR="00FA40A0" w:rsidRDefault="00FA40A0">
      <w:pPr>
        <w:tabs>
          <w:tab w:val="left" w:pos="720"/>
          <w:tab w:val="left" w:pos="3600"/>
        </w:tabs>
        <w:rPr>
          <w:rFonts w:cs="Gill Sans MT"/>
          <w:b/>
          <w:bCs/>
        </w:rPr>
      </w:pPr>
    </w:p>
    <w:p w:rsidR="00FA40A0" w:rsidRDefault="00FA40A0">
      <w:pPr>
        <w:tabs>
          <w:tab w:val="left" w:pos="720"/>
          <w:tab w:val="left" w:pos="3600"/>
          <w:tab w:val="left" w:pos="4320"/>
          <w:tab w:val="left" w:pos="5040"/>
        </w:tabs>
        <w:rPr>
          <w:rFonts w:cs="Gill Sans MT"/>
        </w:rPr>
      </w:pPr>
      <w:smartTag w:uri="urn:schemas-microsoft-com:office:smarttags" w:element="place">
        <w:r>
          <w:rPr>
            <w:rFonts w:cs="Gill Sans MT"/>
            <w:b/>
            <w:bCs/>
          </w:rPr>
          <w:t>Gene Christian</w:t>
        </w:r>
      </w:smartTag>
      <w:r>
        <w:rPr>
          <w:rFonts w:cs="Gill Sans MT"/>
          <w:b/>
          <w:bCs/>
        </w:rPr>
        <w:t>, Executive Director</w:t>
      </w:r>
      <w:r>
        <w:rPr>
          <w:rFonts w:cs="Gill Sans MT"/>
          <w:b/>
          <w:bCs/>
        </w:rPr>
        <w:tab/>
      </w:r>
    </w:p>
    <w:p w:rsidR="00FA40A0" w:rsidRDefault="00FA40A0">
      <w:pPr>
        <w:tabs>
          <w:tab w:val="left" w:pos="720"/>
          <w:tab w:val="left" w:pos="3600"/>
          <w:tab w:val="left" w:pos="4320"/>
          <w:tab w:val="left" w:pos="5040"/>
        </w:tabs>
        <w:rPr>
          <w:rFonts w:cs="Gill Sans MT"/>
        </w:rPr>
      </w:pPr>
      <w:r>
        <w:rPr>
          <w:rFonts w:cs="Gill Sans MT"/>
        </w:rPr>
        <w:t>Office of Juvenile Affairs</w:t>
      </w:r>
    </w:p>
    <w:p w:rsidR="00FA40A0" w:rsidRDefault="00FA40A0">
      <w:pPr>
        <w:tabs>
          <w:tab w:val="left" w:pos="720"/>
          <w:tab w:val="left" w:pos="3600"/>
          <w:tab w:val="left" w:pos="4320"/>
          <w:tab w:val="left" w:pos="5040"/>
        </w:tabs>
        <w:rPr>
          <w:rFonts w:cs="Gill Sans MT"/>
          <w:color w:val="000000"/>
        </w:rPr>
      </w:pPr>
      <w:r>
        <w:rPr>
          <w:rFonts w:cs="Gill Sans MT"/>
        </w:rPr>
        <w:t xml:space="preserve">     </w:t>
      </w:r>
      <w:smartTag w:uri="urn:schemas-microsoft-com:office:smarttags" w:element="place">
        <w:r>
          <w:rPr>
            <w:rFonts w:cs="Gill Sans MT"/>
          </w:rPr>
          <w:t xml:space="preserve">Gary </w:t>
        </w:r>
        <w:r>
          <w:rPr>
            <w:rFonts w:cs="Gill Sans MT"/>
            <w:color w:val="000000"/>
          </w:rPr>
          <w:t>Bolin</w:t>
        </w:r>
      </w:smartTag>
      <w:r>
        <w:rPr>
          <w:rFonts w:cs="Gill Sans MT"/>
          <w:color w:val="000000"/>
        </w:rPr>
        <w:t>, Designee</w:t>
      </w:r>
    </w:p>
    <w:p w:rsidR="00FA40A0" w:rsidRDefault="00FA40A0">
      <w:pPr>
        <w:tabs>
          <w:tab w:val="left" w:pos="720"/>
          <w:tab w:val="left" w:pos="3600"/>
        </w:tabs>
        <w:rPr>
          <w:rFonts w:cs="Gill Sans MT"/>
          <w:b/>
          <w:bCs/>
        </w:rPr>
      </w:pPr>
    </w:p>
    <w:p w:rsidR="00FA40A0" w:rsidRDefault="00E669BC">
      <w:pPr>
        <w:pStyle w:val="Heading3"/>
        <w:keepNext/>
        <w:tabs>
          <w:tab w:val="left" w:pos="720"/>
          <w:tab w:val="left" w:pos="3600"/>
        </w:tabs>
        <w:rPr>
          <w:rFonts w:cs="Gill Sans MT"/>
          <w:b/>
          <w:bCs/>
        </w:rPr>
      </w:pPr>
      <w:r>
        <w:rPr>
          <w:rFonts w:cs="Gill Sans MT"/>
          <w:b/>
          <w:bCs/>
        </w:rPr>
        <w:t>Scott Pruitt</w:t>
      </w:r>
      <w:r w:rsidR="00FA40A0">
        <w:rPr>
          <w:rFonts w:cs="Gill Sans MT"/>
          <w:b/>
          <w:bCs/>
        </w:rPr>
        <w:t>, Attorney General</w:t>
      </w:r>
    </w:p>
    <w:p w:rsidR="00FA40A0" w:rsidRDefault="00FA40A0">
      <w:pPr>
        <w:pStyle w:val="Heading3"/>
        <w:keepNext/>
        <w:tabs>
          <w:tab w:val="left" w:pos="720"/>
          <w:tab w:val="left" w:pos="3600"/>
        </w:tabs>
        <w:rPr>
          <w:rFonts w:cs="Gill Sans MT"/>
        </w:rPr>
      </w:pPr>
      <w:smartTag w:uri="urn:schemas-microsoft-com:office:smarttags" w:element="place">
        <w:r>
          <w:rPr>
            <w:rFonts w:cs="Gill Sans MT"/>
          </w:rPr>
          <w:t>Office of the Attorney General</w:t>
        </w:r>
      </w:smartTag>
    </w:p>
    <w:p w:rsidR="00FA40A0" w:rsidRDefault="00FA40A0" w:rsidP="00E669BC">
      <w:pPr>
        <w:tabs>
          <w:tab w:val="left" w:pos="720"/>
        </w:tabs>
        <w:rPr>
          <w:rFonts w:cs="Gill Sans MT"/>
          <w:b/>
          <w:bCs/>
        </w:rPr>
      </w:pPr>
      <w:r>
        <w:rPr>
          <w:rFonts w:cs="Gill Sans MT"/>
        </w:rPr>
        <w:t xml:space="preserve">     </w:t>
      </w:r>
    </w:p>
    <w:p w:rsidR="00FA40A0" w:rsidRDefault="00A24499">
      <w:pPr>
        <w:tabs>
          <w:tab w:val="left" w:pos="720"/>
          <w:tab w:val="left" w:pos="3600"/>
        </w:tabs>
        <w:rPr>
          <w:rFonts w:cs="Gill Sans MT"/>
          <w:b/>
          <w:bCs/>
        </w:rPr>
      </w:pPr>
      <w:r>
        <w:rPr>
          <w:rFonts w:cs="Gill Sans MT"/>
          <w:b/>
          <w:bCs/>
        </w:rPr>
        <w:t>Janet Barresi</w:t>
      </w:r>
      <w:r w:rsidR="00FA40A0">
        <w:rPr>
          <w:rFonts w:cs="Gill Sans MT"/>
          <w:b/>
          <w:bCs/>
        </w:rPr>
        <w:t>, Superintendent</w:t>
      </w:r>
    </w:p>
    <w:p w:rsidR="00FA40A0" w:rsidRDefault="00FA40A0">
      <w:pPr>
        <w:tabs>
          <w:tab w:val="left" w:pos="720"/>
          <w:tab w:val="left" w:pos="3600"/>
        </w:tabs>
        <w:rPr>
          <w:rFonts w:cs="Gill Sans MT"/>
        </w:rPr>
      </w:pPr>
      <w:r>
        <w:rPr>
          <w:rFonts w:cs="Gill Sans MT"/>
        </w:rPr>
        <w:t>Department of Education</w:t>
      </w:r>
    </w:p>
    <w:p w:rsidR="00FA40A0" w:rsidRDefault="00FA40A0">
      <w:pPr>
        <w:tabs>
          <w:tab w:val="left" w:pos="720"/>
        </w:tabs>
        <w:rPr>
          <w:rFonts w:cs="Gill Sans MT"/>
        </w:rPr>
      </w:pPr>
      <w:r>
        <w:rPr>
          <w:rFonts w:cs="Gill Sans MT"/>
        </w:rPr>
        <w:t xml:space="preserve">     </w:t>
      </w:r>
      <w:smartTag w:uri="urn:schemas-microsoft-com:office:smarttags" w:element="place">
        <w:smartTag w:uri="urn:schemas-microsoft-com:office:smarttags" w:element="PersonName">
          <w:r>
            <w:rPr>
              <w:rFonts w:cs="Gill Sans MT"/>
            </w:rPr>
            <w:t>Gayle Jones</w:t>
          </w:r>
        </w:smartTag>
      </w:smartTag>
      <w:r>
        <w:rPr>
          <w:rFonts w:cs="Gill Sans MT"/>
        </w:rPr>
        <w:t>, Designee</w:t>
      </w:r>
    </w:p>
    <w:p w:rsidR="00FA40A0" w:rsidRDefault="00FA40A0">
      <w:pPr>
        <w:tabs>
          <w:tab w:val="left" w:pos="720"/>
          <w:tab w:val="left" w:pos="3600"/>
          <w:tab w:val="left" w:pos="4320"/>
        </w:tabs>
        <w:rPr>
          <w:rFonts w:cs="Gill Sans MT"/>
        </w:rPr>
      </w:pPr>
    </w:p>
    <w:p w:rsidR="00FA40A0" w:rsidRDefault="00FA40A0">
      <w:pPr>
        <w:tabs>
          <w:tab w:val="left" w:pos="720"/>
          <w:tab w:val="left" w:pos="4320"/>
          <w:tab w:val="left" w:pos="5040"/>
        </w:tabs>
        <w:rPr>
          <w:rFonts w:cs="Gill Sans MT"/>
          <w:b/>
          <w:bCs/>
        </w:rPr>
      </w:pPr>
      <w:smartTag w:uri="urn:schemas-microsoft-com:office:smarttags" w:element="place">
        <w:smartTag w:uri="urn:schemas-microsoft-com:office:smarttags" w:element="PersonName">
          <w:r>
            <w:rPr>
              <w:rFonts w:cs="Gill Sans MT"/>
              <w:b/>
              <w:bCs/>
            </w:rPr>
            <w:t>Justin Jones</w:t>
          </w:r>
        </w:smartTag>
      </w:smartTag>
      <w:r>
        <w:rPr>
          <w:rFonts w:cs="Gill Sans MT"/>
          <w:b/>
          <w:bCs/>
        </w:rPr>
        <w:t>, Director</w:t>
      </w:r>
    </w:p>
    <w:p w:rsidR="00FA40A0" w:rsidRDefault="00FA40A0">
      <w:pPr>
        <w:tabs>
          <w:tab w:val="left" w:pos="720"/>
          <w:tab w:val="left" w:pos="4320"/>
          <w:tab w:val="left" w:pos="5040"/>
        </w:tabs>
        <w:rPr>
          <w:rFonts w:cs="Gill Sans MT"/>
        </w:rPr>
      </w:pPr>
      <w:r>
        <w:rPr>
          <w:rFonts w:cs="Gill Sans MT"/>
        </w:rPr>
        <w:t>Department of Corrections</w:t>
      </w:r>
    </w:p>
    <w:p w:rsidR="00FA40A0" w:rsidRDefault="00FA40A0">
      <w:pPr>
        <w:tabs>
          <w:tab w:val="left" w:pos="720"/>
          <w:tab w:val="left" w:pos="5040"/>
        </w:tabs>
        <w:rPr>
          <w:rFonts w:cs="Gill Sans MT"/>
        </w:rPr>
      </w:pPr>
      <w:r>
        <w:rPr>
          <w:rFonts w:cs="Gill Sans MT"/>
        </w:rPr>
        <w:t xml:space="preserve">     </w:t>
      </w:r>
      <w:smartTag w:uri="urn:schemas-microsoft-com:office:smarttags" w:element="place">
        <w:r>
          <w:rPr>
            <w:rFonts w:cs="Gill Sans MT"/>
          </w:rPr>
          <w:t>Bill McCollum</w:t>
        </w:r>
      </w:smartTag>
      <w:r>
        <w:rPr>
          <w:rFonts w:cs="Gill Sans MT"/>
        </w:rPr>
        <w:t>, Designee</w:t>
      </w:r>
    </w:p>
    <w:p w:rsidR="00FA40A0" w:rsidRDefault="00FA40A0">
      <w:pPr>
        <w:tabs>
          <w:tab w:val="left" w:pos="720"/>
          <w:tab w:val="left" w:pos="3600"/>
          <w:tab w:val="left" w:pos="4320"/>
        </w:tabs>
        <w:rPr>
          <w:rFonts w:cs="Gill Sans MT"/>
          <w:b/>
          <w:bCs/>
        </w:rPr>
      </w:pPr>
    </w:p>
    <w:p w:rsidR="00FA40A0" w:rsidRDefault="00E669BC">
      <w:pPr>
        <w:tabs>
          <w:tab w:val="left" w:pos="720"/>
          <w:tab w:val="left" w:pos="3600"/>
          <w:tab w:val="left" w:pos="4320"/>
        </w:tabs>
        <w:rPr>
          <w:rFonts w:cs="Gill Sans MT"/>
          <w:b/>
          <w:bCs/>
        </w:rPr>
      </w:pPr>
      <w:r>
        <w:rPr>
          <w:rFonts w:cs="Gill Sans MT"/>
          <w:b/>
          <w:bCs/>
        </w:rPr>
        <w:t>Stan Florence</w:t>
      </w:r>
      <w:r w:rsidR="00FA40A0">
        <w:rPr>
          <w:rFonts w:cs="Gill Sans MT"/>
          <w:b/>
          <w:bCs/>
        </w:rPr>
        <w:t>, Director</w:t>
      </w:r>
      <w:r w:rsidR="00FA40A0">
        <w:rPr>
          <w:rFonts w:cs="Gill Sans MT"/>
          <w:b/>
          <w:bCs/>
        </w:rPr>
        <w:tab/>
      </w:r>
    </w:p>
    <w:p w:rsidR="00FA40A0" w:rsidRDefault="00FA40A0">
      <w:pPr>
        <w:tabs>
          <w:tab w:val="left" w:pos="720"/>
          <w:tab w:val="left" w:pos="3600"/>
          <w:tab w:val="left" w:pos="4320"/>
        </w:tabs>
        <w:rPr>
          <w:rFonts w:cs="Gill Sans MT"/>
        </w:rPr>
      </w:pPr>
      <w:smartTag w:uri="urn:schemas-microsoft-com:office:smarttags" w:element="place">
        <w:smartTag w:uri="urn:schemas-microsoft-com:office:smarttags" w:element="PlaceName">
          <w:r>
            <w:rPr>
              <w:rFonts w:cs="Gill Sans MT"/>
            </w:rPr>
            <w:t>Oklahoma</w:t>
          </w:r>
        </w:smartTag>
        <w:r>
          <w:rPr>
            <w:rFonts w:cs="Gill Sans MT"/>
          </w:rPr>
          <w:t xml:space="preserve"> </w:t>
        </w:r>
        <w:smartTag w:uri="urn:schemas-microsoft-com:office:smarttags" w:element="PlaceType">
          <w:r>
            <w:rPr>
              <w:rFonts w:cs="Gill Sans MT"/>
            </w:rPr>
            <w:t>State</w:t>
          </w:r>
        </w:smartTag>
      </w:smartTag>
      <w:r>
        <w:rPr>
          <w:rFonts w:cs="Gill Sans MT"/>
        </w:rPr>
        <w:t xml:space="preserve"> Bureau of Investigation</w:t>
      </w:r>
    </w:p>
    <w:p w:rsidR="00FA40A0" w:rsidRDefault="00FA40A0">
      <w:pPr>
        <w:tabs>
          <w:tab w:val="left" w:pos="720"/>
          <w:tab w:val="left" w:pos="5040"/>
        </w:tabs>
        <w:rPr>
          <w:rFonts w:cs="Gill Sans MT"/>
        </w:rPr>
      </w:pPr>
      <w:r>
        <w:rPr>
          <w:rFonts w:cs="Gill Sans MT"/>
        </w:rPr>
        <w:t xml:space="preserve">     Charles Curtis, Designee</w:t>
      </w:r>
    </w:p>
    <w:p w:rsidR="006970CC" w:rsidRDefault="006970CC">
      <w:pPr>
        <w:tabs>
          <w:tab w:val="left" w:pos="720"/>
          <w:tab w:val="left" w:pos="5040"/>
        </w:tabs>
        <w:rPr>
          <w:rFonts w:cs="Gill Sans MT"/>
          <w:b/>
          <w:bCs/>
          <w:color w:val="000000"/>
        </w:rPr>
      </w:pPr>
    </w:p>
    <w:p w:rsidR="00FA40A0" w:rsidRDefault="00FA40A0">
      <w:pPr>
        <w:tabs>
          <w:tab w:val="left" w:pos="720"/>
          <w:tab w:val="left" w:pos="5040"/>
        </w:tabs>
        <w:rPr>
          <w:rFonts w:cs="Gill Sans MT"/>
        </w:rPr>
      </w:pPr>
      <w:r>
        <w:rPr>
          <w:rFonts w:cs="Gill Sans MT"/>
          <w:b/>
          <w:bCs/>
          <w:color w:val="000000"/>
        </w:rPr>
        <w:t>Richard Smothermon, District Attorney - District 23</w:t>
      </w:r>
    </w:p>
    <w:p w:rsidR="00FA40A0" w:rsidRDefault="00FA40A0">
      <w:pPr>
        <w:tabs>
          <w:tab w:val="left" w:pos="720"/>
          <w:tab w:val="left" w:pos="3600"/>
          <w:tab w:val="left" w:pos="4320"/>
          <w:tab w:val="left" w:pos="5040"/>
        </w:tabs>
        <w:rPr>
          <w:rFonts w:cs="Gill Sans MT"/>
        </w:rPr>
      </w:pPr>
      <w:r>
        <w:rPr>
          <w:rFonts w:cs="Gill Sans MT"/>
        </w:rPr>
        <w:t>Governor Brad Henry’s Representative</w:t>
      </w:r>
    </w:p>
    <w:p w:rsidR="00FA40A0" w:rsidRDefault="00FA40A0">
      <w:pPr>
        <w:tabs>
          <w:tab w:val="left" w:pos="720"/>
          <w:tab w:val="left" w:pos="3600"/>
          <w:tab w:val="left" w:pos="4320"/>
          <w:tab w:val="left" w:pos="5040"/>
        </w:tabs>
        <w:rPr>
          <w:rFonts w:cs="Gill Sans MT"/>
        </w:rPr>
      </w:pPr>
      <w:r>
        <w:rPr>
          <w:rFonts w:cs="Gill Sans MT"/>
        </w:rPr>
        <w:t xml:space="preserve">     Russell Cochran, Designee</w:t>
      </w:r>
    </w:p>
    <w:p w:rsidR="00E669BC" w:rsidRDefault="00E669BC">
      <w:pPr>
        <w:tabs>
          <w:tab w:val="left" w:pos="720"/>
          <w:tab w:val="left" w:pos="3600"/>
          <w:tab w:val="left" w:pos="4320"/>
          <w:tab w:val="left" w:pos="5040"/>
        </w:tabs>
        <w:rPr>
          <w:rFonts w:cs="Gill Sans MT"/>
        </w:rPr>
      </w:pPr>
    </w:p>
    <w:p w:rsidR="00FA40A0" w:rsidRDefault="003928EF">
      <w:pPr>
        <w:tabs>
          <w:tab w:val="left" w:pos="720"/>
          <w:tab w:val="left" w:pos="4320"/>
          <w:tab w:val="left" w:pos="5040"/>
        </w:tabs>
        <w:rPr>
          <w:rFonts w:cs="Gill Sans MT"/>
          <w:b/>
          <w:bCs/>
        </w:rPr>
      </w:pPr>
      <w:r>
        <w:rPr>
          <w:rFonts w:cs="Gill Sans MT"/>
          <w:b/>
          <w:bCs/>
        </w:rPr>
        <w:lastRenderedPageBreak/>
        <w:t>Michael C. Thompson</w:t>
      </w:r>
      <w:r w:rsidR="00FA40A0">
        <w:rPr>
          <w:rFonts w:cs="Gill Sans MT"/>
          <w:b/>
          <w:bCs/>
        </w:rPr>
        <w:t>, Commissioner</w:t>
      </w:r>
    </w:p>
    <w:p w:rsidR="00FA40A0" w:rsidRDefault="00FA40A0">
      <w:pPr>
        <w:tabs>
          <w:tab w:val="left" w:pos="720"/>
          <w:tab w:val="left" w:pos="4320"/>
          <w:tab w:val="left" w:pos="5040"/>
        </w:tabs>
        <w:rPr>
          <w:rFonts w:cs="Gill Sans MT"/>
        </w:rPr>
      </w:pPr>
      <w:r>
        <w:rPr>
          <w:rFonts w:cs="Gill Sans MT"/>
        </w:rPr>
        <w:t>Department of Public Safety</w:t>
      </w:r>
    </w:p>
    <w:p w:rsidR="00FA40A0" w:rsidRDefault="00FA40A0">
      <w:pPr>
        <w:tabs>
          <w:tab w:val="left" w:pos="720"/>
          <w:tab w:val="left" w:pos="5040"/>
        </w:tabs>
        <w:rPr>
          <w:rFonts w:cs="Gill Sans MT"/>
        </w:rPr>
      </w:pPr>
    </w:p>
    <w:p w:rsidR="00FA40A0" w:rsidRDefault="00FA40A0">
      <w:pPr>
        <w:pStyle w:val="Heading1"/>
        <w:keepNext/>
        <w:tabs>
          <w:tab w:val="left" w:pos="720"/>
          <w:tab w:val="left" w:pos="3600"/>
          <w:tab w:val="left" w:pos="4320"/>
        </w:tabs>
        <w:rPr>
          <w:rFonts w:cs="Gill Sans MT"/>
          <w:b/>
          <w:bCs/>
        </w:rPr>
      </w:pPr>
      <w:r>
        <w:rPr>
          <w:rFonts w:cs="Gill Sans MT"/>
          <w:b/>
          <w:bCs/>
        </w:rPr>
        <w:t xml:space="preserve">Darrel Weaver, Director </w:t>
      </w:r>
      <w:r>
        <w:rPr>
          <w:rFonts w:cs="Gill Sans MT"/>
          <w:b/>
          <w:bCs/>
        </w:rPr>
        <w:tab/>
      </w:r>
    </w:p>
    <w:p w:rsidR="00FA40A0" w:rsidRDefault="00FA40A0">
      <w:pPr>
        <w:pStyle w:val="Heading1"/>
        <w:keepNext/>
        <w:tabs>
          <w:tab w:val="left" w:pos="720"/>
          <w:tab w:val="left" w:pos="3600"/>
          <w:tab w:val="left" w:pos="4320"/>
        </w:tabs>
        <w:rPr>
          <w:rFonts w:cs="Gill Sans MT"/>
        </w:rPr>
      </w:pPr>
      <w:r>
        <w:rPr>
          <w:rFonts w:cs="Gill Sans MT"/>
        </w:rPr>
        <w:t>Bureau of Narcotics Dangerous Drugs Control</w:t>
      </w:r>
    </w:p>
    <w:p w:rsidR="00FA40A0" w:rsidRDefault="00FA40A0">
      <w:pPr>
        <w:rPr>
          <w:rFonts w:cs="Gill Sans MT"/>
        </w:rPr>
      </w:pPr>
      <w:r>
        <w:rPr>
          <w:rFonts w:ascii="Times New Roman" w:hAnsi="Times New Roman"/>
          <w:sz w:val="20"/>
          <w:szCs w:val="20"/>
        </w:rPr>
        <w:t xml:space="preserve">     </w:t>
      </w:r>
      <w:r>
        <w:rPr>
          <w:rFonts w:cs="Gill Sans MT"/>
        </w:rPr>
        <w:t>Bob Cook, Designee</w:t>
      </w:r>
    </w:p>
    <w:p w:rsidR="00FA40A0" w:rsidRDefault="00FA40A0">
      <w:pPr>
        <w:tabs>
          <w:tab w:val="left" w:pos="720"/>
          <w:tab w:val="left" w:pos="3600"/>
          <w:tab w:val="left" w:pos="4320"/>
          <w:tab w:val="left" w:pos="5040"/>
        </w:tabs>
        <w:rPr>
          <w:rFonts w:cs="Gill Sans MT"/>
          <w:b/>
          <w:bCs/>
        </w:rPr>
      </w:pPr>
    </w:p>
    <w:p w:rsidR="00FA40A0" w:rsidRDefault="00FA40A0">
      <w:pPr>
        <w:tabs>
          <w:tab w:val="left" w:pos="720"/>
          <w:tab w:val="left" w:pos="3600"/>
          <w:tab w:val="left" w:pos="4320"/>
          <w:tab w:val="left" w:pos="5040"/>
        </w:tabs>
        <w:rPr>
          <w:rFonts w:cs="Gill Sans MT"/>
          <w:b/>
          <w:bCs/>
        </w:rPr>
      </w:pPr>
      <w:r>
        <w:rPr>
          <w:rFonts w:cs="Gill Sans MT"/>
          <w:b/>
          <w:bCs/>
        </w:rPr>
        <w:t>John Whetsel, Sheriff</w:t>
      </w:r>
    </w:p>
    <w:p w:rsidR="00FA40A0" w:rsidRDefault="00FA40A0">
      <w:pPr>
        <w:tabs>
          <w:tab w:val="left" w:pos="720"/>
          <w:tab w:val="left" w:pos="3600"/>
          <w:tab w:val="left" w:pos="4320"/>
          <w:tab w:val="left" w:pos="5040"/>
        </w:tabs>
        <w:rPr>
          <w:rFonts w:cs="Gill Sans MT"/>
          <w:b/>
          <w:bCs/>
        </w:rPr>
      </w:pPr>
      <w:r>
        <w:rPr>
          <w:rFonts w:cs="Gill Sans MT"/>
        </w:rPr>
        <w:t>Oklahoma County</w:t>
      </w:r>
      <w:r>
        <w:rPr>
          <w:rFonts w:cs="Gill Sans MT"/>
          <w:b/>
          <w:bCs/>
        </w:rPr>
        <w:tab/>
      </w:r>
    </w:p>
    <w:p w:rsidR="00FA40A0" w:rsidRDefault="00FA40A0">
      <w:pPr>
        <w:tabs>
          <w:tab w:val="left" w:pos="720"/>
          <w:tab w:val="left" w:pos="3600"/>
          <w:tab w:val="left" w:pos="4320"/>
          <w:tab w:val="left" w:pos="5040"/>
        </w:tabs>
        <w:rPr>
          <w:rFonts w:cs="Gill Sans MT"/>
        </w:rPr>
      </w:pPr>
      <w:r>
        <w:rPr>
          <w:rFonts w:cs="Gill Sans MT"/>
        </w:rPr>
        <w:t>Oklahoma Sheriffs Association</w:t>
      </w:r>
    </w:p>
    <w:p w:rsidR="009B56D5" w:rsidRDefault="002B3146" w:rsidP="00992713">
      <w:pPr>
        <w:tabs>
          <w:tab w:val="left" w:pos="360"/>
          <w:tab w:val="left" w:pos="3600"/>
          <w:tab w:val="left" w:pos="4320"/>
          <w:tab w:val="left" w:pos="5040"/>
        </w:tabs>
        <w:rPr>
          <w:rFonts w:cs="Gill Sans MT"/>
        </w:rPr>
      </w:pPr>
      <w:r>
        <w:rPr>
          <w:rFonts w:cs="Gill Sans MT"/>
        </w:rPr>
        <w:t xml:space="preserve">     </w:t>
      </w:r>
      <w:r w:rsidR="00FA40A0">
        <w:rPr>
          <w:rFonts w:cs="Gill Sans MT"/>
        </w:rPr>
        <w:t>John Waldenville, Designee</w:t>
      </w:r>
    </w:p>
    <w:p w:rsidR="009B56D5" w:rsidRDefault="009B56D5" w:rsidP="00992713">
      <w:pPr>
        <w:tabs>
          <w:tab w:val="left" w:pos="360"/>
          <w:tab w:val="left" w:pos="3600"/>
          <w:tab w:val="left" w:pos="4320"/>
          <w:tab w:val="left" w:pos="5040"/>
        </w:tabs>
        <w:rPr>
          <w:rFonts w:cs="Gill Sans MT"/>
        </w:rPr>
      </w:pPr>
    </w:p>
    <w:p w:rsidR="009B56D5" w:rsidRDefault="00FA40A0" w:rsidP="00992713">
      <w:pPr>
        <w:tabs>
          <w:tab w:val="left" w:pos="360"/>
          <w:tab w:val="left" w:pos="3600"/>
          <w:tab w:val="left" w:pos="4320"/>
          <w:tab w:val="left" w:pos="5040"/>
        </w:tabs>
        <w:rPr>
          <w:rFonts w:cs="Gill Sans MT"/>
          <w:b/>
          <w:bCs/>
        </w:rPr>
      </w:pPr>
      <w:r>
        <w:rPr>
          <w:rFonts w:cs="Gill Sans MT"/>
          <w:b/>
          <w:bCs/>
        </w:rPr>
        <w:t>Terri White, Commissioner</w:t>
      </w:r>
    </w:p>
    <w:p w:rsidR="00FA40A0" w:rsidRDefault="00FA40A0">
      <w:pPr>
        <w:tabs>
          <w:tab w:val="left" w:pos="720"/>
          <w:tab w:val="left" w:pos="3600"/>
          <w:tab w:val="left" w:pos="4320"/>
        </w:tabs>
        <w:rPr>
          <w:rFonts w:cs="Gill Sans MT"/>
        </w:rPr>
      </w:pPr>
      <w:r>
        <w:rPr>
          <w:rFonts w:cs="Gill Sans MT"/>
        </w:rPr>
        <w:t>Department of Mental Health and Substance Abuse Services</w:t>
      </w:r>
    </w:p>
    <w:p w:rsidR="00FA40A0" w:rsidRDefault="00FA40A0">
      <w:pPr>
        <w:tabs>
          <w:tab w:val="left" w:pos="720"/>
          <w:tab w:val="left" w:pos="3600"/>
          <w:tab w:val="left" w:pos="4320"/>
        </w:tabs>
        <w:rPr>
          <w:rFonts w:cs="Gill Sans MT"/>
        </w:rPr>
      </w:pPr>
      <w:r>
        <w:rPr>
          <w:rFonts w:cs="Gill Sans MT"/>
        </w:rPr>
        <w:t xml:space="preserve">     David Wright, Designee</w:t>
      </w:r>
    </w:p>
    <w:p w:rsidR="00FA40A0" w:rsidRDefault="00FA40A0">
      <w:pPr>
        <w:tabs>
          <w:tab w:val="left" w:pos="720"/>
          <w:tab w:val="left" w:pos="3600"/>
          <w:tab w:val="left" w:pos="4320"/>
        </w:tabs>
        <w:rPr>
          <w:rFonts w:cs="Gill Sans MT"/>
        </w:rPr>
      </w:pPr>
    </w:p>
    <w:p w:rsidR="00FA40A0" w:rsidRDefault="00FA40A0">
      <w:pPr>
        <w:tabs>
          <w:tab w:val="left" w:pos="720"/>
          <w:tab w:val="left" w:pos="3600"/>
          <w:tab w:val="left" w:pos="4320"/>
        </w:tabs>
        <w:rPr>
          <w:rFonts w:cs="Gill Sans MT"/>
          <w:b/>
          <w:bCs/>
        </w:rPr>
      </w:pPr>
      <w:r>
        <w:rPr>
          <w:rFonts w:cs="Gill Sans MT"/>
          <w:b/>
          <w:bCs/>
        </w:rPr>
        <w:t>Dan Yancey, Chief</w:t>
      </w:r>
    </w:p>
    <w:p w:rsidR="00FA40A0" w:rsidRDefault="00FA40A0">
      <w:pPr>
        <w:tabs>
          <w:tab w:val="left" w:pos="720"/>
          <w:tab w:val="left" w:pos="3600"/>
          <w:tab w:val="left" w:pos="4320"/>
        </w:tabs>
        <w:rPr>
          <w:rFonts w:cs="Gill Sans MT"/>
        </w:rPr>
      </w:pPr>
      <w:r>
        <w:rPr>
          <w:rFonts w:cs="Gill Sans MT"/>
        </w:rPr>
        <w:t>Owasso Police Department</w:t>
      </w:r>
    </w:p>
    <w:p w:rsidR="00FA40A0" w:rsidRDefault="00FA40A0">
      <w:pPr>
        <w:tabs>
          <w:tab w:val="left" w:pos="720"/>
          <w:tab w:val="left" w:pos="3600"/>
          <w:tab w:val="left" w:pos="4320"/>
        </w:tabs>
        <w:rPr>
          <w:rFonts w:cs="Gill Sans MT"/>
        </w:rPr>
      </w:pPr>
      <w:r>
        <w:rPr>
          <w:rFonts w:cs="Gill Sans MT"/>
        </w:rPr>
        <w:t>Oklahoma Association of Chiefs of Police</w:t>
      </w:r>
    </w:p>
    <w:p w:rsidR="00FA40A0" w:rsidRDefault="00FA40A0">
      <w:pPr>
        <w:tabs>
          <w:tab w:val="left" w:pos="720"/>
          <w:tab w:val="left" w:pos="3600"/>
          <w:tab w:val="left" w:pos="4320"/>
        </w:tabs>
        <w:rPr>
          <w:rFonts w:cs="Gill Sans MT"/>
        </w:rPr>
      </w:pPr>
      <w:r>
        <w:rPr>
          <w:rFonts w:cs="Gill Sans MT"/>
        </w:rPr>
        <w:t xml:space="preserve">     Scott </w:t>
      </w:r>
      <w:proofErr w:type="spellStart"/>
      <w:r>
        <w:rPr>
          <w:rFonts w:cs="Gill Sans MT"/>
        </w:rPr>
        <w:t>Chambless</w:t>
      </w:r>
      <w:proofErr w:type="spellEnd"/>
      <w:r>
        <w:rPr>
          <w:rFonts w:cs="Gill Sans MT"/>
        </w:rPr>
        <w:t>, Designee</w:t>
      </w:r>
      <w:r>
        <w:rPr>
          <w:rFonts w:ascii="Times New Roman" w:hAnsi="Times New Roman"/>
          <w:sz w:val="20"/>
          <w:szCs w:val="20"/>
        </w:rPr>
        <w:tab/>
      </w:r>
    </w:p>
    <w:p w:rsidR="00FA40A0" w:rsidRDefault="00FA40A0">
      <w:pPr>
        <w:pStyle w:val="Heading3"/>
        <w:keepNext/>
        <w:rPr>
          <w:rFonts w:cs="Gill Sans MT"/>
          <w:b/>
          <w:bCs/>
          <w:u w:val="single"/>
        </w:rPr>
      </w:pPr>
    </w:p>
    <w:p w:rsidR="00FA40A0" w:rsidRDefault="00FA40A0">
      <w:pPr>
        <w:pStyle w:val="Heading3"/>
        <w:keepNext/>
        <w:rPr>
          <w:rFonts w:cs="Gill Sans MT"/>
          <w:b/>
          <w:bCs/>
          <w:u w:val="single"/>
        </w:rPr>
      </w:pPr>
      <w:r>
        <w:rPr>
          <w:rFonts w:cs="Gill Sans MT"/>
          <w:b/>
          <w:bCs/>
          <w:u w:val="single"/>
        </w:rPr>
        <w:t>Non-Voting Members</w:t>
      </w:r>
    </w:p>
    <w:p w:rsidR="00FA40A0" w:rsidRDefault="00FA40A0">
      <w:pPr>
        <w:pStyle w:val="Heading2"/>
        <w:keepNext/>
        <w:rPr>
          <w:rFonts w:cs="Gill Sans MT"/>
          <w:b/>
          <w:bCs/>
        </w:rPr>
      </w:pPr>
      <w:r>
        <w:rPr>
          <w:rFonts w:cs="Gill Sans MT"/>
          <w:b/>
          <w:bCs/>
        </w:rPr>
        <w:t xml:space="preserve">Sanford C. “Sandy” </w:t>
      </w:r>
      <w:r w:rsidR="00E669BC">
        <w:rPr>
          <w:rFonts w:cs="Gill Sans MT"/>
          <w:b/>
          <w:bCs/>
        </w:rPr>
        <w:t>Coat</w:t>
      </w:r>
      <w:r w:rsidRPr="00DF2BC3">
        <w:rPr>
          <w:rFonts w:cs="Gill Sans MT"/>
          <w:b/>
          <w:bCs/>
        </w:rPr>
        <w:t>s</w:t>
      </w:r>
    </w:p>
    <w:p w:rsidR="00FA40A0" w:rsidRDefault="00FA40A0">
      <w:pPr>
        <w:rPr>
          <w:rFonts w:cs="Gill Sans MT"/>
        </w:rPr>
      </w:pPr>
      <w:r>
        <w:rPr>
          <w:rFonts w:cs="Gill Sans MT"/>
        </w:rPr>
        <w:t>U.S. Attorney for the Western District</w:t>
      </w:r>
    </w:p>
    <w:p w:rsidR="00FA40A0" w:rsidRDefault="00FA40A0">
      <w:pPr>
        <w:rPr>
          <w:rFonts w:cs="Gill Sans MT"/>
        </w:rPr>
      </w:pPr>
      <w:r>
        <w:rPr>
          <w:rFonts w:cs="Gill Sans MT"/>
        </w:rPr>
        <w:t xml:space="preserve">     Dave Walling, Designee</w:t>
      </w:r>
      <w:r>
        <w:rPr>
          <w:rFonts w:cs="Gill Sans MT"/>
        </w:rPr>
        <w:tab/>
      </w:r>
      <w:r>
        <w:rPr>
          <w:rFonts w:cs="Gill Sans MT"/>
        </w:rPr>
        <w:tab/>
      </w:r>
      <w:r>
        <w:rPr>
          <w:rFonts w:cs="Gill Sans MT"/>
        </w:rPr>
        <w:tab/>
      </w:r>
    </w:p>
    <w:p w:rsidR="00FA40A0" w:rsidRDefault="00FA40A0">
      <w:pPr>
        <w:rPr>
          <w:rFonts w:cs="Gill Sans MT"/>
        </w:rPr>
      </w:pPr>
    </w:p>
    <w:p w:rsidR="00FA40A0" w:rsidRDefault="00E669BC">
      <w:pPr>
        <w:pStyle w:val="Heading2"/>
        <w:keepNext/>
        <w:rPr>
          <w:rFonts w:cs="Gill Sans MT"/>
          <w:b/>
          <w:bCs/>
        </w:rPr>
      </w:pPr>
      <w:r>
        <w:rPr>
          <w:rFonts w:cs="Gill Sans MT"/>
          <w:b/>
          <w:bCs/>
        </w:rPr>
        <w:t xml:space="preserve">Thomas </w:t>
      </w:r>
      <w:r w:rsidR="00FA40A0">
        <w:rPr>
          <w:rFonts w:cs="Gill Sans MT"/>
          <w:b/>
          <w:bCs/>
        </w:rPr>
        <w:t>Scott Woodward</w:t>
      </w:r>
    </w:p>
    <w:p w:rsidR="00FA40A0" w:rsidRDefault="00FA40A0">
      <w:pPr>
        <w:rPr>
          <w:rFonts w:cs="Gill Sans MT"/>
        </w:rPr>
      </w:pPr>
      <w:r>
        <w:rPr>
          <w:rFonts w:cs="Gill Sans MT"/>
        </w:rPr>
        <w:t>U.S. Attorney for the Northern District</w:t>
      </w:r>
    </w:p>
    <w:p w:rsidR="00FA40A0" w:rsidRDefault="00FA40A0">
      <w:pPr>
        <w:rPr>
          <w:rFonts w:cs="Gill Sans MT"/>
          <w:color w:val="0000FF"/>
          <w:u w:val="single"/>
        </w:rPr>
      </w:pPr>
      <w:r>
        <w:rPr>
          <w:rFonts w:cs="Gill Sans MT"/>
        </w:rPr>
        <w:t xml:space="preserve">     Allen Litchfield, Designee</w:t>
      </w:r>
      <w:r>
        <w:rPr>
          <w:rFonts w:cs="Gill Sans MT"/>
        </w:rPr>
        <w:tab/>
      </w:r>
      <w:r>
        <w:rPr>
          <w:rFonts w:cs="Gill Sans MT"/>
        </w:rPr>
        <w:tab/>
      </w:r>
      <w:r>
        <w:rPr>
          <w:rFonts w:cs="Gill Sans MT"/>
        </w:rPr>
        <w:tab/>
      </w:r>
    </w:p>
    <w:p w:rsidR="00FA40A0" w:rsidRDefault="00FA40A0">
      <w:pPr>
        <w:rPr>
          <w:rFonts w:cs="Gill Sans MT"/>
        </w:rPr>
      </w:pPr>
      <w:r>
        <w:rPr>
          <w:rFonts w:cs="Gill Sans MT"/>
        </w:rPr>
        <w:t xml:space="preserve">                           </w:t>
      </w:r>
    </w:p>
    <w:p w:rsidR="00FA40A0" w:rsidRDefault="00E669BC">
      <w:pPr>
        <w:pStyle w:val="Heading2"/>
        <w:keepNext/>
        <w:rPr>
          <w:rFonts w:cs="Gill Sans MT"/>
          <w:b/>
          <w:bCs/>
        </w:rPr>
      </w:pPr>
      <w:r>
        <w:rPr>
          <w:rFonts w:cs="Gill Sans MT"/>
          <w:b/>
          <w:bCs/>
        </w:rPr>
        <w:t>Mark F. Green</w:t>
      </w:r>
      <w:r w:rsidR="00FA40A0">
        <w:rPr>
          <w:rFonts w:cs="Gill Sans MT"/>
          <w:b/>
          <w:bCs/>
        </w:rPr>
        <w:tab/>
      </w:r>
      <w:r w:rsidR="00FA40A0">
        <w:rPr>
          <w:rFonts w:cs="Gill Sans MT"/>
          <w:b/>
          <w:bCs/>
        </w:rPr>
        <w:tab/>
      </w:r>
      <w:r w:rsidR="00FA40A0">
        <w:rPr>
          <w:rFonts w:cs="Gill Sans MT"/>
          <w:b/>
          <w:bCs/>
        </w:rPr>
        <w:tab/>
      </w:r>
      <w:r w:rsidR="00FA40A0">
        <w:rPr>
          <w:rFonts w:cs="Gill Sans MT"/>
          <w:b/>
          <w:bCs/>
        </w:rPr>
        <w:tab/>
      </w:r>
    </w:p>
    <w:p w:rsidR="00FA40A0" w:rsidRDefault="00FA40A0">
      <w:pPr>
        <w:rPr>
          <w:rFonts w:cs="Gill Sans MT"/>
        </w:rPr>
      </w:pPr>
      <w:r>
        <w:rPr>
          <w:rFonts w:cs="Gill Sans MT"/>
        </w:rPr>
        <w:t>U.S. Attorney for the Eastern District</w:t>
      </w:r>
    </w:p>
    <w:p w:rsidR="00FA40A0" w:rsidRDefault="00FA40A0">
      <w:pPr>
        <w:rPr>
          <w:rFonts w:cs="Gill Sans MT"/>
        </w:rPr>
      </w:pPr>
      <w:r>
        <w:rPr>
          <w:rFonts w:cs="Gill Sans MT"/>
        </w:rPr>
        <w:t xml:space="preserve">     Rob Wallace, Designee</w:t>
      </w:r>
      <w:r>
        <w:rPr>
          <w:rFonts w:cs="Gill Sans MT"/>
        </w:rPr>
        <w:tab/>
      </w:r>
      <w:r>
        <w:rPr>
          <w:rFonts w:cs="Gill Sans MT"/>
        </w:rPr>
        <w:tab/>
      </w:r>
      <w:r>
        <w:rPr>
          <w:rFonts w:cs="Gill Sans MT"/>
        </w:rPr>
        <w:tab/>
      </w:r>
      <w:r>
        <w:rPr>
          <w:rFonts w:cs="Gill Sans MT"/>
        </w:rPr>
        <w:tab/>
      </w:r>
      <w:r>
        <w:rPr>
          <w:rFonts w:cs="Gill Sans MT"/>
        </w:rPr>
        <w:tab/>
      </w:r>
      <w:r>
        <w:rPr>
          <w:rFonts w:cs="Gill Sans MT"/>
        </w:rPr>
        <w:tab/>
      </w:r>
      <w:r>
        <w:rPr>
          <w:rFonts w:cs="Gill Sans MT"/>
        </w:rPr>
        <w:tab/>
      </w:r>
      <w:r>
        <w:rPr>
          <w:rFonts w:cs="Gill Sans MT"/>
        </w:rPr>
        <w:tab/>
      </w:r>
      <w:r>
        <w:rPr>
          <w:rFonts w:cs="Gill Sans MT"/>
        </w:rPr>
        <w:tab/>
        <w:t xml:space="preserve"> </w:t>
      </w:r>
    </w:p>
    <w:p w:rsidR="00FA40A0" w:rsidRDefault="00FA40A0">
      <w:pPr>
        <w:pStyle w:val="Heading2"/>
        <w:keepNext/>
        <w:rPr>
          <w:rFonts w:cs="Gill Sans MT"/>
          <w:b/>
          <w:bCs/>
        </w:rPr>
      </w:pPr>
    </w:p>
    <w:p w:rsidR="00FA40A0" w:rsidRDefault="00FA40A0">
      <w:pPr>
        <w:pStyle w:val="Heading2"/>
        <w:keepNext/>
        <w:rPr>
          <w:rFonts w:cs="Gill Sans MT"/>
          <w:b/>
          <w:bCs/>
        </w:rPr>
      </w:pPr>
      <w:r>
        <w:rPr>
          <w:rFonts w:cs="Gill Sans MT"/>
          <w:b/>
          <w:bCs/>
        </w:rPr>
        <w:t>Jim Akagi</w:t>
      </w:r>
    </w:p>
    <w:p w:rsidR="00FA40A0" w:rsidRDefault="00FA40A0">
      <w:pPr>
        <w:rPr>
          <w:rFonts w:cs="Gill Sans MT"/>
        </w:rPr>
      </w:pPr>
      <w:r>
        <w:rPr>
          <w:rFonts w:cs="Gill Sans MT"/>
        </w:rPr>
        <w:t>Assistant Special Agent in Charge</w:t>
      </w:r>
    </w:p>
    <w:p w:rsidR="00FA40A0" w:rsidRDefault="00FA40A0">
      <w:pPr>
        <w:rPr>
          <w:rFonts w:cs="Gill Sans MT"/>
        </w:rPr>
      </w:pPr>
      <w:r>
        <w:rPr>
          <w:rFonts w:cs="Gill Sans MT"/>
        </w:rPr>
        <w:t>Drug Enforcement Administration</w:t>
      </w:r>
    </w:p>
    <w:p w:rsidR="00FA40A0" w:rsidRDefault="00FA40A0">
      <w:pPr>
        <w:rPr>
          <w:rFonts w:cs="Gill Sans MT"/>
        </w:rPr>
      </w:pPr>
      <w:r>
        <w:rPr>
          <w:rFonts w:cs="Gill Sans MT"/>
        </w:rPr>
        <w:t xml:space="preserve">     Rob Ryan, Designee</w:t>
      </w:r>
    </w:p>
    <w:p w:rsidR="00FA40A0" w:rsidRDefault="00FA40A0">
      <w:pPr>
        <w:rPr>
          <w:rFonts w:cs="Gill Sans MT"/>
          <w:b/>
          <w:bCs/>
          <w:caps/>
          <w:sz w:val="26"/>
          <w:szCs w:val="26"/>
        </w:rPr>
      </w:pPr>
    </w:p>
    <w:p w:rsidR="00FA40A0" w:rsidRDefault="00FA40A0">
      <w:pPr>
        <w:rPr>
          <w:rFonts w:cs="Gill Sans MT"/>
          <w:b/>
          <w:bCs/>
          <w:caps/>
          <w:sz w:val="26"/>
          <w:szCs w:val="26"/>
        </w:rPr>
      </w:pPr>
      <w:r>
        <w:rPr>
          <w:rFonts w:cs="Gill Sans MT"/>
          <w:b/>
          <w:bCs/>
          <w:caps/>
          <w:sz w:val="26"/>
          <w:szCs w:val="26"/>
        </w:rPr>
        <w:t>Problem Identification</w:t>
      </w:r>
    </w:p>
    <w:p w:rsidR="00FA40A0" w:rsidRDefault="00FA40A0">
      <w:pPr>
        <w:rPr>
          <w:rFonts w:cs="Gill Sans MT"/>
          <w:sz w:val="26"/>
          <w:szCs w:val="26"/>
        </w:rPr>
      </w:pPr>
      <w:r>
        <w:rPr>
          <w:rFonts w:cs="Gill Sans MT"/>
          <w:sz w:val="26"/>
          <w:szCs w:val="26"/>
        </w:rPr>
        <w:t xml:space="preserve">The first </w:t>
      </w:r>
      <w:r>
        <w:rPr>
          <w:rFonts w:cs="Gill Sans MT"/>
          <w:i/>
          <w:iCs/>
          <w:sz w:val="26"/>
          <w:szCs w:val="26"/>
        </w:rPr>
        <w:t>Improvement</w:t>
      </w:r>
      <w:r>
        <w:rPr>
          <w:rFonts w:cs="Gill Sans MT"/>
          <w:sz w:val="26"/>
          <w:szCs w:val="26"/>
        </w:rPr>
        <w:t xml:space="preserve"> </w:t>
      </w:r>
      <w:r>
        <w:rPr>
          <w:rFonts w:cs="Gill Sans MT"/>
          <w:i/>
          <w:iCs/>
          <w:sz w:val="26"/>
          <w:szCs w:val="26"/>
        </w:rPr>
        <w:t xml:space="preserve">Plan for Forensic Science and Toxicology Medical Examiner Services </w:t>
      </w:r>
      <w:r>
        <w:rPr>
          <w:rFonts w:cs="Gill Sans MT"/>
          <w:sz w:val="26"/>
          <w:szCs w:val="26"/>
        </w:rPr>
        <w:t xml:space="preserve">was developed by the Forensic Science Improvement Task Force in 2002, prior to receiving funding from the Coverdell Forensic Science Improvement Grant and in advance of accreditation for the majority of the labs. The problems identified in the first plan related primarily to accreditation, such as time constraints in meeting the state statutory deadlines for accreditation and the costs of accreditation. Initially, </w:t>
      </w:r>
      <w:r w:rsidR="009B56D5">
        <w:rPr>
          <w:rFonts w:cs="Gill Sans MT"/>
          <w:sz w:val="26"/>
          <w:szCs w:val="26"/>
        </w:rPr>
        <w:t xml:space="preserve">some </w:t>
      </w:r>
      <w:r>
        <w:rPr>
          <w:rFonts w:cs="Gill Sans MT"/>
          <w:sz w:val="26"/>
          <w:szCs w:val="26"/>
        </w:rPr>
        <w:t>of the accredited forensic labs used funding from the Coverdell Grant to achieve and/or maintain accreditation.</w:t>
      </w:r>
    </w:p>
    <w:p w:rsidR="00FA40A0" w:rsidRDefault="00FA40A0">
      <w:pPr>
        <w:rPr>
          <w:rFonts w:cs="Gill Sans MT"/>
          <w:sz w:val="26"/>
          <w:szCs w:val="26"/>
        </w:rPr>
      </w:pPr>
    </w:p>
    <w:p w:rsidR="00FA40A0" w:rsidRPr="003244BD" w:rsidRDefault="00FA40A0">
      <w:pPr>
        <w:rPr>
          <w:rFonts w:cs="Gill Sans MT"/>
          <w:sz w:val="26"/>
          <w:szCs w:val="26"/>
        </w:rPr>
      </w:pPr>
      <w:r>
        <w:rPr>
          <w:rFonts w:cs="Gill Sans MT"/>
          <w:sz w:val="26"/>
          <w:szCs w:val="26"/>
        </w:rPr>
        <w:lastRenderedPageBreak/>
        <w:t xml:space="preserve">However, since obtaining accreditation, the issues facing the labs changed, and the plan was revised in 2006. The second plan focused on a variety of topical issues, some of which are ongoing. To continue to address the goals of improving the quality and timeliness of forensic science and toxicology medical examiner services for the criminal justice system in Oklahoma and to reduce the backlog of forensic science cases, it is important to conduct a periodic review. In 2009 and 2010, the Task Force spent considerable time discussing and exploring the current problems and barriers, potential solutions as well as the advancements that have been made in the field of forensic science and as a result of the Coverdell funding. </w:t>
      </w:r>
      <w:r w:rsidRPr="003244BD">
        <w:rPr>
          <w:rFonts w:cs="Gill Sans MT"/>
          <w:sz w:val="26"/>
          <w:szCs w:val="26"/>
        </w:rPr>
        <w:t>In 2010, the Task Force addressed the recommendations issued in the National Academy of Science (NAS) Report and incorp</w:t>
      </w:r>
      <w:r>
        <w:rPr>
          <w:rFonts w:cs="Gill Sans MT"/>
          <w:sz w:val="26"/>
          <w:szCs w:val="26"/>
        </w:rPr>
        <w:t>orated appropriate responses into</w:t>
      </w:r>
      <w:r w:rsidRPr="003244BD">
        <w:rPr>
          <w:rFonts w:cs="Gill Sans MT"/>
          <w:sz w:val="26"/>
          <w:szCs w:val="26"/>
        </w:rPr>
        <w:t xml:space="preserve"> this plan.</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The Task Force identified the following ongoing concerns with regard to improving the quality and timeliness of forensic science services and reducing the backlog of forensic science cases in Oklahoma:</w:t>
      </w:r>
    </w:p>
    <w:p w:rsidR="00FA40A0" w:rsidRDefault="00FA40A0">
      <w:pPr>
        <w:rPr>
          <w:rFonts w:cs="Gill Sans MT"/>
          <w:sz w:val="26"/>
          <w:szCs w:val="26"/>
        </w:rPr>
      </w:pPr>
    </w:p>
    <w:p w:rsidR="00FA40A0" w:rsidRDefault="00FA40A0" w:rsidP="001C135C">
      <w:pPr>
        <w:numPr>
          <w:ilvl w:val="0"/>
          <w:numId w:val="9"/>
        </w:numPr>
        <w:tabs>
          <w:tab w:val="left" w:pos="1080"/>
        </w:tabs>
        <w:ind w:firstLine="450"/>
        <w:rPr>
          <w:rFonts w:cs="Gill Sans MT"/>
          <w:sz w:val="26"/>
          <w:szCs w:val="26"/>
        </w:rPr>
      </w:pPr>
      <w:r>
        <w:rPr>
          <w:rFonts w:cs="Gill Sans MT"/>
          <w:sz w:val="26"/>
          <w:szCs w:val="26"/>
        </w:rPr>
        <w:t>Maintaining Accreditation</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Recruiting and Maintaining Personnel</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 xml:space="preserve">Maintaining Equipment and Instrumentation </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Ensuring Continuing Education and Training for Personnel</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Managing the Increasing Demand for Services</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Addressing the CSI Effect</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 xml:space="preserve">Improving Case Turnaround Time </w:t>
      </w:r>
    </w:p>
    <w:p w:rsidR="00FA40A0" w:rsidRDefault="00FA40A0" w:rsidP="001C135C">
      <w:pPr>
        <w:numPr>
          <w:ilvl w:val="0"/>
          <w:numId w:val="9"/>
        </w:numPr>
        <w:tabs>
          <w:tab w:val="clear" w:pos="630"/>
          <w:tab w:val="num" w:pos="1080"/>
        </w:tabs>
        <w:ind w:left="0" w:firstLine="720"/>
        <w:rPr>
          <w:rFonts w:cs="Gill Sans MT"/>
          <w:sz w:val="26"/>
          <w:szCs w:val="26"/>
        </w:rPr>
      </w:pPr>
      <w:r>
        <w:rPr>
          <w:rFonts w:cs="Gill Sans MT"/>
          <w:sz w:val="26"/>
          <w:szCs w:val="26"/>
        </w:rPr>
        <w:t>Reducing Case Backlog</w:t>
      </w:r>
    </w:p>
    <w:p w:rsidR="00FA40A0" w:rsidRDefault="00FA40A0">
      <w:pPr>
        <w:tabs>
          <w:tab w:val="left" w:pos="360"/>
        </w:tabs>
        <w:rPr>
          <w:rFonts w:cs="Gill Sans MT"/>
          <w:sz w:val="26"/>
          <w:szCs w:val="26"/>
        </w:rPr>
      </w:pPr>
    </w:p>
    <w:p w:rsidR="00FA40A0" w:rsidRDefault="00FA40A0">
      <w:pPr>
        <w:tabs>
          <w:tab w:val="left" w:pos="360"/>
        </w:tabs>
        <w:rPr>
          <w:rFonts w:cs="Gill Sans MT"/>
          <w:b/>
          <w:bCs/>
          <w:caps/>
          <w:sz w:val="26"/>
          <w:szCs w:val="26"/>
        </w:rPr>
      </w:pPr>
      <w:r>
        <w:rPr>
          <w:rFonts w:cs="Gill Sans MT"/>
          <w:sz w:val="26"/>
          <w:szCs w:val="26"/>
        </w:rPr>
        <w:t xml:space="preserve">The issues pertaining to each of these topics and </w:t>
      </w:r>
      <w:r w:rsidRPr="00C801DB">
        <w:rPr>
          <w:rFonts w:cs="Gill Sans MT"/>
          <w:sz w:val="26"/>
          <w:szCs w:val="26"/>
        </w:rPr>
        <w:t>Oklahoma’s position in relation to the NAS</w:t>
      </w:r>
      <w:r>
        <w:rPr>
          <w:rFonts w:cs="Gill Sans MT"/>
          <w:sz w:val="26"/>
          <w:szCs w:val="26"/>
        </w:rPr>
        <w:t xml:space="preserve"> </w:t>
      </w:r>
      <w:r w:rsidRPr="00582311">
        <w:rPr>
          <w:rFonts w:cs="Gill Sans MT"/>
          <w:sz w:val="26"/>
          <w:szCs w:val="26"/>
        </w:rPr>
        <w:t>Report</w:t>
      </w:r>
      <w:r>
        <w:rPr>
          <w:rFonts w:cs="Gill Sans MT"/>
          <w:sz w:val="26"/>
          <w:szCs w:val="26"/>
        </w:rPr>
        <w:t xml:space="preserve"> will be more fully elaborated in the following sections. </w:t>
      </w:r>
    </w:p>
    <w:p w:rsidR="00FA40A0" w:rsidRDefault="00FA40A0">
      <w:pPr>
        <w:tabs>
          <w:tab w:val="left" w:pos="360"/>
        </w:tabs>
        <w:rPr>
          <w:rFonts w:cs="Gill Sans MT"/>
          <w:b/>
          <w:bCs/>
          <w:caps/>
          <w:sz w:val="26"/>
          <w:szCs w:val="26"/>
        </w:rPr>
      </w:pPr>
    </w:p>
    <w:p w:rsidR="00FA40A0" w:rsidRDefault="00FA40A0">
      <w:pPr>
        <w:tabs>
          <w:tab w:val="left" w:pos="360"/>
        </w:tabs>
        <w:rPr>
          <w:rFonts w:cs="Gill Sans MT"/>
          <w:b/>
          <w:bCs/>
          <w:caps/>
          <w:sz w:val="26"/>
          <w:szCs w:val="26"/>
        </w:rPr>
      </w:pPr>
      <w:r>
        <w:rPr>
          <w:rFonts w:cs="Gill Sans MT"/>
          <w:b/>
          <w:bCs/>
          <w:caps/>
          <w:sz w:val="26"/>
          <w:szCs w:val="26"/>
        </w:rPr>
        <w:t>Maintaining Accreditation</w:t>
      </w:r>
    </w:p>
    <w:p w:rsidR="00FA40A0" w:rsidRDefault="00FA40A0">
      <w:pPr>
        <w:rPr>
          <w:rFonts w:cs="Gill Sans MT"/>
          <w:sz w:val="26"/>
          <w:szCs w:val="26"/>
        </w:rPr>
      </w:pPr>
      <w:r>
        <w:rPr>
          <w:rFonts w:cs="Gill Sans MT"/>
          <w:sz w:val="26"/>
          <w:szCs w:val="26"/>
        </w:rPr>
        <w:t xml:space="preserve">On May 22, 2002, the Forensic Laboratory Accreditation Act, O.S. 74 § 150.37, was passed which required all forensic labs in Oklahoma to become accredited by the American Society of Crime Lab Directors/Laboratory Accreditation Board (ASCLD/LAB) or the American Board of Forensic Toxicologists (ABFT) by July 1, 2005.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As set forth in the legislation, a forensic lab is defined as a lab operated by the state or any unit of municipal, county, city, or any other local government that examines physical evidence in criminal matters and provides opinion testimony in a court of law in forensic disciplines accredited by ASCLD/LAB or ABFT. The legislation required that as of January 1, 2003, all forensic labs shall have a technical peer review system sufficient to meet or exceed the accreditation standards </w:t>
      </w:r>
      <w:r w:rsidR="00E669BC">
        <w:rPr>
          <w:rFonts w:cs="Gill Sans MT"/>
          <w:sz w:val="26"/>
          <w:szCs w:val="26"/>
        </w:rPr>
        <w:t xml:space="preserve">of ASCLD/LAB. </w:t>
      </w:r>
      <w:r>
        <w:rPr>
          <w:rFonts w:cs="Gill Sans MT"/>
          <w:sz w:val="26"/>
          <w:szCs w:val="26"/>
        </w:rPr>
        <w:t xml:space="preserve">A technical peer review system is a system whereby the casework of an employee in a forensic laboratory shall be reviewed for technical correctness by a qualified peer. </w:t>
      </w:r>
    </w:p>
    <w:p w:rsidR="00FA40A0" w:rsidRDefault="00FA40A0">
      <w:pPr>
        <w:rPr>
          <w:rFonts w:cs="Gill Sans MT"/>
          <w:sz w:val="26"/>
          <w:szCs w:val="26"/>
        </w:rPr>
      </w:pPr>
    </w:p>
    <w:p w:rsidR="007119A6" w:rsidRDefault="00FA40A0">
      <w:pPr>
        <w:rPr>
          <w:rFonts w:cs="Gill Sans MT"/>
          <w:sz w:val="26"/>
          <w:szCs w:val="26"/>
        </w:rPr>
      </w:pPr>
      <w:r>
        <w:rPr>
          <w:rFonts w:cs="Gill Sans MT"/>
          <w:sz w:val="26"/>
          <w:szCs w:val="26"/>
        </w:rPr>
        <w:t xml:space="preserve">Additionally, the legislation required that as of January 1, 2004, all forensic labs shall have a proficiency-testing program sufficient to meet or exceed the accreditation standards of the </w:t>
      </w:r>
    </w:p>
    <w:p w:rsidR="007119A6" w:rsidRDefault="007119A6">
      <w:pPr>
        <w:rPr>
          <w:rFonts w:cs="Gill Sans MT"/>
          <w:sz w:val="26"/>
          <w:szCs w:val="26"/>
        </w:rPr>
      </w:pPr>
    </w:p>
    <w:p w:rsidR="00FA40A0" w:rsidRDefault="00FA40A0">
      <w:pPr>
        <w:rPr>
          <w:rFonts w:cs="Gill Sans MT"/>
          <w:sz w:val="26"/>
          <w:szCs w:val="26"/>
        </w:rPr>
      </w:pPr>
      <w:r>
        <w:rPr>
          <w:rFonts w:cs="Gill Sans MT"/>
          <w:sz w:val="26"/>
          <w:szCs w:val="26"/>
        </w:rPr>
        <w:lastRenderedPageBreak/>
        <w:t>ASCLD/LAB. A proficiency-testing program is defined as a program whereby the competency of analysis and the quality of performance of a laboratory is evaluated by external testing.</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The final component of the law required that by July 1, 2005, all forensic labs shall be ASCLD/LAB a</w:t>
      </w:r>
      <w:r w:rsidR="00E669BC">
        <w:rPr>
          <w:rFonts w:cs="Gill Sans MT"/>
          <w:sz w:val="26"/>
          <w:szCs w:val="26"/>
        </w:rPr>
        <w:t>ccredited. According to statute:</w:t>
      </w:r>
      <w:r>
        <w:rPr>
          <w:rFonts w:cs="Gill Sans MT"/>
          <w:sz w:val="26"/>
          <w:szCs w:val="26"/>
        </w:rPr>
        <w:t xml:space="preserve"> “On or after July 1, 2005, testimony, results, reports, or evidence of forensic analysis produced on behalf of the prosecution in a criminal trial in forensic disciplines accredited by ASCLD/LAB shall be done by an ASCLD/LAB </w:t>
      </w:r>
      <w:r w:rsidR="00E669BC">
        <w:rPr>
          <w:rFonts w:cs="Gill Sans MT"/>
          <w:sz w:val="26"/>
          <w:szCs w:val="26"/>
        </w:rPr>
        <w:t>accredited forensic laboratory.”</w:t>
      </w:r>
      <w:r>
        <w:rPr>
          <w:rFonts w:cs="Gill Sans MT"/>
          <w:sz w:val="26"/>
          <w:szCs w:val="26"/>
        </w:rPr>
        <w:t xml:space="preserve"> Forensic laboratories that exclusively and solely perform forensic toxicology analysis may meet this requirement by being either ASCLD/LAB accredited or accredited by the American Board of Forensic Toxicologists.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The requirements for peer review systems and proficiency testing are not applicable to the following:</w:t>
      </w:r>
    </w:p>
    <w:p w:rsidR="00FA40A0" w:rsidRDefault="00FA40A0">
      <w:pPr>
        <w:rPr>
          <w:rFonts w:cs="Gill Sans MT"/>
          <w:sz w:val="26"/>
          <w:szCs w:val="26"/>
        </w:rPr>
      </w:pPr>
    </w:p>
    <w:p w:rsidR="00FA40A0" w:rsidRDefault="00FA40A0">
      <w:pPr>
        <w:tabs>
          <w:tab w:val="left" w:pos="900"/>
        </w:tabs>
        <w:ind w:left="900" w:hanging="360"/>
        <w:rPr>
          <w:rFonts w:cs="Gill Sans MT"/>
          <w:sz w:val="26"/>
          <w:szCs w:val="26"/>
        </w:rPr>
      </w:pPr>
      <w:r>
        <w:rPr>
          <w:rFonts w:ascii="Symbol" w:hAnsi="Symbol" w:cs="Symbol"/>
          <w:sz w:val="26"/>
          <w:szCs w:val="26"/>
        </w:rPr>
        <w:t></w:t>
      </w:r>
      <w:r>
        <w:rPr>
          <w:rFonts w:ascii="Symbol" w:hAnsi="Symbol" w:cs="Symbol"/>
          <w:sz w:val="26"/>
          <w:szCs w:val="26"/>
        </w:rPr>
        <w:tab/>
      </w:r>
      <w:r>
        <w:rPr>
          <w:rFonts w:cs="Gill Sans MT"/>
          <w:sz w:val="26"/>
          <w:szCs w:val="26"/>
        </w:rPr>
        <w:t>breath testing for alcohol;</w:t>
      </w:r>
    </w:p>
    <w:p w:rsidR="00FA40A0" w:rsidRDefault="00FA40A0">
      <w:pPr>
        <w:tabs>
          <w:tab w:val="left" w:pos="900"/>
        </w:tabs>
        <w:ind w:left="900" w:hanging="360"/>
        <w:rPr>
          <w:rFonts w:cs="Gill Sans MT"/>
          <w:sz w:val="26"/>
          <w:szCs w:val="26"/>
        </w:rPr>
      </w:pPr>
      <w:r>
        <w:rPr>
          <w:rFonts w:ascii="Symbol" w:hAnsi="Symbol" w:cs="Symbol"/>
          <w:sz w:val="26"/>
          <w:szCs w:val="26"/>
        </w:rPr>
        <w:t></w:t>
      </w:r>
      <w:r>
        <w:rPr>
          <w:rFonts w:ascii="Symbol" w:hAnsi="Symbol" w:cs="Symbol"/>
          <w:sz w:val="26"/>
          <w:szCs w:val="26"/>
        </w:rPr>
        <w:tab/>
      </w:r>
      <w:r>
        <w:rPr>
          <w:rFonts w:cs="Gill Sans MT"/>
          <w:sz w:val="26"/>
          <w:szCs w:val="26"/>
        </w:rPr>
        <w:t xml:space="preserve">field testing, crime scene processing, crime scene evidence collection, searches, examinations, or enhancements of digital evidence, and crime scene reconstruction; </w:t>
      </w:r>
    </w:p>
    <w:p w:rsidR="00FA40A0" w:rsidRDefault="00FA40A0">
      <w:pPr>
        <w:tabs>
          <w:tab w:val="left" w:pos="900"/>
        </w:tabs>
        <w:ind w:left="900" w:hanging="360"/>
        <w:rPr>
          <w:rFonts w:cs="Gill Sans MT"/>
          <w:sz w:val="26"/>
          <w:szCs w:val="26"/>
        </w:rPr>
      </w:pPr>
      <w:r>
        <w:rPr>
          <w:rFonts w:ascii="Symbol" w:hAnsi="Symbol" w:cs="Symbol"/>
          <w:sz w:val="26"/>
          <w:szCs w:val="26"/>
        </w:rPr>
        <w:t></w:t>
      </w:r>
      <w:r>
        <w:rPr>
          <w:rFonts w:ascii="Symbol" w:hAnsi="Symbol" w:cs="Symbol"/>
          <w:sz w:val="26"/>
          <w:szCs w:val="26"/>
        </w:rPr>
        <w:tab/>
      </w:r>
      <w:r>
        <w:rPr>
          <w:rFonts w:cs="Gill Sans MT"/>
          <w:sz w:val="26"/>
          <w:szCs w:val="26"/>
        </w:rPr>
        <w:t>latent print identification performed by an International Association for Identification (IAI) certified latent print examiner:</w:t>
      </w:r>
    </w:p>
    <w:p w:rsidR="00FA40A0" w:rsidRDefault="00FA40A0">
      <w:pPr>
        <w:tabs>
          <w:tab w:val="left" w:pos="900"/>
        </w:tabs>
        <w:ind w:left="900" w:hanging="360"/>
        <w:rPr>
          <w:rFonts w:cs="Gill Sans MT"/>
          <w:sz w:val="26"/>
          <w:szCs w:val="26"/>
        </w:rPr>
      </w:pPr>
      <w:r>
        <w:rPr>
          <w:rFonts w:ascii="Symbol" w:hAnsi="Symbol" w:cs="Symbol"/>
          <w:sz w:val="26"/>
          <w:szCs w:val="26"/>
        </w:rPr>
        <w:t></w:t>
      </w:r>
      <w:r>
        <w:rPr>
          <w:rFonts w:ascii="Symbol" w:hAnsi="Symbol" w:cs="Symbol"/>
          <w:sz w:val="26"/>
          <w:szCs w:val="26"/>
        </w:rPr>
        <w:tab/>
      </w:r>
      <w:r>
        <w:rPr>
          <w:rFonts w:cs="Gill Sans MT"/>
          <w:sz w:val="26"/>
          <w:szCs w:val="26"/>
        </w:rPr>
        <w:t xml:space="preserve">marijuana identification using methods generally accepted in the forensic field that are approved by a forensic laboratory accredited by ASCLD/LAB in controlled substances; and, </w:t>
      </w:r>
    </w:p>
    <w:p w:rsidR="00FA40A0" w:rsidRDefault="00FA40A0">
      <w:pPr>
        <w:tabs>
          <w:tab w:val="left" w:pos="900"/>
        </w:tabs>
        <w:ind w:left="900" w:hanging="360"/>
        <w:rPr>
          <w:rFonts w:cs="Gill Sans MT"/>
          <w:sz w:val="26"/>
          <w:szCs w:val="26"/>
        </w:rPr>
      </w:pPr>
      <w:r>
        <w:rPr>
          <w:rFonts w:ascii="Symbol" w:hAnsi="Symbol" w:cs="Symbol"/>
          <w:sz w:val="26"/>
          <w:szCs w:val="26"/>
        </w:rPr>
        <w:t></w:t>
      </w:r>
      <w:r>
        <w:rPr>
          <w:rFonts w:ascii="Symbol" w:hAnsi="Symbol" w:cs="Symbol"/>
          <w:sz w:val="26"/>
          <w:szCs w:val="26"/>
        </w:rPr>
        <w:tab/>
      </w:r>
      <w:r>
        <w:rPr>
          <w:rFonts w:cs="Gill Sans MT"/>
          <w:sz w:val="26"/>
          <w:szCs w:val="26"/>
        </w:rPr>
        <w:t xml:space="preserve">laboratories that exclusively and solely perform forensic toxicology analysis. Such labs shall have a peer review system sufficient to meet or exceed either ASCLD/LAB or the American Board of Forensic Toxicology accreditation standards. </w:t>
      </w:r>
    </w:p>
    <w:p w:rsidR="00FA40A0" w:rsidRDefault="00FA40A0">
      <w:pPr>
        <w:rPr>
          <w:rFonts w:cs="Gill Sans MT"/>
          <w:sz w:val="26"/>
          <w:szCs w:val="26"/>
        </w:rPr>
      </w:pPr>
    </w:p>
    <w:p w:rsidR="00FA40A0" w:rsidRPr="008A6345" w:rsidRDefault="00FA40A0" w:rsidP="003D72A3">
      <w:pPr>
        <w:pStyle w:val="NormalWeb"/>
        <w:spacing w:before="0" w:beforeAutospacing="0" w:after="0" w:afterAutospacing="0"/>
        <w:rPr>
          <w:rFonts w:ascii="Gill Sans MT" w:hAnsi="Gill Sans MT"/>
          <w:color w:val="000000"/>
          <w:sz w:val="26"/>
          <w:szCs w:val="26"/>
        </w:rPr>
      </w:pPr>
      <w:r w:rsidRPr="008A6345">
        <w:rPr>
          <w:rFonts w:ascii="Gill Sans MT" w:hAnsi="Gill Sans MT"/>
          <w:color w:val="000000"/>
          <w:sz w:val="26"/>
          <w:szCs w:val="26"/>
        </w:rPr>
        <w:t xml:space="preserve">The standard of accreditation is viewed as a positive measure, as it encourages uniform criteria, standards, and operational practices for forensic labs throughout the state. </w:t>
      </w:r>
      <w:r w:rsidRPr="008A6345">
        <w:rPr>
          <w:rFonts w:ascii="Gill Sans MT" w:hAnsi="Gill Sans MT"/>
          <w:b/>
          <w:bCs/>
          <w:i/>
          <w:iCs/>
          <w:color w:val="000000"/>
          <w:sz w:val="26"/>
          <w:szCs w:val="26"/>
        </w:rPr>
        <w:t xml:space="preserve">Oklahoma is only one of four states in the nation, along with Texas, Maryland, and New York, to require forensic labs to be accredited. </w:t>
      </w:r>
      <w:r w:rsidRPr="008A6345">
        <w:rPr>
          <w:rFonts w:ascii="Gill Sans MT" w:hAnsi="Gill Sans MT"/>
          <w:color w:val="000000"/>
          <w:sz w:val="26"/>
          <w:szCs w:val="26"/>
        </w:rPr>
        <w:t>As such, each of the forensic labs achieve</w:t>
      </w:r>
      <w:r>
        <w:rPr>
          <w:rFonts w:ascii="Gill Sans MT" w:hAnsi="Gill Sans MT"/>
          <w:color w:val="000000"/>
          <w:sz w:val="26"/>
          <w:szCs w:val="26"/>
        </w:rPr>
        <w:t>d</w:t>
      </w:r>
      <w:r w:rsidRPr="008A6345">
        <w:rPr>
          <w:rFonts w:ascii="Gill Sans MT" w:hAnsi="Gill Sans MT"/>
          <w:color w:val="000000"/>
          <w:sz w:val="26"/>
          <w:szCs w:val="26"/>
        </w:rPr>
        <w:t xml:space="preserve"> the following </w:t>
      </w:r>
      <w:r>
        <w:rPr>
          <w:rFonts w:ascii="Gill Sans MT" w:hAnsi="Gill Sans MT"/>
          <w:color w:val="000000"/>
          <w:sz w:val="26"/>
          <w:szCs w:val="26"/>
        </w:rPr>
        <w:t>standards</w:t>
      </w:r>
      <w:r w:rsidRPr="008A6345">
        <w:rPr>
          <w:rFonts w:ascii="Gill Sans MT" w:hAnsi="Gill Sans MT"/>
          <w:color w:val="000000"/>
          <w:sz w:val="26"/>
          <w:szCs w:val="26"/>
        </w:rPr>
        <w:t xml:space="preserve"> in order to become </w:t>
      </w:r>
      <w:r>
        <w:rPr>
          <w:rFonts w:ascii="Gill Sans MT" w:hAnsi="Gill Sans MT"/>
          <w:color w:val="000000"/>
          <w:sz w:val="26"/>
          <w:szCs w:val="26"/>
        </w:rPr>
        <w:t>ASCLD/LAB</w:t>
      </w:r>
      <w:r w:rsidRPr="008A6345">
        <w:rPr>
          <w:rFonts w:ascii="Gill Sans MT" w:hAnsi="Gill Sans MT"/>
          <w:color w:val="000000"/>
          <w:sz w:val="26"/>
          <w:szCs w:val="26"/>
        </w:rPr>
        <w:t xml:space="preserve"> accredited:</w:t>
      </w:r>
    </w:p>
    <w:p w:rsidR="00FA40A0" w:rsidRPr="003D72A3" w:rsidRDefault="00FA40A0">
      <w:pPr>
        <w:rPr>
          <w:rFonts w:cs="Gill Sans MT"/>
          <w:color w:val="000000"/>
          <w:sz w:val="26"/>
          <w:szCs w:val="26"/>
        </w:rPr>
      </w:pPr>
    </w:p>
    <w:p w:rsidR="00FA40A0" w:rsidRDefault="00FA40A0" w:rsidP="003D72A3">
      <w:pPr>
        <w:numPr>
          <w:ilvl w:val="0"/>
          <w:numId w:val="16"/>
        </w:numPr>
        <w:tabs>
          <w:tab w:val="clear" w:pos="1080"/>
          <w:tab w:val="num" w:pos="720"/>
        </w:tabs>
        <w:rPr>
          <w:rFonts w:cs="Gill Sans MT"/>
          <w:color w:val="000000"/>
          <w:sz w:val="26"/>
          <w:szCs w:val="26"/>
        </w:rPr>
      </w:pPr>
      <w:r>
        <w:rPr>
          <w:rFonts w:cs="Gill Sans MT"/>
          <w:color w:val="000000"/>
          <w:sz w:val="26"/>
          <w:szCs w:val="26"/>
        </w:rPr>
        <w:t>Self-evaluation by applicant laboratory.</w:t>
      </w:r>
    </w:p>
    <w:p w:rsidR="00FA40A0" w:rsidRDefault="00FA40A0" w:rsidP="003D72A3">
      <w:pPr>
        <w:numPr>
          <w:ilvl w:val="0"/>
          <w:numId w:val="16"/>
        </w:numPr>
        <w:tabs>
          <w:tab w:val="clear" w:pos="1080"/>
          <w:tab w:val="num" w:pos="720"/>
        </w:tabs>
        <w:rPr>
          <w:rFonts w:cs="Gill Sans MT"/>
          <w:color w:val="000000"/>
          <w:sz w:val="26"/>
          <w:szCs w:val="26"/>
        </w:rPr>
      </w:pPr>
      <w:r>
        <w:rPr>
          <w:rFonts w:cs="Gill Sans MT"/>
          <w:color w:val="000000"/>
          <w:sz w:val="26"/>
          <w:szCs w:val="26"/>
        </w:rPr>
        <w:t xml:space="preserve">Application and supporting documents filed by applicant laboratory. </w:t>
      </w:r>
    </w:p>
    <w:p w:rsidR="00FA40A0" w:rsidRDefault="00FA40A0" w:rsidP="003D72A3">
      <w:pPr>
        <w:numPr>
          <w:ilvl w:val="0"/>
          <w:numId w:val="16"/>
        </w:numPr>
        <w:tabs>
          <w:tab w:val="clear" w:pos="1080"/>
          <w:tab w:val="num" w:pos="720"/>
        </w:tabs>
        <w:rPr>
          <w:rFonts w:cs="Gill Sans MT"/>
          <w:color w:val="000000"/>
          <w:sz w:val="26"/>
          <w:szCs w:val="26"/>
        </w:rPr>
      </w:pPr>
      <w:r>
        <w:rPr>
          <w:rFonts w:cs="Gill Sans MT"/>
          <w:color w:val="000000"/>
          <w:sz w:val="26"/>
          <w:szCs w:val="26"/>
        </w:rPr>
        <w:t>On-site inspection by a team of trained inspectors.</w:t>
      </w:r>
    </w:p>
    <w:p w:rsidR="00FA40A0" w:rsidRDefault="00FA40A0" w:rsidP="003D72A3">
      <w:pPr>
        <w:ind w:left="720"/>
        <w:rPr>
          <w:rFonts w:cs="Gill Sans MT"/>
          <w:color w:val="000000"/>
          <w:sz w:val="26"/>
          <w:szCs w:val="26"/>
        </w:rPr>
      </w:pPr>
      <w:r>
        <w:rPr>
          <w:rFonts w:cs="Gill Sans MT"/>
          <w:color w:val="000000"/>
          <w:sz w:val="26"/>
          <w:szCs w:val="26"/>
        </w:rPr>
        <w:t>4.  Inspection report considered by ASCLD/Laboratory Accreditation Board.</w:t>
      </w:r>
      <w:r>
        <w:rPr>
          <w:rFonts w:cs="Gill Sans MT"/>
          <w:color w:val="000000"/>
          <w:sz w:val="26"/>
          <w:szCs w:val="26"/>
        </w:rPr>
        <w:br/>
        <w:t xml:space="preserve">5.  One year to remedy deficiencies before final decision by the Board, if required. </w:t>
      </w:r>
      <w:r>
        <w:rPr>
          <w:rFonts w:cs="Gill Sans MT"/>
          <w:color w:val="000000"/>
          <w:sz w:val="26"/>
          <w:szCs w:val="26"/>
        </w:rPr>
        <w:br/>
        <w:t>6.  Accreditation review completed by the laboratory annually.</w:t>
      </w:r>
      <w:r>
        <w:rPr>
          <w:rFonts w:cs="Gill Sans MT"/>
          <w:color w:val="000000"/>
          <w:sz w:val="26"/>
          <w:szCs w:val="26"/>
        </w:rPr>
        <w:br/>
        <w:t>7.  Full re-inspection required every five years.</w:t>
      </w:r>
    </w:p>
    <w:p w:rsidR="00FA40A0" w:rsidRDefault="00FA40A0">
      <w:pPr>
        <w:rPr>
          <w:rFonts w:cs="Gill Sans MT"/>
          <w:color w:val="000000"/>
          <w:sz w:val="26"/>
          <w:szCs w:val="26"/>
        </w:rPr>
      </w:pPr>
    </w:p>
    <w:p w:rsidR="00FA40A0" w:rsidRPr="00756E9B" w:rsidRDefault="00FA40A0" w:rsidP="003D72A3">
      <w:pPr>
        <w:pStyle w:val="NormalWeb"/>
        <w:spacing w:before="0" w:beforeAutospacing="0" w:after="0" w:afterAutospacing="0"/>
        <w:rPr>
          <w:rFonts w:ascii="Gill Sans MT" w:hAnsi="Gill Sans MT"/>
          <w:color w:val="000000"/>
          <w:sz w:val="26"/>
          <w:szCs w:val="26"/>
        </w:rPr>
      </w:pPr>
      <w:r w:rsidRPr="003D72A3">
        <w:rPr>
          <w:rFonts w:ascii="Gill Sans MT" w:hAnsi="Gill Sans MT" w:cs="Gill Sans MT"/>
          <w:color w:val="000000"/>
          <w:sz w:val="26"/>
          <w:szCs w:val="26"/>
        </w:rPr>
        <w:t xml:space="preserve">Accreditation is one part of a laboratory's quality assurance program which should also include peer review, proficiency testing, continuing education, and other programs to help the laboratory provide better overall service to the criminal justice system. </w:t>
      </w:r>
      <w:r w:rsidRPr="003D72A3">
        <w:rPr>
          <w:rFonts w:ascii="Gill Sans MT" w:hAnsi="Gill Sans MT"/>
          <w:color w:val="000000"/>
          <w:sz w:val="26"/>
          <w:szCs w:val="26"/>
        </w:rPr>
        <w:t xml:space="preserve">Further, it should be noted that </w:t>
      </w:r>
      <w:r>
        <w:rPr>
          <w:rFonts w:ascii="Gill Sans MT" w:hAnsi="Gill Sans MT"/>
          <w:color w:val="000000"/>
          <w:sz w:val="26"/>
          <w:szCs w:val="26"/>
        </w:rPr>
        <w:t>in</w:t>
      </w:r>
      <w:r w:rsidRPr="003D72A3">
        <w:rPr>
          <w:rFonts w:ascii="Gill Sans MT" w:hAnsi="Gill Sans MT"/>
          <w:color w:val="000000"/>
          <w:sz w:val="26"/>
          <w:szCs w:val="26"/>
        </w:rPr>
        <w:t xml:space="preserve"> 2010 </w:t>
      </w:r>
      <w:r>
        <w:rPr>
          <w:rFonts w:ascii="Gill Sans MT" w:hAnsi="Gill Sans MT"/>
          <w:color w:val="000000"/>
          <w:sz w:val="26"/>
          <w:szCs w:val="26"/>
        </w:rPr>
        <w:t xml:space="preserve">and 2011 many of the </w:t>
      </w:r>
      <w:r w:rsidRPr="003D72A3">
        <w:rPr>
          <w:rFonts w:ascii="Gill Sans MT" w:hAnsi="Gill Sans MT"/>
          <w:color w:val="000000"/>
          <w:sz w:val="26"/>
          <w:szCs w:val="26"/>
        </w:rPr>
        <w:t>ASCLD</w:t>
      </w:r>
      <w:r>
        <w:rPr>
          <w:rFonts w:ascii="Gill Sans MT" w:hAnsi="Gill Sans MT"/>
          <w:color w:val="000000"/>
          <w:sz w:val="26"/>
          <w:szCs w:val="26"/>
        </w:rPr>
        <w:t>/</w:t>
      </w:r>
      <w:r w:rsidRPr="003D72A3">
        <w:rPr>
          <w:rFonts w:ascii="Gill Sans MT" w:hAnsi="Gill Sans MT"/>
          <w:color w:val="000000"/>
          <w:sz w:val="26"/>
          <w:szCs w:val="26"/>
        </w:rPr>
        <w:t xml:space="preserve">LAB </w:t>
      </w:r>
      <w:r w:rsidRPr="00756E9B">
        <w:rPr>
          <w:rFonts w:ascii="Gill Sans MT" w:hAnsi="Gill Sans MT"/>
          <w:color w:val="000000"/>
          <w:sz w:val="26"/>
          <w:szCs w:val="26"/>
        </w:rPr>
        <w:t>Legacy</w:t>
      </w:r>
      <w:r>
        <w:rPr>
          <w:rFonts w:ascii="Gill Sans MT" w:hAnsi="Gill Sans MT"/>
          <w:color w:val="000000"/>
          <w:sz w:val="26"/>
          <w:szCs w:val="26"/>
        </w:rPr>
        <w:t xml:space="preserve"> accredited labs in Oklahoma </w:t>
      </w:r>
      <w:r>
        <w:rPr>
          <w:rFonts w:ascii="Gill Sans MT" w:hAnsi="Gill Sans MT"/>
          <w:color w:val="000000"/>
          <w:sz w:val="26"/>
          <w:szCs w:val="26"/>
        </w:rPr>
        <w:lastRenderedPageBreak/>
        <w:t xml:space="preserve">must be </w:t>
      </w:r>
      <w:r w:rsidRPr="003D72A3">
        <w:rPr>
          <w:rFonts w:ascii="Gill Sans MT" w:hAnsi="Gill Sans MT"/>
          <w:color w:val="000000"/>
          <w:sz w:val="26"/>
          <w:szCs w:val="26"/>
        </w:rPr>
        <w:t>reaccredit</w:t>
      </w:r>
      <w:r>
        <w:rPr>
          <w:rFonts w:ascii="Gill Sans MT" w:hAnsi="Gill Sans MT"/>
          <w:color w:val="000000"/>
          <w:sz w:val="26"/>
          <w:szCs w:val="26"/>
        </w:rPr>
        <w:t>ed</w:t>
      </w:r>
      <w:r w:rsidRPr="003D72A3">
        <w:rPr>
          <w:rFonts w:ascii="Gill Sans MT" w:hAnsi="Gill Sans MT"/>
          <w:color w:val="000000"/>
          <w:sz w:val="26"/>
          <w:szCs w:val="26"/>
        </w:rPr>
        <w:t xml:space="preserve"> under</w:t>
      </w:r>
      <w:r>
        <w:rPr>
          <w:rFonts w:ascii="Gill Sans MT" w:hAnsi="Gill Sans MT"/>
          <w:color w:val="000000"/>
          <w:sz w:val="26"/>
          <w:szCs w:val="26"/>
        </w:rPr>
        <w:t xml:space="preserve"> the</w:t>
      </w:r>
      <w:r w:rsidRPr="003D72A3">
        <w:rPr>
          <w:rFonts w:ascii="Gill Sans MT" w:hAnsi="Gill Sans MT"/>
          <w:color w:val="000000"/>
          <w:sz w:val="26"/>
          <w:szCs w:val="26"/>
        </w:rPr>
        <w:t xml:space="preserve"> </w:t>
      </w:r>
      <w:r>
        <w:rPr>
          <w:rFonts w:ascii="Gill Sans MT" w:hAnsi="Gill Sans MT"/>
          <w:color w:val="000000"/>
          <w:sz w:val="26"/>
          <w:szCs w:val="26"/>
        </w:rPr>
        <w:t>International accreditation p</w:t>
      </w:r>
      <w:r w:rsidRPr="003D72A3">
        <w:rPr>
          <w:rFonts w:ascii="Gill Sans MT" w:hAnsi="Gill Sans MT"/>
          <w:color w:val="000000"/>
          <w:sz w:val="26"/>
          <w:szCs w:val="26"/>
        </w:rPr>
        <w:t>rogram</w:t>
      </w:r>
      <w:r>
        <w:rPr>
          <w:rFonts w:ascii="Gill Sans MT" w:hAnsi="Gill Sans MT"/>
          <w:color w:val="000000"/>
          <w:sz w:val="26"/>
          <w:szCs w:val="26"/>
        </w:rPr>
        <w:t xml:space="preserve">. </w:t>
      </w:r>
      <w:r w:rsidRPr="00756E9B">
        <w:rPr>
          <w:rFonts w:ascii="Gill Sans MT" w:hAnsi="Gill Sans MT"/>
          <w:color w:val="000000"/>
          <w:sz w:val="26"/>
          <w:szCs w:val="26"/>
        </w:rPr>
        <w:t xml:space="preserve">The International program was designed to enable labs throughout </w:t>
      </w:r>
      <w:r w:rsidRPr="003D72A3">
        <w:rPr>
          <w:rFonts w:ascii="Gill Sans MT" w:hAnsi="Gill Sans MT"/>
          <w:color w:val="000000"/>
          <w:sz w:val="26"/>
          <w:szCs w:val="26"/>
        </w:rPr>
        <w:t xml:space="preserve">the world to </w:t>
      </w:r>
      <w:r>
        <w:rPr>
          <w:rFonts w:ascii="Gill Sans MT" w:hAnsi="Gill Sans MT"/>
          <w:color w:val="000000"/>
          <w:sz w:val="26"/>
          <w:szCs w:val="26"/>
        </w:rPr>
        <w:t>operate</w:t>
      </w:r>
      <w:r w:rsidRPr="003D72A3">
        <w:rPr>
          <w:rFonts w:ascii="Gill Sans MT" w:hAnsi="Gill Sans MT"/>
          <w:color w:val="000000"/>
          <w:sz w:val="26"/>
          <w:szCs w:val="26"/>
        </w:rPr>
        <w:t xml:space="preserve"> under the same accreditation standards. </w:t>
      </w:r>
      <w:r w:rsidRPr="00756E9B">
        <w:rPr>
          <w:rFonts w:ascii="Gill Sans MT" w:hAnsi="Gill Sans MT"/>
          <w:color w:val="000000"/>
          <w:sz w:val="26"/>
          <w:szCs w:val="26"/>
        </w:rPr>
        <w:t xml:space="preserve">This program introduces more customer-focused standards, increased application fees and inspection costs, and is much more stringent than the current Legacy program. </w:t>
      </w:r>
    </w:p>
    <w:p w:rsidR="00FA40A0" w:rsidRDefault="00FA40A0">
      <w:pPr>
        <w:rPr>
          <w:rFonts w:cs="Gill Sans MT"/>
          <w:color w:val="000000"/>
          <w:sz w:val="26"/>
          <w:szCs w:val="26"/>
        </w:rPr>
      </w:pPr>
    </w:p>
    <w:p w:rsidR="00FA40A0" w:rsidRDefault="00FA40A0">
      <w:pPr>
        <w:rPr>
          <w:rFonts w:cs="Gill Sans MT"/>
          <w:sz w:val="26"/>
          <w:szCs w:val="26"/>
        </w:rPr>
      </w:pPr>
      <w:r>
        <w:rPr>
          <w:rFonts w:cs="Gill Sans MT"/>
          <w:sz w:val="26"/>
          <w:szCs w:val="26"/>
        </w:rPr>
        <w:t xml:space="preserve">When the first </w:t>
      </w:r>
      <w:r>
        <w:rPr>
          <w:rFonts w:cs="Gill Sans MT"/>
          <w:i/>
          <w:iCs/>
          <w:sz w:val="26"/>
          <w:szCs w:val="26"/>
        </w:rPr>
        <w:t>Improvement Plan for Forensic Science and Toxicology Medical Examiner Services</w:t>
      </w:r>
      <w:r>
        <w:rPr>
          <w:rFonts w:cs="Gill Sans MT"/>
          <w:sz w:val="26"/>
          <w:szCs w:val="26"/>
        </w:rPr>
        <w:t xml:space="preserve"> was created in 2002, shortly after the passage of O.S. 74 § 150.37, the Oklahoma State Bureau of Investigation was the only agency that was accredited by ASCLD/LAB. By </w:t>
      </w:r>
    </w:p>
    <w:p w:rsidR="00FA40A0" w:rsidRDefault="00FA40A0">
      <w:pPr>
        <w:rPr>
          <w:rFonts w:cs="Gill Sans MT"/>
          <w:sz w:val="26"/>
          <w:szCs w:val="26"/>
        </w:rPr>
      </w:pPr>
      <w:r>
        <w:rPr>
          <w:rFonts w:cs="Gill Sans MT"/>
          <w:sz w:val="26"/>
          <w:szCs w:val="26"/>
        </w:rPr>
        <w:t xml:space="preserve">September 2005, six (6) additional labs were ASCLD/LAB or ABFT accredited. The chart </w:t>
      </w:r>
    </w:p>
    <w:p w:rsidR="00FA40A0" w:rsidRDefault="00FA40A0">
      <w:pPr>
        <w:rPr>
          <w:rFonts w:cs="Gill Sans MT"/>
          <w:sz w:val="26"/>
          <w:szCs w:val="26"/>
        </w:rPr>
      </w:pPr>
      <w:proofErr w:type="gramStart"/>
      <w:r>
        <w:rPr>
          <w:rFonts w:cs="Gill Sans MT"/>
          <w:sz w:val="26"/>
          <w:szCs w:val="26"/>
        </w:rPr>
        <w:t>identifies</w:t>
      </w:r>
      <w:proofErr w:type="gramEnd"/>
      <w:r>
        <w:rPr>
          <w:rFonts w:cs="Gill Sans MT"/>
          <w:sz w:val="26"/>
          <w:szCs w:val="26"/>
        </w:rPr>
        <w:t xml:space="preserve"> the accredited labs to date in Oklahoma and the disciplines in which the labs are accredited. </w:t>
      </w:r>
    </w:p>
    <w:p w:rsidR="00FA40A0" w:rsidRDefault="00FA40A0">
      <w:pPr>
        <w:rPr>
          <w:rFonts w:cs="Gill Sans MT"/>
          <w:sz w:val="26"/>
          <w:szCs w:val="26"/>
        </w:rPr>
      </w:pPr>
    </w:p>
    <w:tbl>
      <w:tblPr>
        <w:tblW w:w="9772" w:type="dxa"/>
        <w:jc w:val="center"/>
        <w:tblInd w:w="138" w:type="dxa"/>
        <w:tblLayout w:type="fixed"/>
        <w:tblLook w:val="0000" w:firstRow="0" w:lastRow="0" w:firstColumn="0" w:lastColumn="0" w:noHBand="0" w:noVBand="0"/>
      </w:tblPr>
      <w:tblGrid>
        <w:gridCol w:w="4380"/>
        <w:gridCol w:w="442"/>
        <w:gridCol w:w="720"/>
        <w:gridCol w:w="720"/>
        <w:gridCol w:w="630"/>
        <w:gridCol w:w="810"/>
        <w:gridCol w:w="630"/>
        <w:gridCol w:w="578"/>
        <w:gridCol w:w="862"/>
      </w:tblGrid>
      <w:tr w:rsidR="00BB44A4" w:rsidTr="00BB44A4">
        <w:trPr>
          <w:cantSplit/>
          <w:trHeight w:val="1553"/>
          <w:jc w:val="center"/>
        </w:trPr>
        <w:tc>
          <w:tcPr>
            <w:tcW w:w="4380" w:type="dxa"/>
            <w:tcBorders>
              <w:top w:val="single" w:sz="24" w:space="0" w:color="7F7F7F"/>
              <w:left w:val="single" w:sz="24" w:space="0" w:color="7F7F7F"/>
              <w:bottom w:val="single" w:sz="6" w:space="0" w:color="7F7F7F"/>
              <w:right w:val="single" w:sz="6" w:space="0" w:color="7F7F7F"/>
            </w:tcBorders>
          </w:tcPr>
          <w:p w:rsidR="00E82F3A" w:rsidRDefault="00E82F3A">
            <w:pPr>
              <w:rPr>
                <w:rFonts w:cs="Gill Sans MT"/>
                <w:b/>
                <w:bCs/>
              </w:rPr>
            </w:pPr>
          </w:p>
          <w:p w:rsidR="00E82F3A" w:rsidRDefault="00E82F3A">
            <w:pPr>
              <w:rPr>
                <w:rFonts w:cs="Gill Sans MT"/>
                <w:b/>
                <w:bCs/>
              </w:rPr>
            </w:pPr>
          </w:p>
          <w:p w:rsidR="00E82F3A" w:rsidRDefault="00E82F3A">
            <w:pPr>
              <w:rPr>
                <w:rFonts w:cs="Gill Sans MT"/>
                <w:b/>
                <w:bCs/>
              </w:rPr>
            </w:pPr>
          </w:p>
          <w:p w:rsidR="00E82F3A" w:rsidRDefault="00E82F3A">
            <w:pPr>
              <w:rPr>
                <w:rFonts w:cs="Gill Sans MT"/>
                <w:b/>
                <w:bCs/>
              </w:rPr>
            </w:pPr>
            <w:r>
              <w:rPr>
                <w:rFonts w:cs="Gill Sans MT"/>
                <w:b/>
                <w:bCs/>
              </w:rPr>
              <w:t>AGENCY</w:t>
            </w:r>
          </w:p>
        </w:tc>
        <w:tc>
          <w:tcPr>
            <w:tcW w:w="442"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Biology</w:t>
            </w:r>
          </w:p>
        </w:tc>
        <w:tc>
          <w:tcPr>
            <w:tcW w:w="72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Controlled Substances</w:t>
            </w:r>
          </w:p>
        </w:tc>
        <w:tc>
          <w:tcPr>
            <w:tcW w:w="72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Firearms/ Tool Marks</w:t>
            </w:r>
          </w:p>
        </w:tc>
        <w:tc>
          <w:tcPr>
            <w:tcW w:w="63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Latent Prints</w:t>
            </w:r>
          </w:p>
        </w:tc>
        <w:tc>
          <w:tcPr>
            <w:tcW w:w="81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Questioned Documents</w:t>
            </w:r>
          </w:p>
        </w:tc>
        <w:tc>
          <w:tcPr>
            <w:tcW w:w="630"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Toxicology</w:t>
            </w:r>
          </w:p>
        </w:tc>
        <w:tc>
          <w:tcPr>
            <w:tcW w:w="578" w:type="dxa"/>
            <w:tcBorders>
              <w:top w:val="single" w:sz="24" w:space="0" w:color="7F7F7F"/>
              <w:left w:val="single" w:sz="6" w:space="0" w:color="7F7F7F"/>
              <w:bottom w:val="single" w:sz="6" w:space="0" w:color="7F7F7F"/>
              <w:right w:val="single" w:sz="6" w:space="0" w:color="7F7F7F"/>
            </w:tcBorders>
            <w:textDirection w:val="btLr"/>
            <w:vAlign w:val="center"/>
          </w:tcPr>
          <w:p w:rsidR="00E82F3A" w:rsidRDefault="00E82F3A" w:rsidP="00BB44A4">
            <w:pPr>
              <w:ind w:left="113" w:right="113"/>
              <w:jc w:val="center"/>
              <w:rPr>
                <w:rFonts w:cs="Gill Sans MT"/>
                <w:b/>
                <w:bCs/>
              </w:rPr>
            </w:pPr>
            <w:r>
              <w:rPr>
                <w:rFonts w:cs="Gill Sans MT"/>
                <w:b/>
                <w:bCs/>
              </w:rPr>
              <w:t>Trace Evidence</w:t>
            </w:r>
          </w:p>
        </w:tc>
        <w:tc>
          <w:tcPr>
            <w:tcW w:w="862" w:type="dxa"/>
            <w:tcBorders>
              <w:top w:val="single" w:sz="24" w:space="0" w:color="7F7F7F"/>
              <w:left w:val="single" w:sz="6" w:space="0" w:color="7F7F7F"/>
              <w:bottom w:val="single" w:sz="6" w:space="0" w:color="7F7F7F"/>
              <w:right w:val="single" w:sz="24" w:space="0" w:color="7F7F7F"/>
            </w:tcBorders>
            <w:textDirection w:val="btLr"/>
            <w:vAlign w:val="center"/>
          </w:tcPr>
          <w:p w:rsidR="00E82F3A" w:rsidRDefault="00E82F3A" w:rsidP="00BB44A4">
            <w:pPr>
              <w:ind w:left="113" w:right="113"/>
              <w:jc w:val="center"/>
              <w:rPr>
                <w:rFonts w:cs="Gill Sans MT"/>
                <w:b/>
                <w:bCs/>
              </w:rPr>
            </w:pPr>
            <w:r>
              <w:rPr>
                <w:rFonts w:cs="Gill Sans MT"/>
                <w:b/>
                <w:bCs/>
              </w:rPr>
              <w:t>Digital</w:t>
            </w:r>
            <w:r w:rsidR="00992713">
              <w:rPr>
                <w:rFonts w:cs="Gill Sans MT"/>
                <w:b/>
                <w:bCs/>
              </w:rPr>
              <w:t xml:space="preserve"> </w:t>
            </w:r>
            <w:r>
              <w:rPr>
                <w:rFonts w:cs="Gill Sans MT"/>
                <w:b/>
                <w:bCs/>
              </w:rPr>
              <w:t>and Multimedia Evidence</w:t>
            </w:r>
          </w:p>
        </w:tc>
      </w:tr>
      <w:tr w:rsidR="00BB44A4"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Default="00E82F3A">
            <w:pPr>
              <w:rPr>
                <w:rFonts w:cs="Gill Sans MT"/>
              </w:rPr>
            </w:pPr>
            <w:r>
              <w:rPr>
                <w:rFonts w:cs="Gill Sans MT"/>
              </w:rPr>
              <w:t>Broken Arrow Police Department</w:t>
            </w:r>
          </w:p>
        </w:tc>
        <w:tc>
          <w:tcPr>
            <w:tcW w:w="442"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81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578"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862" w:type="dxa"/>
            <w:tcBorders>
              <w:top w:val="single" w:sz="6" w:space="0" w:color="7F7F7F"/>
              <w:left w:val="single" w:sz="6" w:space="0" w:color="7F7F7F"/>
              <w:bottom w:val="single" w:sz="6" w:space="0" w:color="7F7F7F"/>
              <w:right w:val="single" w:sz="24" w:space="0" w:color="7F7F7F"/>
            </w:tcBorders>
          </w:tcPr>
          <w:p w:rsidR="00E82F3A" w:rsidRDefault="00E82F3A">
            <w:pPr>
              <w:jc w:val="center"/>
              <w:rPr>
                <w:rFonts w:cs="Gill Sans MT"/>
              </w:rPr>
            </w:pPr>
            <w:r>
              <w:rPr>
                <w:rFonts w:cs="Gill Sans MT"/>
              </w:rPr>
              <w:t>X</w:t>
            </w:r>
          </w:p>
        </w:tc>
      </w:tr>
      <w:tr w:rsidR="00BB44A4"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Default="00E82F3A">
            <w:pPr>
              <w:rPr>
                <w:rFonts w:cs="Gill Sans MT"/>
              </w:rPr>
            </w:pPr>
            <w:r>
              <w:rPr>
                <w:rFonts w:cs="Gill Sans MT"/>
              </w:rPr>
              <w:t>Office of the Chief Medical Examiner</w:t>
            </w:r>
          </w:p>
        </w:tc>
        <w:tc>
          <w:tcPr>
            <w:tcW w:w="442"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81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578"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862" w:type="dxa"/>
            <w:tcBorders>
              <w:top w:val="single" w:sz="6" w:space="0" w:color="7F7F7F"/>
              <w:left w:val="single" w:sz="6" w:space="0" w:color="7F7F7F"/>
              <w:bottom w:val="single" w:sz="6" w:space="0" w:color="7F7F7F"/>
              <w:right w:val="single" w:sz="24" w:space="0" w:color="7F7F7F"/>
            </w:tcBorders>
          </w:tcPr>
          <w:p w:rsidR="00E82F3A" w:rsidRDefault="00E82F3A">
            <w:pPr>
              <w:jc w:val="center"/>
              <w:rPr>
                <w:rFonts w:cs="Gill Sans MT"/>
              </w:rPr>
            </w:pPr>
          </w:p>
        </w:tc>
      </w:tr>
      <w:tr w:rsidR="00BB44A4"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Default="00E82F3A">
            <w:pPr>
              <w:rPr>
                <w:rFonts w:cs="Gill Sans MT"/>
              </w:rPr>
            </w:pPr>
            <w:r>
              <w:rPr>
                <w:rFonts w:cs="Gill Sans MT"/>
              </w:rPr>
              <w:t>Oklahoma City Police Department</w:t>
            </w:r>
          </w:p>
        </w:tc>
        <w:tc>
          <w:tcPr>
            <w:tcW w:w="442"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81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578"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862" w:type="dxa"/>
            <w:tcBorders>
              <w:top w:val="single" w:sz="6" w:space="0" w:color="7F7F7F"/>
              <w:left w:val="single" w:sz="6" w:space="0" w:color="7F7F7F"/>
              <w:bottom w:val="single" w:sz="6" w:space="0" w:color="7F7F7F"/>
              <w:right w:val="single" w:sz="24" w:space="0" w:color="7F7F7F"/>
            </w:tcBorders>
          </w:tcPr>
          <w:p w:rsidR="00E82F3A" w:rsidRDefault="00E82F3A">
            <w:pPr>
              <w:jc w:val="center"/>
              <w:rPr>
                <w:rFonts w:cs="Gill Sans MT"/>
              </w:rPr>
            </w:pPr>
          </w:p>
        </w:tc>
      </w:tr>
      <w:tr w:rsidR="00BB44A4"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Default="00E82F3A">
            <w:pPr>
              <w:rPr>
                <w:rFonts w:cs="Gill Sans MT"/>
              </w:rPr>
            </w:pPr>
            <w:r>
              <w:rPr>
                <w:rFonts w:cs="Gill Sans MT"/>
              </w:rPr>
              <w:t>Oklahoma County District Attorney’s Office</w:t>
            </w:r>
          </w:p>
        </w:tc>
        <w:tc>
          <w:tcPr>
            <w:tcW w:w="442"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81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578"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862" w:type="dxa"/>
            <w:tcBorders>
              <w:top w:val="single" w:sz="6" w:space="0" w:color="7F7F7F"/>
              <w:left w:val="single" w:sz="6" w:space="0" w:color="7F7F7F"/>
              <w:bottom w:val="single" w:sz="6" w:space="0" w:color="7F7F7F"/>
              <w:right w:val="single" w:sz="24" w:space="0" w:color="7F7F7F"/>
            </w:tcBorders>
          </w:tcPr>
          <w:p w:rsidR="00E82F3A" w:rsidRDefault="00E82F3A">
            <w:pPr>
              <w:jc w:val="center"/>
              <w:rPr>
                <w:rFonts w:cs="Gill Sans MT"/>
              </w:rPr>
            </w:pPr>
          </w:p>
        </w:tc>
      </w:tr>
      <w:tr w:rsidR="00BB44A4" w:rsidTr="00BB44A4">
        <w:trPr>
          <w:jc w:val="center"/>
        </w:trPr>
        <w:tc>
          <w:tcPr>
            <w:tcW w:w="4380" w:type="dxa"/>
            <w:tcBorders>
              <w:top w:val="single" w:sz="6" w:space="0" w:color="7F7F7F"/>
              <w:left w:val="single" w:sz="24" w:space="0" w:color="7F7F7F"/>
              <w:bottom w:val="single" w:sz="6" w:space="0" w:color="7F7F7F"/>
              <w:right w:val="single" w:sz="6" w:space="0" w:color="7F7F7F"/>
            </w:tcBorders>
          </w:tcPr>
          <w:p w:rsidR="00E82F3A" w:rsidRDefault="00E82F3A">
            <w:pPr>
              <w:rPr>
                <w:rFonts w:cs="Gill Sans MT"/>
              </w:rPr>
            </w:pPr>
            <w:r>
              <w:rPr>
                <w:rFonts w:cs="Gill Sans MT"/>
              </w:rPr>
              <w:t>Oklahoma State Bureau of Investigation</w:t>
            </w:r>
          </w:p>
        </w:tc>
        <w:tc>
          <w:tcPr>
            <w:tcW w:w="442"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72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81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p>
        </w:tc>
        <w:tc>
          <w:tcPr>
            <w:tcW w:w="630"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578" w:type="dxa"/>
            <w:tcBorders>
              <w:top w:val="single" w:sz="6" w:space="0" w:color="7F7F7F"/>
              <w:left w:val="single" w:sz="6" w:space="0" w:color="7F7F7F"/>
              <w:bottom w:val="single" w:sz="6" w:space="0" w:color="7F7F7F"/>
              <w:right w:val="single" w:sz="6" w:space="0" w:color="7F7F7F"/>
            </w:tcBorders>
          </w:tcPr>
          <w:p w:rsidR="00E82F3A" w:rsidRDefault="00E82F3A">
            <w:pPr>
              <w:jc w:val="center"/>
              <w:rPr>
                <w:rFonts w:cs="Gill Sans MT"/>
              </w:rPr>
            </w:pPr>
            <w:r>
              <w:rPr>
                <w:rFonts w:cs="Gill Sans MT"/>
              </w:rPr>
              <w:t>X</w:t>
            </w:r>
          </w:p>
        </w:tc>
        <w:tc>
          <w:tcPr>
            <w:tcW w:w="862" w:type="dxa"/>
            <w:tcBorders>
              <w:top w:val="single" w:sz="6" w:space="0" w:color="7F7F7F"/>
              <w:left w:val="single" w:sz="6" w:space="0" w:color="7F7F7F"/>
              <w:bottom w:val="single" w:sz="6" w:space="0" w:color="7F7F7F"/>
              <w:right w:val="single" w:sz="24" w:space="0" w:color="7F7F7F"/>
            </w:tcBorders>
          </w:tcPr>
          <w:p w:rsidR="00E82F3A" w:rsidRDefault="00E82F3A">
            <w:pPr>
              <w:jc w:val="center"/>
              <w:rPr>
                <w:rFonts w:cs="Gill Sans MT"/>
              </w:rPr>
            </w:pPr>
          </w:p>
        </w:tc>
      </w:tr>
      <w:tr w:rsidR="00BB44A4" w:rsidTr="00BB44A4">
        <w:trPr>
          <w:jc w:val="center"/>
        </w:trPr>
        <w:tc>
          <w:tcPr>
            <w:tcW w:w="4380" w:type="dxa"/>
            <w:tcBorders>
              <w:top w:val="single" w:sz="6" w:space="0" w:color="7F7F7F"/>
              <w:left w:val="single" w:sz="24" w:space="0" w:color="7F7F7F"/>
              <w:bottom w:val="single" w:sz="24" w:space="0" w:color="7F7F7F"/>
              <w:right w:val="single" w:sz="6" w:space="0" w:color="7F7F7F"/>
            </w:tcBorders>
          </w:tcPr>
          <w:p w:rsidR="00E82F3A" w:rsidRDefault="00E82F3A">
            <w:pPr>
              <w:rPr>
                <w:rFonts w:cs="Gill Sans MT"/>
              </w:rPr>
            </w:pPr>
            <w:r>
              <w:rPr>
                <w:rFonts w:cs="Gill Sans MT"/>
              </w:rPr>
              <w:t>Tulsa Police Department</w:t>
            </w:r>
          </w:p>
        </w:tc>
        <w:tc>
          <w:tcPr>
            <w:tcW w:w="442"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720"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720"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630"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810"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630"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578" w:type="dxa"/>
            <w:tcBorders>
              <w:top w:val="single" w:sz="6" w:space="0" w:color="7F7F7F"/>
              <w:left w:val="single" w:sz="6" w:space="0" w:color="7F7F7F"/>
              <w:bottom w:val="single" w:sz="24" w:space="0" w:color="7F7F7F"/>
              <w:right w:val="single" w:sz="6" w:space="0" w:color="7F7F7F"/>
            </w:tcBorders>
          </w:tcPr>
          <w:p w:rsidR="00E82F3A" w:rsidRDefault="00E82F3A">
            <w:pPr>
              <w:jc w:val="center"/>
              <w:rPr>
                <w:rFonts w:cs="Gill Sans MT"/>
              </w:rPr>
            </w:pPr>
            <w:r>
              <w:rPr>
                <w:rFonts w:cs="Gill Sans MT"/>
              </w:rPr>
              <w:t>X</w:t>
            </w:r>
          </w:p>
        </w:tc>
        <w:tc>
          <w:tcPr>
            <w:tcW w:w="862" w:type="dxa"/>
            <w:tcBorders>
              <w:top w:val="single" w:sz="6" w:space="0" w:color="7F7F7F"/>
              <w:left w:val="single" w:sz="6" w:space="0" w:color="7F7F7F"/>
              <w:bottom w:val="single" w:sz="24" w:space="0" w:color="7F7F7F"/>
              <w:right w:val="single" w:sz="24" w:space="0" w:color="7F7F7F"/>
            </w:tcBorders>
          </w:tcPr>
          <w:p w:rsidR="00E82F3A" w:rsidRDefault="00E82F3A">
            <w:pPr>
              <w:jc w:val="center"/>
              <w:rPr>
                <w:rFonts w:cs="Gill Sans MT"/>
              </w:rPr>
            </w:pPr>
          </w:p>
        </w:tc>
      </w:tr>
    </w:tbl>
    <w:p w:rsidR="00FA40A0" w:rsidRDefault="00FA40A0">
      <w:pPr>
        <w:rPr>
          <w:rFonts w:cs="Gill Sans MT"/>
          <w:sz w:val="26"/>
          <w:szCs w:val="26"/>
        </w:rPr>
      </w:pPr>
    </w:p>
    <w:p w:rsidR="00FA40A0" w:rsidRPr="00756E9B" w:rsidRDefault="00FA40A0">
      <w:pPr>
        <w:rPr>
          <w:rFonts w:cs="Gill Sans MT"/>
          <w:sz w:val="26"/>
          <w:szCs w:val="26"/>
        </w:rPr>
      </w:pPr>
      <w:r w:rsidRPr="00756E9B">
        <w:rPr>
          <w:rFonts w:cs="Gill Sans MT"/>
          <w:sz w:val="26"/>
          <w:szCs w:val="26"/>
        </w:rPr>
        <w:t>To meet the requirements of accreditation, it is often necessary for agencies to create new positions or to modify the responsib</w:t>
      </w:r>
      <w:r w:rsidR="00E669BC">
        <w:rPr>
          <w:rFonts w:cs="Gill Sans MT"/>
          <w:sz w:val="26"/>
          <w:szCs w:val="26"/>
        </w:rPr>
        <w:t xml:space="preserve">ilities of existing personnel. </w:t>
      </w:r>
      <w:r w:rsidRPr="00756E9B">
        <w:rPr>
          <w:rFonts w:cs="Gill Sans MT"/>
          <w:sz w:val="26"/>
          <w:szCs w:val="26"/>
        </w:rPr>
        <w:t>These new roles include those of Quality Assurance Manager, Safety Manager, and Quality Control Manager, and the additional tasks associated with these roles add burdens to already overworked employees and can increase personnel costs for agencies.  Additionally, to meet the accreditation standards, instrumentation inventories must be developed; continuing education documents for employees must be kept; facilities must be maintained; and technical and qu</w:t>
      </w:r>
      <w:r w:rsidR="00E669BC">
        <w:rPr>
          <w:rFonts w:cs="Gill Sans MT"/>
          <w:sz w:val="26"/>
          <w:szCs w:val="26"/>
        </w:rPr>
        <w:t xml:space="preserve">ality manuals must be current. </w:t>
      </w:r>
      <w:r w:rsidRPr="00756E9B">
        <w:rPr>
          <w:rFonts w:cs="Gill Sans MT"/>
          <w:sz w:val="26"/>
          <w:szCs w:val="26"/>
        </w:rPr>
        <w:t xml:space="preserve">Therefore, once accreditation is attained, the laboratory must continue to focus efforts and expend resources on maintaining it. </w:t>
      </w:r>
    </w:p>
    <w:p w:rsidR="00FA40A0" w:rsidRDefault="00FA40A0">
      <w:pPr>
        <w:rPr>
          <w:rFonts w:cs="Gill Sans MT"/>
          <w:sz w:val="26"/>
          <w:szCs w:val="26"/>
        </w:rPr>
      </w:pPr>
    </w:p>
    <w:p w:rsidR="00FA40A0" w:rsidRDefault="00FA40A0">
      <w:pPr>
        <w:rPr>
          <w:rFonts w:cs="Gill Sans MT"/>
          <w:color w:val="000000"/>
          <w:sz w:val="26"/>
          <w:szCs w:val="26"/>
        </w:rPr>
      </w:pPr>
      <w:r>
        <w:rPr>
          <w:rFonts w:cs="Gill Sans MT"/>
          <w:color w:val="000000"/>
          <w:sz w:val="26"/>
          <w:szCs w:val="26"/>
        </w:rPr>
        <w:t xml:space="preserve">It is important to note that while the result improves the quality of the forensic science services, it can also contribute to the backlog of cases. The new responsibilities must be balanced with the analysis of forensic evidence, which can be difficult. The agencies are finding that being accredited requires forensic lab staff to complete significantly more paperwork as a result of the added processes and procedures, while staffing levels remain the same and caseloads are continuing to increase.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In addition to these requirements, there are also financial costs associated with accreditation </w:t>
      </w:r>
      <w:r>
        <w:rPr>
          <w:rFonts w:cs="Gill Sans MT"/>
          <w:sz w:val="26"/>
          <w:szCs w:val="26"/>
        </w:rPr>
        <w:lastRenderedPageBreak/>
        <w:t>t</w:t>
      </w:r>
      <w:r w:rsidR="00E669BC">
        <w:rPr>
          <w:rFonts w:cs="Gill Sans MT"/>
          <w:sz w:val="26"/>
          <w:szCs w:val="26"/>
        </w:rPr>
        <w:t xml:space="preserve">hat the forensic lab must bear. </w:t>
      </w:r>
      <w:r>
        <w:rPr>
          <w:rFonts w:cs="Gill Sans MT"/>
          <w:sz w:val="26"/>
          <w:szCs w:val="26"/>
        </w:rPr>
        <w:t>The annual fees for accreditation, for example, can</w:t>
      </w:r>
      <w:r w:rsidR="00E669BC">
        <w:rPr>
          <w:rFonts w:cs="Gill Sans MT"/>
          <w:sz w:val="26"/>
          <w:szCs w:val="26"/>
        </w:rPr>
        <w:t xml:space="preserve"> range from $4,500 to $11,000. </w:t>
      </w:r>
      <w:r w:rsidRPr="003244BD">
        <w:rPr>
          <w:rFonts w:cs="Gill Sans MT"/>
          <w:sz w:val="26"/>
          <w:szCs w:val="26"/>
        </w:rPr>
        <w:t xml:space="preserve">There are also on-site inspection costs which are anticipated to </w:t>
      </w:r>
      <w:r w:rsidR="009B56D5">
        <w:rPr>
          <w:rFonts w:cs="Gill Sans MT"/>
          <w:sz w:val="26"/>
          <w:szCs w:val="26"/>
        </w:rPr>
        <w:t>be</w:t>
      </w:r>
      <w:r w:rsidR="009B56D5" w:rsidRPr="003244BD">
        <w:rPr>
          <w:rFonts w:cs="Gill Sans MT"/>
          <w:sz w:val="26"/>
          <w:szCs w:val="26"/>
        </w:rPr>
        <w:t xml:space="preserve"> </w:t>
      </w:r>
      <w:r w:rsidRPr="003244BD">
        <w:rPr>
          <w:rFonts w:cs="Gill Sans MT"/>
          <w:sz w:val="26"/>
          <w:szCs w:val="26"/>
        </w:rPr>
        <w:t>approximately $30,000 for the OSBI alone in 2011.</w:t>
      </w:r>
      <w:r>
        <w:rPr>
          <w:rFonts w:cs="Gill Sans MT"/>
          <w:sz w:val="26"/>
          <w:szCs w:val="26"/>
        </w:rPr>
        <w:t xml:space="preserve"> </w:t>
      </w:r>
    </w:p>
    <w:p w:rsidR="00FA40A0" w:rsidRDefault="00FA40A0">
      <w:pPr>
        <w:rPr>
          <w:rFonts w:cs="Gill Sans MT"/>
          <w:sz w:val="26"/>
          <w:szCs w:val="26"/>
        </w:rPr>
      </w:pPr>
    </w:p>
    <w:p w:rsidR="00FA40A0" w:rsidRDefault="00FA40A0">
      <w:pPr>
        <w:rPr>
          <w:rFonts w:cs="Gill Sans MT"/>
          <w:b/>
          <w:bCs/>
          <w:caps/>
          <w:sz w:val="26"/>
          <w:szCs w:val="26"/>
        </w:rPr>
      </w:pPr>
      <w:r>
        <w:rPr>
          <w:rFonts w:cs="Gill Sans MT"/>
          <w:b/>
          <w:bCs/>
          <w:caps/>
          <w:sz w:val="26"/>
          <w:szCs w:val="26"/>
        </w:rPr>
        <w:t>Recruiting and Maintaining Personnel</w:t>
      </w:r>
    </w:p>
    <w:p w:rsidR="00FA40A0" w:rsidRDefault="00FA40A0">
      <w:pPr>
        <w:rPr>
          <w:rFonts w:cs="Gill Sans MT"/>
          <w:color w:val="000000"/>
          <w:sz w:val="26"/>
          <w:szCs w:val="26"/>
        </w:rPr>
      </w:pPr>
      <w:r>
        <w:rPr>
          <w:rFonts w:cs="Gill Sans MT"/>
          <w:sz w:val="26"/>
          <w:szCs w:val="26"/>
        </w:rPr>
        <w:t>One of the primary concerns for forensic labs is related to personnel. Appropriate qualifications are essential for producing reliable results. Forensic labs frequently experience personnel shortages which impact the ability of the lab to process cases, contributing t</w:t>
      </w:r>
      <w:r w:rsidR="00E669BC">
        <w:rPr>
          <w:rFonts w:cs="Gill Sans MT"/>
          <w:sz w:val="26"/>
          <w:szCs w:val="26"/>
        </w:rPr>
        <w:t xml:space="preserve">o the overall backlog of cases. </w:t>
      </w:r>
      <w:r>
        <w:rPr>
          <w:rFonts w:cs="Gill Sans MT"/>
          <w:sz w:val="26"/>
          <w:szCs w:val="26"/>
        </w:rPr>
        <w:t>In addition, a</w:t>
      </w:r>
      <w:r>
        <w:rPr>
          <w:rFonts w:cs="Gill Sans MT"/>
          <w:color w:val="000000"/>
          <w:sz w:val="26"/>
          <w:szCs w:val="26"/>
        </w:rPr>
        <w:t xml:space="preserve">s criminal investigations become increasingly more complex due to the constantly improving technology and the higher demand for physical evidence by the legal system, cases take more time to complete. In order to compensate for </w:t>
      </w:r>
    </w:p>
    <w:p w:rsidR="00FA40A0" w:rsidRDefault="00FA40A0">
      <w:pPr>
        <w:rPr>
          <w:rFonts w:cs="Gill Sans MT"/>
          <w:color w:val="000000"/>
          <w:sz w:val="26"/>
          <w:szCs w:val="26"/>
        </w:rPr>
      </w:pPr>
      <w:r>
        <w:rPr>
          <w:rFonts w:cs="Gill Sans MT"/>
          <w:color w:val="000000"/>
          <w:sz w:val="26"/>
          <w:szCs w:val="26"/>
        </w:rPr>
        <w:t xml:space="preserve">the complexity factor, additional personnel are required to complete a similar number of cases in the same time span. </w:t>
      </w:r>
    </w:p>
    <w:p w:rsidR="00FA40A0" w:rsidRDefault="00FA40A0">
      <w:pPr>
        <w:rPr>
          <w:rFonts w:cs="Gill Sans MT"/>
          <w:color w:val="000000"/>
          <w:sz w:val="26"/>
          <w:szCs w:val="26"/>
        </w:rPr>
      </w:pPr>
    </w:p>
    <w:p w:rsidR="00FA40A0" w:rsidRPr="003244BD" w:rsidRDefault="00FA40A0">
      <w:pPr>
        <w:rPr>
          <w:rFonts w:cs="Gill Sans MT"/>
          <w:sz w:val="26"/>
          <w:szCs w:val="26"/>
        </w:rPr>
      </w:pPr>
      <w:r w:rsidRPr="003244BD">
        <w:rPr>
          <w:rFonts w:cs="Gill Sans MT"/>
          <w:sz w:val="26"/>
          <w:szCs w:val="26"/>
        </w:rPr>
        <w:t>Entry-level personnel can</w:t>
      </w:r>
      <w:r w:rsidR="00E669BC">
        <w:rPr>
          <w:rFonts w:cs="Gill Sans MT"/>
          <w:sz w:val="26"/>
          <w:szCs w:val="26"/>
        </w:rPr>
        <w:t xml:space="preserve"> often be found for positions. </w:t>
      </w:r>
      <w:r w:rsidRPr="003244BD">
        <w:rPr>
          <w:rFonts w:cs="Gill Sans MT"/>
          <w:sz w:val="26"/>
          <w:szCs w:val="26"/>
        </w:rPr>
        <w:t>However, training inexperienced analysts is time consuming, costly, and it has proven to be a challenge to retain employees once they are fully tra</w:t>
      </w:r>
      <w:r w:rsidR="00E669BC">
        <w:rPr>
          <w:rFonts w:cs="Gill Sans MT"/>
          <w:sz w:val="26"/>
          <w:szCs w:val="26"/>
        </w:rPr>
        <w:t xml:space="preserve">ined. </w:t>
      </w:r>
      <w:r w:rsidRPr="003244BD">
        <w:rPr>
          <w:rFonts w:cs="Gill Sans MT"/>
          <w:sz w:val="26"/>
          <w:szCs w:val="26"/>
        </w:rPr>
        <w:t>In order to be employed as a Criminalist, personnel must have a bachelor’s degree in a natural sc</w:t>
      </w:r>
      <w:r w:rsidR="00E669BC">
        <w:rPr>
          <w:rFonts w:cs="Gill Sans MT"/>
          <w:sz w:val="26"/>
          <w:szCs w:val="26"/>
        </w:rPr>
        <w:t xml:space="preserve">ience or criminalistics field. </w:t>
      </w:r>
      <w:r w:rsidRPr="003244BD">
        <w:rPr>
          <w:rFonts w:cs="Gill Sans MT"/>
          <w:sz w:val="26"/>
          <w:szCs w:val="26"/>
        </w:rPr>
        <w:t xml:space="preserve">Persons with a degree other than a natural science or criminalistics degree may be accepted on a case by case basis, depending on other extensive class work that may have been obtained. </w:t>
      </w:r>
    </w:p>
    <w:p w:rsidR="00FA40A0" w:rsidRDefault="003158A4">
      <w:pPr>
        <w:rPr>
          <w:rFonts w:cs="Gill Sans MT"/>
          <w:sz w:val="26"/>
          <w:szCs w:val="26"/>
        </w:rPr>
      </w:pPr>
      <w:r>
        <w:rPr>
          <w:noProof/>
        </w:rPr>
        <mc:AlternateContent>
          <mc:Choice Requires="wps">
            <w:drawing>
              <wp:anchor distT="0" distB="0" distL="114300" distR="114300" simplePos="0" relativeHeight="251659264" behindDoc="0" locked="0" layoutInCell="1" allowOverlap="1" wp14:anchorId="521A2B8A" wp14:editId="51051F41">
                <wp:simplePos x="0" y="0"/>
                <wp:positionH relativeFrom="column">
                  <wp:posOffset>4844415</wp:posOffset>
                </wp:positionH>
                <wp:positionV relativeFrom="paragraph">
                  <wp:posOffset>126365</wp:posOffset>
                </wp:positionV>
                <wp:extent cx="1485900" cy="2286000"/>
                <wp:effectExtent l="43815" t="40640" r="41910" b="4508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0"/>
                        </a:xfrm>
                        <a:prstGeom prst="rect">
                          <a:avLst/>
                        </a:prstGeom>
                        <a:solidFill>
                          <a:srgbClr val="FFFFFF"/>
                        </a:solidFill>
                        <a:ln w="76200" cmpd="tri">
                          <a:solidFill>
                            <a:srgbClr val="000000"/>
                          </a:solidFill>
                          <a:miter lim="800000"/>
                          <a:headEnd/>
                          <a:tailEnd/>
                        </a:ln>
                      </wps:spPr>
                      <wps:txbx>
                        <w:txbxContent>
                          <w:p w:rsidR="00C055A9" w:rsidRPr="00FD639D" w:rsidRDefault="00C055A9" w:rsidP="004261EB">
                            <w:pPr>
                              <w:pStyle w:val="NormalWeb"/>
                              <w:spacing w:before="120" w:beforeAutospacing="0" w:after="120" w:afterAutospacing="0"/>
                              <w:rPr>
                                <w:rFonts w:ascii="Gill Sans MT" w:hAnsi="Gill Sans MT"/>
                                <w:bCs/>
                                <w:i/>
                                <w:color w:val="000000"/>
                                <w:sz w:val="28"/>
                                <w:szCs w:val="28"/>
                              </w:rPr>
                            </w:pPr>
                            <w:r w:rsidRPr="00FD639D">
                              <w:rPr>
                                <w:rFonts w:ascii="Gill Sans MT" w:hAnsi="Gill Sans MT"/>
                                <w:bCs/>
                                <w:i/>
                                <w:color w:val="000000"/>
                                <w:sz w:val="28"/>
                                <w:szCs w:val="28"/>
                              </w:rPr>
                              <w:t xml:space="preserve">For some positions, the training for entry level personnel can take </w:t>
                            </w:r>
                            <w:r>
                              <w:rPr>
                                <w:rFonts w:ascii="Gill Sans MT" w:hAnsi="Gill Sans MT"/>
                                <w:bCs/>
                                <w:i/>
                                <w:color w:val="000000"/>
                                <w:sz w:val="28"/>
                                <w:szCs w:val="28"/>
                              </w:rPr>
                              <w:t xml:space="preserve">anywhere </w:t>
                            </w:r>
                            <w:r w:rsidRPr="00FD639D">
                              <w:rPr>
                                <w:rFonts w:ascii="Gill Sans MT" w:hAnsi="Gill Sans MT"/>
                                <w:bCs/>
                                <w:i/>
                                <w:color w:val="000000"/>
                                <w:sz w:val="28"/>
                                <w:szCs w:val="28"/>
                              </w:rPr>
                              <w:t xml:space="preserve">from one to three years before analyzing casework can begin.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81.45pt;margin-top:9.95pt;width:117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faMAIAAF0EAAAOAAAAZHJzL2Uyb0RvYy54bWysVMFu2zAMvQ/YPwi6r06CpEmNOkWXLsOA&#10;rhvQ7gMUWY6FSaJGKbG7rx8lp0m6YZdhOQiiST0+PpK5vumtYXuFQYOr+PhixJlyEmrtthX/9rR+&#10;t+AsROFqYcCpij+rwG+Wb99cd75UE2jB1AoZgbhQdr7ibYy+LIogW2VFuACvHDkbQCsimbgtahQd&#10;oVtTTEajy6IDrD2CVCHQ17vByZcZv2mUjF+aJqjITMWJW8wn5nOTzmJ5LcotCt9qeaAh/oGFFdpR&#10;0iPUnYiC7VD/AWW1RAjQxAsJtoCm0VLlGqia8ei3ah5b4VWuhcQJ/ihT+H+w8mH/FZmuKz7jzAlL&#10;LXpSfWTvoWfzpE7nQ0lBj57CYk+fqcu50uDvQX4PzMGqFW6rbhGha5Woid04vSzOng44IYFsus9Q&#10;Uxqxi5CB+gZtko7EYIROXXo+diZRkSnldDG7GpFLkm8yWVyOyEg5RPny3GOIHxVYli4VR2p9hhf7&#10;+xCH0JeQlC2A0fVaG5MN3G5WBtle0Jis8++A/irMONZVfH5Jg0dMrCfVIupBjb/CEdMT2VdwVkea&#10;faNtxRfHIFEmDT+4miiLMgpthjtVatxB1KTjoGjsNz0FJqU3UD+TvAjDjNNO0qUF/MlZR/Nd8fBj&#10;J1BxZj45atHVeDpNC5GN6Ww+IQPPPZtzj3CSoKhczobrKg5LtPOoty1lGobCwS21tdFZ8BOrA2+a&#10;4dyyw76lJTm3c9TpX2H5CwAA//8DAFBLAwQUAAYACAAAACEAjwyuNt4AAAAKAQAADwAAAGRycy9k&#10;b3ducmV2LnhtbEyPT0+DQBDF7yZ+h82Y9GLsUhqhIEtjTOvd1sR427JTIGVnCbtQ+u0dT3qaP+/l&#10;zW+K7Ww7MeHgW0cKVssIBFLlTEu1gs/j/mkDwgdNRneOUMENPWzL+7tC58Zd6QOnQ6gFh5DPtYIm&#10;hD6X0lcNWu2Xrkdi7ewGqwOPQy3NoK8cbjsZR1EirW6JLzS6x7cGq8thtAoen1ffo6kdneP345e9&#10;TFG6We+UWjzMry8gAs7hzwy/+IwOJTOd3EjGi05BmsQZW1nIuLIhyxJuTgrWKW9kWcj/L5Q/AAAA&#10;//8DAFBLAQItABQABgAIAAAAIQC2gziS/gAAAOEBAAATAAAAAAAAAAAAAAAAAAAAAABbQ29udGVu&#10;dF9UeXBlc10ueG1sUEsBAi0AFAAGAAgAAAAhADj9If/WAAAAlAEAAAsAAAAAAAAAAAAAAAAALwEA&#10;AF9yZWxzLy5yZWxzUEsBAi0AFAAGAAgAAAAhACtON9owAgAAXQQAAA4AAAAAAAAAAAAAAAAALgIA&#10;AGRycy9lMm9Eb2MueG1sUEsBAi0AFAAGAAgAAAAhAI8MrjbeAAAACgEAAA8AAAAAAAAAAAAAAAAA&#10;igQAAGRycy9kb3ducmV2LnhtbFBLBQYAAAAABAAEAPMAAACVBQAAAAA=&#10;" strokeweight="6pt">
                <v:stroke linestyle="thickBetweenThin"/>
                <v:textbox>
                  <w:txbxContent>
                    <w:p w:rsidR="00D4386C" w:rsidRPr="00FD639D" w:rsidRDefault="00D4386C" w:rsidP="004261EB">
                      <w:pPr>
                        <w:pStyle w:val="NormalWeb"/>
                        <w:spacing w:before="120" w:beforeAutospacing="0" w:after="120" w:afterAutospacing="0"/>
                        <w:rPr>
                          <w:rFonts w:ascii="Gill Sans MT" w:hAnsi="Gill Sans MT"/>
                          <w:bCs/>
                          <w:i/>
                          <w:color w:val="000000"/>
                          <w:sz w:val="28"/>
                          <w:szCs w:val="28"/>
                        </w:rPr>
                      </w:pPr>
                      <w:r w:rsidRPr="00FD639D">
                        <w:rPr>
                          <w:rFonts w:ascii="Gill Sans MT" w:hAnsi="Gill Sans MT"/>
                          <w:bCs/>
                          <w:i/>
                          <w:color w:val="000000"/>
                          <w:sz w:val="28"/>
                          <w:szCs w:val="28"/>
                        </w:rPr>
                        <w:t xml:space="preserve">For some positions, the training for entry level personnel can take </w:t>
                      </w:r>
                      <w:r>
                        <w:rPr>
                          <w:rFonts w:ascii="Gill Sans MT" w:hAnsi="Gill Sans MT"/>
                          <w:bCs/>
                          <w:i/>
                          <w:color w:val="000000"/>
                          <w:sz w:val="28"/>
                          <w:szCs w:val="28"/>
                        </w:rPr>
                        <w:t xml:space="preserve">anywhere </w:t>
                      </w:r>
                      <w:r w:rsidRPr="00FD639D">
                        <w:rPr>
                          <w:rFonts w:ascii="Gill Sans MT" w:hAnsi="Gill Sans MT"/>
                          <w:bCs/>
                          <w:i/>
                          <w:color w:val="000000"/>
                          <w:sz w:val="28"/>
                          <w:szCs w:val="28"/>
                        </w:rPr>
                        <w:t xml:space="preserve">from one to three years before analyzing casework can begin. </w:t>
                      </w:r>
                    </w:p>
                  </w:txbxContent>
                </v:textbox>
              </v:shape>
            </w:pict>
          </mc:Fallback>
        </mc:AlternateContent>
      </w:r>
    </w:p>
    <w:p w:rsidR="00FA40A0" w:rsidRDefault="00FA40A0">
      <w:pPr>
        <w:rPr>
          <w:rFonts w:cs="Gill Sans MT"/>
          <w:color w:val="000000"/>
          <w:sz w:val="26"/>
          <w:szCs w:val="26"/>
        </w:rPr>
      </w:pPr>
      <w:r>
        <w:rPr>
          <w:rFonts w:cs="Gill Sans MT"/>
          <w:color w:val="000000"/>
          <w:sz w:val="26"/>
          <w:szCs w:val="26"/>
        </w:rPr>
        <w:t xml:space="preserve">Entry level staff must successfully complete adequate competency </w:t>
      </w:r>
    </w:p>
    <w:p w:rsidR="00FA40A0" w:rsidRDefault="00FA40A0">
      <w:pPr>
        <w:rPr>
          <w:rFonts w:cs="Gill Sans MT"/>
          <w:color w:val="000000"/>
          <w:sz w:val="26"/>
          <w:szCs w:val="26"/>
        </w:rPr>
      </w:pPr>
      <w:r>
        <w:rPr>
          <w:rFonts w:cs="Gill Sans MT"/>
          <w:color w:val="000000"/>
          <w:sz w:val="26"/>
          <w:szCs w:val="26"/>
        </w:rPr>
        <w:t xml:space="preserve">testing in all applicable disciplines </w:t>
      </w:r>
      <w:r>
        <w:rPr>
          <w:rFonts w:cs="Gill Sans MT"/>
          <w:b/>
          <w:bCs/>
          <w:i/>
          <w:iCs/>
          <w:color w:val="000000"/>
          <w:sz w:val="26"/>
          <w:szCs w:val="26"/>
        </w:rPr>
        <w:t>prior</w:t>
      </w:r>
      <w:r>
        <w:rPr>
          <w:rFonts w:cs="Gill Sans MT"/>
          <w:color w:val="000000"/>
          <w:sz w:val="26"/>
          <w:szCs w:val="26"/>
        </w:rPr>
        <w:t xml:space="preserve"> to performing independent </w:t>
      </w:r>
    </w:p>
    <w:p w:rsidR="00FA40A0" w:rsidRDefault="00FA40A0">
      <w:pPr>
        <w:rPr>
          <w:rFonts w:cs="Gill Sans MT"/>
          <w:color w:val="000000"/>
          <w:sz w:val="26"/>
          <w:szCs w:val="26"/>
        </w:rPr>
      </w:pPr>
      <w:r>
        <w:rPr>
          <w:rFonts w:cs="Gill Sans MT"/>
          <w:color w:val="000000"/>
          <w:sz w:val="26"/>
          <w:szCs w:val="26"/>
        </w:rPr>
        <w:t>case-connected examinations. Competency testing often includes</w:t>
      </w:r>
    </w:p>
    <w:p w:rsidR="00FA40A0" w:rsidRDefault="00FA40A0">
      <w:pPr>
        <w:rPr>
          <w:rFonts w:cs="Gill Sans MT"/>
          <w:color w:val="000000"/>
          <w:sz w:val="26"/>
          <w:szCs w:val="26"/>
        </w:rPr>
      </w:pPr>
      <w:r>
        <w:rPr>
          <w:rFonts w:cs="Gill Sans MT"/>
          <w:color w:val="000000"/>
          <w:sz w:val="26"/>
          <w:szCs w:val="26"/>
        </w:rPr>
        <w:t xml:space="preserve">evaluation of knowledge of existing literature, written and/or oral </w:t>
      </w:r>
    </w:p>
    <w:p w:rsidR="00FA40A0" w:rsidRDefault="00FA40A0">
      <w:pPr>
        <w:rPr>
          <w:rFonts w:cs="Gill Sans MT"/>
          <w:color w:val="000000"/>
          <w:sz w:val="26"/>
          <w:szCs w:val="26"/>
        </w:rPr>
      </w:pPr>
      <w:r>
        <w:rPr>
          <w:rFonts w:cs="Gill Sans MT"/>
          <w:color w:val="000000"/>
          <w:sz w:val="26"/>
          <w:szCs w:val="26"/>
        </w:rPr>
        <w:t>examinations, examination and identification of known and</w:t>
      </w:r>
    </w:p>
    <w:p w:rsidR="00FA40A0" w:rsidRDefault="00FA40A0">
      <w:pPr>
        <w:rPr>
          <w:rFonts w:cs="Gill Sans MT"/>
          <w:color w:val="000000"/>
          <w:sz w:val="26"/>
          <w:szCs w:val="26"/>
        </w:rPr>
      </w:pPr>
      <w:r>
        <w:rPr>
          <w:rFonts w:cs="Gill Sans MT"/>
          <w:color w:val="000000"/>
          <w:sz w:val="26"/>
          <w:szCs w:val="26"/>
        </w:rPr>
        <w:t xml:space="preserve">unknown material, and moot court. For some positions, the </w:t>
      </w:r>
    </w:p>
    <w:p w:rsidR="00FA40A0" w:rsidRDefault="00FA40A0">
      <w:pPr>
        <w:rPr>
          <w:rFonts w:cs="Gill Sans MT"/>
          <w:color w:val="000000"/>
          <w:sz w:val="26"/>
          <w:szCs w:val="26"/>
        </w:rPr>
      </w:pPr>
      <w:r>
        <w:rPr>
          <w:rFonts w:cs="Gill Sans MT"/>
          <w:color w:val="000000"/>
          <w:sz w:val="26"/>
          <w:szCs w:val="26"/>
        </w:rPr>
        <w:t>training for entry level personnel can take anywhere from one to</w:t>
      </w:r>
    </w:p>
    <w:p w:rsidR="00FA40A0" w:rsidRDefault="00FA40A0">
      <w:pPr>
        <w:rPr>
          <w:rFonts w:cs="Gill Sans MT"/>
          <w:color w:val="000000"/>
          <w:sz w:val="26"/>
          <w:szCs w:val="26"/>
        </w:rPr>
      </w:pPr>
      <w:r>
        <w:rPr>
          <w:rFonts w:cs="Gill Sans MT"/>
          <w:color w:val="000000"/>
          <w:sz w:val="26"/>
          <w:szCs w:val="26"/>
        </w:rPr>
        <w:t>three years before analyzing</w:t>
      </w:r>
      <w:r w:rsidR="00E669BC">
        <w:rPr>
          <w:rFonts w:cs="Gill Sans MT"/>
          <w:color w:val="000000"/>
          <w:sz w:val="26"/>
          <w:szCs w:val="26"/>
        </w:rPr>
        <w:t xml:space="preserve"> casework can begin. During the</w:t>
      </w:r>
      <w:r>
        <w:rPr>
          <w:rFonts w:cs="Gill Sans MT"/>
          <w:color w:val="000000"/>
          <w:sz w:val="26"/>
          <w:szCs w:val="26"/>
        </w:rPr>
        <w:t xml:space="preserve"> training</w:t>
      </w:r>
      <w:r w:rsidR="00E669BC">
        <w:rPr>
          <w:rFonts w:cs="Gill Sans MT"/>
          <w:color w:val="000000"/>
          <w:sz w:val="26"/>
          <w:szCs w:val="26"/>
        </w:rPr>
        <w:br/>
        <w:t xml:space="preserve">period, </w:t>
      </w:r>
      <w:r>
        <w:rPr>
          <w:rFonts w:cs="Gill Sans MT"/>
          <w:color w:val="000000"/>
          <w:sz w:val="26"/>
          <w:szCs w:val="26"/>
        </w:rPr>
        <w:t>these per</w:t>
      </w:r>
      <w:r w:rsidR="00E669BC">
        <w:rPr>
          <w:rFonts w:cs="Gill Sans MT"/>
          <w:color w:val="000000"/>
          <w:sz w:val="26"/>
          <w:szCs w:val="26"/>
        </w:rPr>
        <w:t xml:space="preserve">sonnel are not analyzing cases. </w:t>
      </w:r>
      <w:r>
        <w:rPr>
          <w:rFonts w:cs="Gill Sans MT"/>
          <w:color w:val="000000"/>
          <w:sz w:val="26"/>
          <w:szCs w:val="26"/>
        </w:rPr>
        <w:t xml:space="preserve">This extensive </w:t>
      </w:r>
    </w:p>
    <w:p w:rsidR="00FA40A0" w:rsidRDefault="00FA40A0">
      <w:pPr>
        <w:rPr>
          <w:rFonts w:cs="Gill Sans MT"/>
          <w:color w:val="000000"/>
          <w:sz w:val="26"/>
          <w:szCs w:val="26"/>
        </w:rPr>
      </w:pPr>
      <w:r>
        <w:rPr>
          <w:rFonts w:cs="Gill Sans MT"/>
          <w:color w:val="000000"/>
          <w:sz w:val="26"/>
          <w:szCs w:val="26"/>
        </w:rPr>
        <w:t xml:space="preserve">and lengthy delay can contribute to the backlog of cases. The </w:t>
      </w:r>
    </w:p>
    <w:p w:rsidR="00FA40A0" w:rsidRDefault="00FA40A0">
      <w:pPr>
        <w:rPr>
          <w:rFonts w:cs="Gill Sans MT"/>
          <w:color w:val="000000"/>
          <w:sz w:val="26"/>
          <w:szCs w:val="26"/>
        </w:rPr>
      </w:pPr>
      <w:r>
        <w:rPr>
          <w:rFonts w:cs="Gill Sans MT"/>
          <w:color w:val="000000"/>
          <w:sz w:val="26"/>
          <w:szCs w:val="26"/>
        </w:rPr>
        <w:t>training for these personnel is another issue that is addressed in</w:t>
      </w:r>
    </w:p>
    <w:p w:rsidR="00FA40A0" w:rsidRDefault="00FA40A0">
      <w:pPr>
        <w:rPr>
          <w:rFonts w:cs="Gill Sans MT"/>
          <w:color w:val="000000"/>
          <w:sz w:val="26"/>
          <w:szCs w:val="26"/>
        </w:rPr>
      </w:pPr>
      <w:r>
        <w:rPr>
          <w:rFonts w:cs="Gill Sans MT"/>
          <w:color w:val="000000"/>
          <w:sz w:val="26"/>
          <w:szCs w:val="26"/>
        </w:rPr>
        <w:t xml:space="preserve">the Continuing Education for Personnel Section. </w:t>
      </w:r>
    </w:p>
    <w:p w:rsidR="00FA40A0" w:rsidRDefault="00FA40A0">
      <w:pPr>
        <w:rPr>
          <w:rFonts w:cs="Gill Sans MT"/>
          <w:color w:val="000000"/>
          <w:sz w:val="26"/>
          <w:szCs w:val="26"/>
        </w:rPr>
      </w:pPr>
    </w:p>
    <w:p w:rsidR="00FA40A0" w:rsidRDefault="00FA40A0">
      <w:pPr>
        <w:rPr>
          <w:rFonts w:cs="Gill Sans MT"/>
          <w:color w:val="000000"/>
          <w:sz w:val="26"/>
          <w:szCs w:val="26"/>
        </w:rPr>
      </w:pPr>
      <w:r>
        <w:rPr>
          <w:rFonts w:cs="Gill Sans MT"/>
          <w:color w:val="000000"/>
          <w:sz w:val="26"/>
          <w:szCs w:val="26"/>
        </w:rPr>
        <w:t xml:space="preserve">A positive advancement that has occurred is the establishment of the Forensic Science Institute at the University of Central Oklahoma. In the past several years, the awareness of the use of forensic science in criminal cases has become more mainstream due to several successful television programs. As a result, a number of colleges have instituted forensic science degrees at both a Bachelor and Masters </w:t>
      </w:r>
      <w:proofErr w:type="gramStart"/>
      <w:r>
        <w:rPr>
          <w:rFonts w:cs="Gill Sans MT"/>
          <w:color w:val="000000"/>
          <w:sz w:val="26"/>
          <w:szCs w:val="26"/>
        </w:rPr>
        <w:t>level</w:t>
      </w:r>
      <w:proofErr w:type="gramEnd"/>
      <w:r>
        <w:rPr>
          <w:rFonts w:cs="Gill Sans MT"/>
          <w:color w:val="000000"/>
          <w:sz w:val="26"/>
          <w:szCs w:val="26"/>
        </w:rPr>
        <w:t>, including the University of Centra</w:t>
      </w:r>
      <w:r w:rsidR="00E669BC">
        <w:rPr>
          <w:rFonts w:cs="Gill Sans MT"/>
          <w:color w:val="000000"/>
          <w:sz w:val="26"/>
          <w:szCs w:val="26"/>
        </w:rPr>
        <w:t xml:space="preserve">l Oklahoma in Edmond, Oklahoma. </w:t>
      </w:r>
      <w:r>
        <w:rPr>
          <w:rFonts w:cs="Gill Sans MT"/>
          <w:color w:val="000000"/>
          <w:sz w:val="26"/>
          <w:szCs w:val="26"/>
        </w:rPr>
        <w:t xml:space="preserve">The Forensic Science Institute is devoted to academic excellence, through a unique multidisciplinary program, that provides outstanding educational, research, and professional training opportunities for practicing professionals, undergraduate as well as graduate students. The Forensic Science Institute is a comprehensive training and research organization in all aspects of evidence collection, preservation, analysis, reporting and testimony. This is an important development and should enhance the applicant pool of </w:t>
      </w:r>
      <w:r>
        <w:rPr>
          <w:rFonts w:cs="Gill Sans MT"/>
          <w:color w:val="000000"/>
          <w:sz w:val="26"/>
          <w:szCs w:val="26"/>
        </w:rPr>
        <w:lastRenderedPageBreak/>
        <w:t xml:space="preserve">potential employees. However, it is important to understand that even with a </w:t>
      </w:r>
      <w:r w:rsidR="00E73004">
        <w:rPr>
          <w:rFonts w:cs="Gill Sans MT"/>
          <w:color w:val="000000"/>
          <w:sz w:val="26"/>
          <w:szCs w:val="26"/>
        </w:rPr>
        <w:t>Master’s</w:t>
      </w:r>
      <w:r>
        <w:rPr>
          <w:rFonts w:cs="Gill Sans MT"/>
          <w:color w:val="000000"/>
          <w:sz w:val="26"/>
          <w:szCs w:val="26"/>
        </w:rPr>
        <w:t xml:space="preserve"> Degree from the newly accredited program at the University of Central Oklahoma, these employees would still require a one to three year period of on-the-job training. </w:t>
      </w:r>
    </w:p>
    <w:p w:rsidR="00FA40A0" w:rsidRDefault="00FA40A0">
      <w:pPr>
        <w:rPr>
          <w:rFonts w:cs="Gill Sans MT"/>
          <w:color w:val="000000"/>
          <w:sz w:val="26"/>
          <w:szCs w:val="26"/>
        </w:rPr>
      </w:pPr>
    </w:p>
    <w:p w:rsidR="00FA40A0" w:rsidRDefault="00FA40A0">
      <w:pPr>
        <w:rPr>
          <w:rFonts w:cs="Gill Sans MT"/>
          <w:color w:val="000000"/>
          <w:sz w:val="26"/>
          <w:szCs w:val="26"/>
        </w:rPr>
      </w:pPr>
      <w:r>
        <w:rPr>
          <w:rFonts w:cs="Gill Sans MT"/>
          <w:color w:val="000000"/>
          <w:sz w:val="26"/>
          <w:szCs w:val="26"/>
        </w:rPr>
        <w:t xml:space="preserve">It is also important to recognize that experienced and qualified forensic science personnel are difficult to retain. The market demand for qualified and experienced forensic lab personnel is high. Entry level personnel frequently develop knowledge and expertise and then move to a larger market for the increase in pay. In addition, there are some disciplines, such as Firearms </w:t>
      </w:r>
    </w:p>
    <w:p w:rsidR="00FA40A0" w:rsidRDefault="00FA40A0">
      <w:pPr>
        <w:rPr>
          <w:rFonts w:cs="Gill Sans MT"/>
          <w:color w:val="000000"/>
          <w:sz w:val="26"/>
          <w:szCs w:val="26"/>
        </w:rPr>
      </w:pPr>
      <w:r>
        <w:rPr>
          <w:rFonts w:cs="Gill Sans MT"/>
          <w:color w:val="000000"/>
          <w:sz w:val="26"/>
          <w:szCs w:val="26"/>
        </w:rPr>
        <w:t xml:space="preserve">and Tool Marks and Questioned Documents, which have well qualified, seasoned personnel who are or will be retiring. This is the case in Questioned Documents where there are only </w:t>
      </w:r>
    </w:p>
    <w:p w:rsidR="00FA40A0" w:rsidRDefault="00FA40A0">
      <w:pPr>
        <w:rPr>
          <w:rFonts w:cs="Gill Sans MT"/>
          <w:color w:val="000000"/>
          <w:sz w:val="26"/>
          <w:szCs w:val="26"/>
        </w:rPr>
      </w:pPr>
      <w:r>
        <w:rPr>
          <w:rFonts w:cs="Gill Sans MT"/>
          <w:color w:val="000000"/>
          <w:sz w:val="26"/>
          <w:szCs w:val="26"/>
        </w:rPr>
        <w:t xml:space="preserve">two examiners in the state. Unfortunately, the same level of trained personnel is not available to replace these individuals in the field. </w:t>
      </w:r>
    </w:p>
    <w:p w:rsidR="00FA40A0" w:rsidRDefault="00FA40A0">
      <w:pPr>
        <w:rPr>
          <w:rFonts w:cs="Gill Sans MT"/>
          <w:b/>
          <w:bCs/>
          <w:sz w:val="26"/>
          <w:szCs w:val="26"/>
        </w:rPr>
      </w:pPr>
    </w:p>
    <w:p w:rsidR="00FA40A0" w:rsidRDefault="00FA40A0">
      <w:pPr>
        <w:rPr>
          <w:rFonts w:cs="Gill Sans MT"/>
          <w:b/>
          <w:bCs/>
          <w:caps/>
          <w:sz w:val="26"/>
          <w:szCs w:val="26"/>
        </w:rPr>
      </w:pPr>
      <w:r>
        <w:rPr>
          <w:rFonts w:cs="Gill Sans MT"/>
          <w:b/>
          <w:bCs/>
          <w:caps/>
          <w:sz w:val="26"/>
          <w:szCs w:val="26"/>
        </w:rPr>
        <w:t>MAINTAINING Equipment AND INSTRUMENTATION</w:t>
      </w:r>
    </w:p>
    <w:p w:rsidR="00FA40A0" w:rsidRDefault="00FA40A0">
      <w:pPr>
        <w:rPr>
          <w:rFonts w:cs="Gill Sans MT"/>
          <w:sz w:val="26"/>
          <w:szCs w:val="26"/>
        </w:rPr>
      </w:pPr>
      <w:r>
        <w:rPr>
          <w:rFonts w:cs="Gill Sans MT"/>
          <w:sz w:val="26"/>
          <w:szCs w:val="26"/>
        </w:rPr>
        <w:t xml:space="preserve">In addition to qualified and trained personnel, equipment is also an extremely critical factor for a forensic lab and an ongoing expenditure in the budget. The intricate equipment used in forensic science analysis must be maintained to ensure accurate results and often in order to improve the timeliness of the forensic science services. There is also a frequent need for equipment to be upgraded. As with any field involving technology, forensic science technology is rapidly changing and improving. Equipment in a forensic lab is becoming more automated requiring fewer routine procedures by forensic analysts. This not only improves the timeliness of services, it can reduce case backlog and the possibility of human error.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Best practices for a forensic lab suggest the establishment of an Instrumentation Plan. The Instrumentation Plan identifies the date of purchase of the equipment, the projected period of time for usability for the specified equipment based on rate of usage and manufacturer’s recommendations, and the timeline for replacement and/or updating the equipment.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A major challenge facing all forensic labs is that equipment for any forensic science discipline is costly, not only to purchase, but also to maintain. The price of equipment can range anywhere from $2,000 to $300,000. For example, a comparison microscope used in ballistics costs approximately $60,000, and the price of a Gas Chromatograph – Mass Spectrometer (GC-MS) varies between $120,000 and $145,000. A scanning electron with an energy dispersive microscope spectrometer which can magnify up to 500,000 times and is used to analyze gunshot residue, may cost up to $300,000. In addition to the cost of the equipment are the required maintenance contracts. Generally, maintenance contracts on equipment cost at least ten percent (10%) of the original cost of the equipment. The accredited forensic labs have maintenance costs on the equipment which run from a minimum of $8,000 up to $300,000 for a larger facility.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While nearly half of the Coverdell funds have been used to purchase equipment since the inception of the grant program, these purchases are smaller pieces of equipment over the course of six years for seven (7) different laboratory facilities. Generally, there hasn’t been enough grant funds in any given award for a lab to purchase the larger equipment that is the most costly to replace.  </w:t>
      </w:r>
    </w:p>
    <w:p w:rsidR="00FA40A0" w:rsidRDefault="00FA40A0">
      <w:pPr>
        <w:rPr>
          <w:rFonts w:cs="Gill Sans MT"/>
          <w:sz w:val="26"/>
          <w:szCs w:val="26"/>
        </w:rPr>
      </w:pPr>
      <w:r>
        <w:rPr>
          <w:rFonts w:cs="Gill Sans MT"/>
          <w:sz w:val="26"/>
          <w:szCs w:val="26"/>
        </w:rPr>
        <w:lastRenderedPageBreak/>
        <w:t xml:space="preserve">Although this forensic laboratory equipment is extremely expensive, it is critical for labs to consider securing instrumentation, computer equipment, and software that allows for faster analyses. </w:t>
      </w:r>
      <w:r w:rsidR="00DD02CF" w:rsidRPr="00992713">
        <w:rPr>
          <w:rFonts w:cs="Gill Sans MT"/>
          <w:sz w:val="26"/>
          <w:szCs w:val="26"/>
        </w:rPr>
        <w:t>To illustrate</w:t>
      </w:r>
      <w:r>
        <w:rPr>
          <w:rFonts w:cs="Gill Sans MT"/>
          <w:sz w:val="26"/>
          <w:szCs w:val="26"/>
        </w:rPr>
        <w:t>, for example, an older generation of a GC-MS, often referred to as the workhorse of a forensic lab required sample injection by the analyst; therefore, the instrument would only process samples while the analyst was present. However, a newer model with an auto sampler will process up to 100 samples during one set up.  Using the newer model</w:t>
      </w:r>
      <w:r w:rsidR="009B56D5">
        <w:rPr>
          <w:rFonts w:cs="Gill Sans MT"/>
          <w:sz w:val="26"/>
          <w:szCs w:val="26"/>
        </w:rPr>
        <w:t>, the analysts’ hands-in time is greatly reduced.</w:t>
      </w:r>
      <w:r>
        <w:rPr>
          <w:rFonts w:cs="Gill Sans MT"/>
          <w:sz w:val="26"/>
          <w:szCs w:val="26"/>
        </w:rPr>
        <w:t xml:space="preserve"> </w:t>
      </w:r>
      <w:r w:rsidRPr="003244BD">
        <w:rPr>
          <w:rFonts w:cs="Gill Sans MT"/>
          <w:sz w:val="26"/>
          <w:szCs w:val="26"/>
        </w:rPr>
        <w:t xml:space="preserve">This allows samples to be analyzed day or night, thus reducing the backlog and the time it takes to get results. </w:t>
      </w:r>
      <w:r>
        <w:rPr>
          <w:rFonts w:cs="Gill Sans MT"/>
          <w:sz w:val="26"/>
          <w:szCs w:val="26"/>
        </w:rPr>
        <w:t xml:space="preserve">Old or slower equipment that may still be in use can create backlogs in a department with large caseloads.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In addition to replacing antiquated equipment, there is the issue of planned </w:t>
      </w:r>
      <w:r w:rsidR="009B56D5">
        <w:rPr>
          <w:rFonts w:cs="Gill Sans MT"/>
          <w:sz w:val="26"/>
          <w:szCs w:val="26"/>
        </w:rPr>
        <w:t xml:space="preserve">termination of support by the manufacturer </w:t>
      </w:r>
      <w:r>
        <w:rPr>
          <w:rFonts w:cs="Gill Sans MT"/>
          <w:sz w:val="26"/>
          <w:szCs w:val="26"/>
        </w:rPr>
        <w:t xml:space="preserve">that labs must manage. </w:t>
      </w:r>
      <w:r w:rsidR="009B56D5">
        <w:rPr>
          <w:rFonts w:cs="Gill Sans MT"/>
          <w:sz w:val="26"/>
          <w:szCs w:val="26"/>
        </w:rPr>
        <w:t>Once the manufacturer’s support ends, repair of the instrumentation may not be possible at all (in the event that the manufacturer no longer carries the parts necessary to make the repairs) or the repair could be so costly that it is</w:t>
      </w:r>
      <w:r w:rsidR="00E669BC">
        <w:rPr>
          <w:rFonts w:cs="Gill Sans MT"/>
          <w:sz w:val="26"/>
          <w:szCs w:val="26"/>
        </w:rPr>
        <w:t xml:space="preserve"> cost prohibitive for the lab. </w:t>
      </w:r>
      <w:r>
        <w:rPr>
          <w:rFonts w:cs="Gill Sans MT"/>
          <w:sz w:val="26"/>
          <w:szCs w:val="26"/>
        </w:rPr>
        <w:t xml:space="preserve">Manufacturers only support old equipment for a finite period of time and after that time the equipment is no longer usable. </w:t>
      </w:r>
      <w:r w:rsidR="009B56D5">
        <w:rPr>
          <w:rFonts w:cs="Gill Sans MT"/>
          <w:sz w:val="26"/>
          <w:szCs w:val="26"/>
        </w:rPr>
        <w:t xml:space="preserve">At the end of a service life of an instrument, labs must </w:t>
      </w:r>
      <w:r>
        <w:rPr>
          <w:rFonts w:cs="Gill Sans MT"/>
          <w:sz w:val="26"/>
          <w:szCs w:val="26"/>
        </w:rPr>
        <w:t xml:space="preserve">purchase a newer model. The acquisition of a newer model can sometimes require software upgrades as well.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There are instances where some equipment can only be run by specific software which is located on an aging computer. The equipment may be still viable but the software is outdated and is no longer compatible with newer computer systems. The Tulsa Police Department who continues to use a 2000 </w:t>
      </w:r>
      <w:proofErr w:type="spellStart"/>
      <w:r>
        <w:rPr>
          <w:rFonts w:cs="Gill Sans MT"/>
          <w:sz w:val="26"/>
          <w:szCs w:val="26"/>
        </w:rPr>
        <w:t>videospectral</w:t>
      </w:r>
      <w:proofErr w:type="spellEnd"/>
      <w:r>
        <w:rPr>
          <w:rFonts w:cs="Gill Sans MT"/>
          <w:sz w:val="26"/>
          <w:szCs w:val="26"/>
        </w:rPr>
        <w:t xml:space="preserve"> comparator and only one computer in the lab with the software to run the equipment.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In other instances, when aging equipment is still used, it can be difficult, if not impossible to locate a replacement part when one is needed or to identify trained personnel who are able to work on the aging equipment. Finally, maintenance contracts typically do not support older equipment; therefore, any costs required to perform the work must be covered in full by the lab. </w:t>
      </w:r>
    </w:p>
    <w:p w:rsidR="00FA40A0" w:rsidRDefault="00FA40A0">
      <w:pPr>
        <w:rPr>
          <w:rFonts w:cs="Gill Sans MT"/>
          <w:sz w:val="26"/>
          <w:szCs w:val="26"/>
        </w:rPr>
      </w:pPr>
    </w:p>
    <w:p w:rsidR="00FA40A0" w:rsidRDefault="00FA40A0" w:rsidP="00C43D48">
      <w:pPr>
        <w:rPr>
          <w:rFonts w:cs="Gill Sans MT"/>
          <w:sz w:val="26"/>
          <w:szCs w:val="26"/>
        </w:rPr>
      </w:pPr>
      <w:r>
        <w:rPr>
          <w:rFonts w:cs="Gill Sans MT"/>
          <w:sz w:val="26"/>
          <w:szCs w:val="26"/>
        </w:rPr>
        <w:t>The cost to obtain new equipment can be prohibitive, and the old, outdated equipment must still be used in order to process the cases. The inability to update or purchase equipment due to a lack of funds significantly impacts a l</w:t>
      </w:r>
      <w:r w:rsidR="00E669BC">
        <w:rPr>
          <w:rFonts w:cs="Gill Sans MT"/>
          <w:sz w:val="26"/>
          <w:szCs w:val="26"/>
        </w:rPr>
        <w:t xml:space="preserve">ab’s ability to process cases. </w:t>
      </w:r>
      <w:r>
        <w:rPr>
          <w:rFonts w:cs="Gill Sans MT"/>
          <w:sz w:val="26"/>
          <w:szCs w:val="26"/>
        </w:rPr>
        <w:t xml:space="preserve">Labs are faced with the dilemma of securing new funding or of cutting funds needed for other services and programs in order to update/maintain instrumentation. As evidence of the high costs associated with maintaining instrumentation, by 2011, the majority of instruments used by the OSBI’s Drug and Toxicology disciplines will no longer be </w:t>
      </w:r>
      <w:r w:rsidR="00E669BC">
        <w:rPr>
          <w:rFonts w:cs="Gill Sans MT"/>
          <w:sz w:val="26"/>
          <w:szCs w:val="26"/>
        </w:rPr>
        <w:t xml:space="preserve">supported by the manufacturer. </w:t>
      </w:r>
      <w:r>
        <w:rPr>
          <w:rFonts w:cs="Gill Sans MT"/>
          <w:sz w:val="26"/>
          <w:szCs w:val="26"/>
        </w:rPr>
        <w:t xml:space="preserve">These instruments must be replaced, and it is estimated that it will cost $1,300,770.30 to do so (based on current costs).  </w:t>
      </w:r>
    </w:p>
    <w:p w:rsidR="00FA40A0" w:rsidRDefault="00FA40A0">
      <w:pPr>
        <w:rPr>
          <w:rFonts w:cs="Gill Sans MT"/>
          <w:sz w:val="26"/>
          <w:szCs w:val="26"/>
        </w:rPr>
      </w:pPr>
    </w:p>
    <w:p w:rsidR="00FA40A0" w:rsidRDefault="00FA40A0">
      <w:pPr>
        <w:rPr>
          <w:rFonts w:cs="Gill Sans MT"/>
          <w:b/>
          <w:bCs/>
          <w:caps/>
          <w:color w:val="000000"/>
          <w:sz w:val="26"/>
          <w:szCs w:val="26"/>
        </w:rPr>
      </w:pPr>
      <w:r>
        <w:rPr>
          <w:rFonts w:cs="Gill Sans MT"/>
          <w:b/>
          <w:bCs/>
          <w:caps/>
          <w:color w:val="000000"/>
          <w:sz w:val="26"/>
          <w:szCs w:val="26"/>
        </w:rPr>
        <w:t>ensuring Continuing Education and training for Personnel</w:t>
      </w:r>
    </w:p>
    <w:p w:rsidR="00FA40A0" w:rsidRDefault="00FA40A0" w:rsidP="00C43D48">
      <w:pPr>
        <w:rPr>
          <w:rFonts w:cs="Gill Sans MT"/>
          <w:color w:val="000000"/>
          <w:sz w:val="26"/>
          <w:szCs w:val="26"/>
        </w:rPr>
      </w:pPr>
      <w:r w:rsidRPr="004D1BB1">
        <w:rPr>
          <w:rFonts w:cs="Gill Sans MT"/>
          <w:color w:val="000000"/>
          <w:sz w:val="26"/>
          <w:szCs w:val="26"/>
        </w:rPr>
        <w:t xml:space="preserve">Under </w:t>
      </w:r>
      <w:r>
        <w:rPr>
          <w:rFonts w:cs="Gill Sans MT"/>
          <w:color w:val="000000"/>
          <w:sz w:val="26"/>
          <w:szCs w:val="26"/>
        </w:rPr>
        <w:t>ASCLD/LAB</w:t>
      </w:r>
      <w:r w:rsidRPr="004D1BB1">
        <w:rPr>
          <w:rFonts w:cs="Gill Sans MT"/>
          <w:color w:val="000000"/>
          <w:sz w:val="26"/>
          <w:szCs w:val="26"/>
        </w:rPr>
        <w:t xml:space="preserve"> accreditation standards, a stringent Training Plan for each forensic discipline is required.</w:t>
      </w:r>
      <w:r>
        <w:rPr>
          <w:rFonts w:cs="Gill Sans MT"/>
          <w:color w:val="000000"/>
          <w:sz w:val="26"/>
          <w:szCs w:val="26"/>
        </w:rPr>
        <w:t xml:space="preserve"> Accredited labs must maintain specific levels of training for all staff. This </w:t>
      </w:r>
      <w:r>
        <w:rPr>
          <w:rFonts w:cs="Gill Sans MT"/>
          <w:color w:val="000000"/>
          <w:sz w:val="26"/>
          <w:szCs w:val="26"/>
        </w:rPr>
        <w:lastRenderedPageBreak/>
        <w:t>is especial</w:t>
      </w:r>
      <w:r w:rsidR="00E669BC">
        <w:rPr>
          <w:rFonts w:cs="Gill Sans MT"/>
          <w:color w:val="000000"/>
          <w:sz w:val="26"/>
          <w:szCs w:val="26"/>
        </w:rPr>
        <w:t xml:space="preserve">ly true in the DNA discipline. </w:t>
      </w:r>
      <w:r>
        <w:rPr>
          <w:rFonts w:cs="Gill Sans MT"/>
          <w:color w:val="000000"/>
          <w:sz w:val="26"/>
          <w:szCs w:val="26"/>
        </w:rPr>
        <w:t>Because of the rapid changes that continue to occur in this discipline, DNA analysts are federally required to receive a minimum of eight (8) hours of training each year.</w:t>
      </w:r>
    </w:p>
    <w:p w:rsidR="00FA40A0" w:rsidRDefault="00FA40A0" w:rsidP="00C43D48">
      <w:pPr>
        <w:rPr>
          <w:rFonts w:cs="Gill Sans MT"/>
          <w:color w:val="000000"/>
          <w:sz w:val="26"/>
          <w:szCs w:val="26"/>
        </w:rPr>
      </w:pPr>
    </w:p>
    <w:p w:rsidR="00FA40A0" w:rsidRDefault="00FA40A0" w:rsidP="00C43D48">
      <w:pPr>
        <w:rPr>
          <w:rFonts w:cs="Gill Sans MT"/>
          <w:color w:val="000000"/>
          <w:sz w:val="26"/>
          <w:szCs w:val="26"/>
        </w:rPr>
      </w:pPr>
      <w:r>
        <w:rPr>
          <w:rFonts w:cs="Gill Sans MT"/>
          <w:color w:val="000000"/>
          <w:sz w:val="26"/>
          <w:szCs w:val="26"/>
        </w:rPr>
        <w:t xml:space="preserve">The acceptable venues for training are limited and are often not available within Oklahoma. Because of this, analysts are required to travel out-of-state to obtain continuing education. Additionally, the cost to attend this training can be considerable with registration fees generally ranging from $50 to $1300 per analyst, which places an ongoing financial burden on the laboratory. Funding for training is often reduced or eliminated when budgets are tight; although training is still required in order to maintain accreditation. </w:t>
      </w:r>
    </w:p>
    <w:p w:rsidR="00FA40A0" w:rsidRDefault="00FA40A0">
      <w:pPr>
        <w:rPr>
          <w:rFonts w:cs="Gill Sans MT"/>
          <w:color w:val="000000"/>
          <w:sz w:val="26"/>
          <w:szCs w:val="26"/>
        </w:rPr>
      </w:pPr>
    </w:p>
    <w:p w:rsidR="00FA40A0" w:rsidRDefault="00FA40A0">
      <w:pPr>
        <w:rPr>
          <w:rFonts w:cs="Gill Sans MT"/>
          <w:color w:val="000000"/>
          <w:sz w:val="26"/>
          <w:szCs w:val="26"/>
        </w:rPr>
      </w:pPr>
      <w:r>
        <w:rPr>
          <w:rFonts w:cs="Gill Sans MT"/>
          <w:color w:val="000000"/>
          <w:sz w:val="26"/>
          <w:szCs w:val="26"/>
        </w:rPr>
        <w:t xml:space="preserve">Nearly one quarter (1/4) of the Coverdell Grant funds since inception of the grant program have been used to provide continuing education for forensic personnel. Without these funds, it is reported that the funding for the ongoing required training would not have been available or budgets in other areas would have suffered. The Coverdell Grant funds have been incredibly valuable in this area. </w:t>
      </w:r>
    </w:p>
    <w:p w:rsidR="00FA40A0" w:rsidRDefault="00FA40A0">
      <w:pPr>
        <w:rPr>
          <w:rFonts w:cs="Gill Sans MT"/>
          <w:color w:val="000000"/>
          <w:sz w:val="26"/>
          <w:szCs w:val="26"/>
        </w:rPr>
      </w:pPr>
      <w:r>
        <w:rPr>
          <w:rFonts w:cs="Gill Sans MT"/>
          <w:color w:val="000000"/>
          <w:sz w:val="26"/>
          <w:szCs w:val="26"/>
        </w:rPr>
        <w:t xml:space="preserve">  </w:t>
      </w:r>
    </w:p>
    <w:p w:rsidR="00FA40A0" w:rsidRPr="00582311" w:rsidRDefault="00FA40A0">
      <w:pPr>
        <w:rPr>
          <w:rFonts w:cs="Gill Sans MT"/>
          <w:b/>
          <w:bCs/>
          <w:caps/>
          <w:sz w:val="26"/>
          <w:szCs w:val="26"/>
        </w:rPr>
      </w:pPr>
      <w:r w:rsidRPr="00582311">
        <w:rPr>
          <w:rFonts w:cs="Gill Sans MT"/>
          <w:b/>
          <w:bCs/>
          <w:caps/>
          <w:sz w:val="26"/>
          <w:szCs w:val="26"/>
        </w:rPr>
        <w:t xml:space="preserve">MANAGING THE increasing Demand for Services </w:t>
      </w:r>
    </w:p>
    <w:p w:rsidR="00FA40A0" w:rsidRPr="004D1BB1" w:rsidRDefault="00FA40A0">
      <w:pPr>
        <w:rPr>
          <w:rFonts w:cs="Gill Sans MT"/>
          <w:sz w:val="26"/>
          <w:szCs w:val="26"/>
        </w:rPr>
      </w:pPr>
      <w:r w:rsidRPr="00582311">
        <w:rPr>
          <w:rFonts w:cs="Gill Sans MT"/>
          <w:sz w:val="26"/>
          <w:szCs w:val="26"/>
        </w:rPr>
        <w:t xml:space="preserve">The demand for accurate and timely forensic science and medical examiner toxicology </w:t>
      </w:r>
      <w:r w:rsidR="00E669BC">
        <w:rPr>
          <w:rFonts w:cs="Gill Sans MT"/>
          <w:sz w:val="26"/>
          <w:szCs w:val="26"/>
        </w:rPr>
        <w:t xml:space="preserve">services continues to increase. </w:t>
      </w:r>
      <w:r w:rsidRPr="00582311">
        <w:rPr>
          <w:rFonts w:cs="Gill Sans MT"/>
          <w:sz w:val="26"/>
          <w:szCs w:val="26"/>
        </w:rPr>
        <w:t xml:space="preserve">The trend is not only to utilize DNA in homicides and rape cases but in property crimes as well. The number of forensic cases submitted to the </w:t>
      </w:r>
      <w:r w:rsidR="00731DB1">
        <w:rPr>
          <w:rFonts w:cs="Gill Sans MT"/>
          <w:sz w:val="26"/>
          <w:szCs w:val="26"/>
        </w:rPr>
        <w:t xml:space="preserve">OSBI’s </w:t>
      </w:r>
      <w:r w:rsidRPr="00582311">
        <w:rPr>
          <w:rFonts w:cs="Gill Sans MT"/>
          <w:sz w:val="26"/>
          <w:szCs w:val="26"/>
        </w:rPr>
        <w:t>five labs</w:t>
      </w:r>
      <w:r w:rsidR="00731DB1">
        <w:rPr>
          <w:rFonts w:cs="Gill Sans MT"/>
          <w:sz w:val="26"/>
          <w:szCs w:val="26"/>
        </w:rPr>
        <w:t xml:space="preserve"> (OSBI)</w:t>
      </w:r>
      <w:r w:rsidRPr="00582311">
        <w:rPr>
          <w:rFonts w:cs="Gill Sans MT"/>
          <w:sz w:val="26"/>
          <w:szCs w:val="26"/>
        </w:rPr>
        <w:t xml:space="preserve">, District 7 District </w:t>
      </w:r>
      <w:proofErr w:type="spellStart"/>
      <w:r w:rsidRPr="00582311">
        <w:rPr>
          <w:rFonts w:cs="Gill Sans MT"/>
          <w:sz w:val="26"/>
          <w:szCs w:val="26"/>
        </w:rPr>
        <w:t>Attorneys</w:t>
      </w:r>
      <w:proofErr w:type="spellEnd"/>
      <w:r w:rsidRPr="00582311">
        <w:rPr>
          <w:rFonts w:cs="Gill Sans MT"/>
          <w:sz w:val="26"/>
          <w:szCs w:val="26"/>
        </w:rPr>
        <w:t xml:space="preserve"> Office (DA07), Office of the Chief Medical Examiner (OCME), Tulsa Police Department (TPD), and </w:t>
      </w:r>
      <w:r w:rsidR="00731DB1">
        <w:rPr>
          <w:rFonts w:cs="Gill Sans MT"/>
          <w:sz w:val="26"/>
          <w:szCs w:val="26"/>
        </w:rPr>
        <w:t>Broken Arrow Police Department (BAPD)</w:t>
      </w:r>
      <w:r w:rsidRPr="00582311">
        <w:rPr>
          <w:rFonts w:cs="Gill Sans MT"/>
          <w:sz w:val="26"/>
          <w:szCs w:val="26"/>
        </w:rPr>
        <w:t>, that currently utilize Coverdell funding has risen from 23,065 cases in 2003 to more than 28,368 cases in 2008, a 23% increase. The increase in the number of cases can create a backlog of cases.</w:t>
      </w:r>
      <w:r w:rsidRPr="004D1BB1">
        <w:rPr>
          <w:rFonts w:cs="Gill Sans MT"/>
          <w:sz w:val="26"/>
          <w:szCs w:val="26"/>
        </w:rPr>
        <w:t xml:space="preserve"> </w:t>
      </w:r>
    </w:p>
    <w:p w:rsidR="00FA40A0" w:rsidRPr="003365C9" w:rsidRDefault="00FA40A0">
      <w:pPr>
        <w:rPr>
          <w:rFonts w:cs="Gill Sans MT"/>
          <w:sz w:val="26"/>
          <w:szCs w:val="26"/>
          <w:highlight w:val="lightGray"/>
        </w:rPr>
      </w:pPr>
    </w:p>
    <w:p w:rsidR="00FA40A0" w:rsidRPr="003365C9" w:rsidRDefault="00731DB1">
      <w:pPr>
        <w:rPr>
          <w:rFonts w:cs="Gill Sans MT"/>
          <w:sz w:val="26"/>
          <w:szCs w:val="26"/>
          <w:highlight w:val="lightGray"/>
        </w:rPr>
      </w:pPr>
      <w:r>
        <w:rPr>
          <w:rFonts w:cs="Gill Sans MT"/>
          <w:b/>
          <w:noProof/>
          <w:sz w:val="26"/>
          <w:szCs w:val="26"/>
        </w:rPr>
        <w:drawing>
          <wp:inline distT="0" distB="0" distL="0" distR="0" wp14:anchorId="4C8CDD73" wp14:editId="531860A3">
            <wp:extent cx="5876925" cy="2609850"/>
            <wp:effectExtent l="0" t="0" r="9525" b="1905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40A0" w:rsidRDefault="00FA40A0" w:rsidP="003244BD">
      <w:pPr>
        <w:keepNext/>
        <w:jc w:val="center"/>
      </w:pPr>
    </w:p>
    <w:p w:rsidR="00FA40A0" w:rsidRDefault="00FA40A0" w:rsidP="003244BD">
      <w:pPr>
        <w:pStyle w:val="Caption"/>
        <w:jc w:val="center"/>
        <w:rPr>
          <w:rFonts w:cs="Gill Sans MT"/>
          <w:b w:val="0"/>
          <w:bCs w:val="0"/>
          <w:sz w:val="26"/>
          <w:szCs w:val="26"/>
        </w:rPr>
      </w:pPr>
      <w:r>
        <w:t xml:space="preserve">Figure </w:t>
      </w:r>
      <w:r w:rsidR="00DD02CF">
        <w:fldChar w:fldCharType="begin"/>
      </w:r>
      <w:r w:rsidR="00376A5F">
        <w:instrText xml:space="preserve"> SEQ Figure \* ARABIC </w:instrText>
      </w:r>
      <w:r w:rsidR="00DD02CF">
        <w:fldChar w:fldCharType="separate"/>
      </w:r>
      <w:r w:rsidR="00C055A9">
        <w:rPr>
          <w:noProof/>
        </w:rPr>
        <w:t>1</w:t>
      </w:r>
      <w:r w:rsidR="00DD02CF">
        <w:rPr>
          <w:noProof/>
        </w:rPr>
        <w:fldChar w:fldCharType="end"/>
      </w:r>
    </w:p>
    <w:p w:rsidR="006B0AFA" w:rsidRDefault="006B0AFA" w:rsidP="006A6B12">
      <w:pPr>
        <w:rPr>
          <w:rFonts w:cs="Gill Sans MT"/>
          <w:sz w:val="26"/>
          <w:szCs w:val="26"/>
        </w:rPr>
      </w:pPr>
    </w:p>
    <w:p w:rsidR="006B0AFA" w:rsidRDefault="006B0AFA" w:rsidP="006A6B12">
      <w:pPr>
        <w:rPr>
          <w:rFonts w:cs="Gill Sans MT"/>
          <w:sz w:val="26"/>
          <w:szCs w:val="26"/>
        </w:rPr>
      </w:pPr>
    </w:p>
    <w:p w:rsidR="00FA40A0" w:rsidRDefault="00FA40A0" w:rsidP="006A6B12">
      <w:pPr>
        <w:rPr>
          <w:rFonts w:cs="Gill Sans MT"/>
          <w:sz w:val="26"/>
          <w:szCs w:val="26"/>
        </w:rPr>
      </w:pPr>
      <w:r w:rsidRPr="004D1BB1">
        <w:rPr>
          <w:rFonts w:cs="Gill Sans MT"/>
          <w:sz w:val="26"/>
          <w:szCs w:val="26"/>
        </w:rPr>
        <w:lastRenderedPageBreak/>
        <w:t>Forensic labs are inundated with cases involving controlled substances, latent prints, firearms, questioned documents, and DNA. The increase in the number of cases to process does not correspond to an increase in funding with which to process, resulting in unfunded mandates.</w:t>
      </w:r>
    </w:p>
    <w:p w:rsidR="00FA40A0" w:rsidRDefault="00FA40A0">
      <w:pPr>
        <w:rPr>
          <w:rFonts w:cs="Gill Sans MT"/>
          <w:b/>
          <w:bCs/>
          <w:caps/>
          <w:sz w:val="26"/>
          <w:szCs w:val="26"/>
        </w:rPr>
      </w:pPr>
      <w:r w:rsidRPr="004D1BB1">
        <w:rPr>
          <w:rFonts w:cs="Gill Sans MT"/>
          <w:sz w:val="26"/>
          <w:szCs w:val="26"/>
        </w:rPr>
        <w:t xml:space="preserve"> </w:t>
      </w:r>
    </w:p>
    <w:p w:rsidR="00FA40A0" w:rsidRDefault="00FA40A0">
      <w:pPr>
        <w:rPr>
          <w:rFonts w:cs="Gill Sans MT"/>
          <w:b/>
          <w:bCs/>
          <w:caps/>
          <w:sz w:val="26"/>
          <w:szCs w:val="26"/>
        </w:rPr>
      </w:pPr>
      <w:r>
        <w:rPr>
          <w:rFonts w:cs="Gill Sans MT"/>
          <w:b/>
          <w:bCs/>
          <w:caps/>
          <w:sz w:val="26"/>
          <w:szCs w:val="26"/>
        </w:rPr>
        <w:t>addressing the CSI Effect</w:t>
      </w:r>
    </w:p>
    <w:p w:rsidR="00FA40A0" w:rsidRDefault="00FA40A0">
      <w:pPr>
        <w:rPr>
          <w:rFonts w:cs="Gill Sans MT"/>
          <w:sz w:val="26"/>
          <w:szCs w:val="26"/>
        </w:rPr>
      </w:pPr>
      <w:r>
        <w:rPr>
          <w:rFonts w:cs="Gill Sans MT"/>
          <w:sz w:val="26"/>
          <w:szCs w:val="26"/>
        </w:rPr>
        <w:t>The phenomenon of the CSI Effect is an ongoing issue</w:t>
      </w:r>
      <w:r>
        <w:rPr>
          <w:rFonts w:cs="Gill Sans MT"/>
          <w:i/>
          <w:iCs/>
          <w:sz w:val="26"/>
          <w:szCs w:val="26"/>
        </w:rPr>
        <w:t xml:space="preserve">. </w:t>
      </w:r>
      <w:r>
        <w:rPr>
          <w:rFonts w:cs="Gill Sans MT"/>
          <w:sz w:val="26"/>
          <w:szCs w:val="26"/>
        </w:rPr>
        <w:t>The CSI Effect is related to the increasing number and popularity of crime scene investigation television shows that have caused victims, jurors, and sometimes even law enforcement officers</w:t>
      </w:r>
      <w:r w:rsidR="00731DB1">
        <w:rPr>
          <w:rFonts w:cs="Gill Sans MT"/>
          <w:sz w:val="26"/>
          <w:szCs w:val="26"/>
        </w:rPr>
        <w:t xml:space="preserve">, </w:t>
      </w:r>
      <w:r>
        <w:rPr>
          <w:rFonts w:cs="Gill Sans MT"/>
          <w:sz w:val="26"/>
          <w:szCs w:val="26"/>
        </w:rPr>
        <w:t>prosecutors</w:t>
      </w:r>
      <w:r w:rsidR="00731DB1">
        <w:rPr>
          <w:rFonts w:cs="Gill Sans MT"/>
          <w:sz w:val="26"/>
          <w:szCs w:val="26"/>
        </w:rPr>
        <w:t xml:space="preserve"> and judges</w:t>
      </w:r>
      <w:r>
        <w:rPr>
          <w:rFonts w:cs="Gill Sans MT"/>
          <w:sz w:val="26"/>
          <w:szCs w:val="26"/>
        </w:rPr>
        <w:t xml:space="preserve"> to have unrealistic expectations about forensic evidence, DNA testing, and the level of investigations at crime scenes.</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w:t>
      </w:r>
      <w:r>
        <w:rPr>
          <w:rFonts w:cs="Gill Sans MT"/>
          <w:i/>
          <w:iCs/>
          <w:sz w:val="26"/>
          <w:szCs w:val="26"/>
        </w:rPr>
        <w:t>CSI Effect</w:t>
      </w:r>
      <w:r>
        <w:rPr>
          <w:rFonts w:cs="Gill Sans MT"/>
          <w:sz w:val="26"/>
          <w:szCs w:val="26"/>
        </w:rPr>
        <w:t xml:space="preserve"> is so common and widespread that it impacts the way in which attorneys and forensic analysts all over the country present their evidence in court. Due to the popularity of the shows, many jurors expect to be wowed by the forensic evidence in a criminal case. This has caused attorneys and analysts to present their evidence in a more entertaining manner. Additionally, these one-hour shows have caused victims and jurors to expect that forensic evidence is available in every case and/or that forensic results can be available within a day or less.  In reality, some forensic evaluations take weeks or even months, depending on the discipline and caseload of the analysts. The attorneys and analysts have to be prepared to address the </w:t>
      </w:r>
      <w:r>
        <w:rPr>
          <w:rFonts w:cs="Gill Sans MT"/>
          <w:i/>
          <w:iCs/>
          <w:sz w:val="26"/>
          <w:szCs w:val="26"/>
        </w:rPr>
        <w:t>CSI Effect</w:t>
      </w:r>
      <w:r>
        <w:rPr>
          <w:rFonts w:cs="Gill Sans MT"/>
          <w:sz w:val="26"/>
          <w:szCs w:val="26"/>
        </w:rPr>
        <w:t xml:space="preserve"> by explaining to the judge and/or the jury of the true scope and any limitations of forensic science.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One of the ways that the OSBI has been addressing the CSI Effect is to provide an open house for the public, as well as prosecutors and defense attorneys. Since May 2008 when the new</w:t>
      </w:r>
      <w:r w:rsidR="00731DB1">
        <w:rPr>
          <w:rFonts w:cs="Gill Sans MT"/>
          <w:sz w:val="26"/>
          <w:szCs w:val="26"/>
        </w:rPr>
        <w:t xml:space="preserve"> OSBI </w:t>
      </w:r>
      <w:r>
        <w:rPr>
          <w:rFonts w:cs="Gill Sans MT"/>
          <w:sz w:val="26"/>
          <w:szCs w:val="26"/>
        </w:rPr>
        <w:t>forensic laboratory was open</w:t>
      </w:r>
      <w:r w:rsidR="00731DB1">
        <w:rPr>
          <w:rFonts w:cs="Gill Sans MT"/>
          <w:sz w:val="26"/>
          <w:szCs w:val="26"/>
        </w:rPr>
        <w:t>ed</w:t>
      </w:r>
      <w:r>
        <w:rPr>
          <w:rFonts w:cs="Gill Sans MT"/>
          <w:sz w:val="26"/>
          <w:szCs w:val="26"/>
        </w:rPr>
        <w:t xml:space="preserve">, tours have been provided twice a month and over 2,000 people have toured the facility. Most recently, a specific educational program and tour was held for defense attorneys in which approximately 50 attorneys attended. The purpose of the meeting was to provide these attorneys with information on the services provided by the forensic lab. The training was very well received and it is anticipated that this event will be repeated. </w:t>
      </w:r>
    </w:p>
    <w:p w:rsidR="00FA40A0" w:rsidRDefault="00FA40A0">
      <w:pPr>
        <w:rPr>
          <w:rFonts w:cs="Gill Sans MT"/>
          <w:sz w:val="26"/>
          <w:szCs w:val="26"/>
        </w:rPr>
      </w:pPr>
    </w:p>
    <w:p w:rsidR="00FA40A0" w:rsidRPr="006419D1" w:rsidRDefault="00FA40A0">
      <w:pPr>
        <w:rPr>
          <w:rFonts w:cs="Gill Sans MT"/>
          <w:b/>
          <w:bCs/>
          <w:caps/>
          <w:sz w:val="26"/>
          <w:szCs w:val="26"/>
        </w:rPr>
      </w:pPr>
      <w:r w:rsidRPr="006419D1">
        <w:rPr>
          <w:rFonts w:cs="Gill Sans MT"/>
          <w:b/>
          <w:bCs/>
          <w:caps/>
          <w:sz w:val="26"/>
          <w:szCs w:val="26"/>
        </w:rPr>
        <w:t xml:space="preserve">improving Case Turnaround Time </w:t>
      </w:r>
    </w:p>
    <w:p w:rsidR="00FA40A0" w:rsidRPr="006419D1" w:rsidRDefault="00FA40A0">
      <w:pPr>
        <w:rPr>
          <w:rFonts w:cs="Gill Sans MT"/>
          <w:sz w:val="26"/>
          <w:szCs w:val="26"/>
        </w:rPr>
      </w:pPr>
      <w:r w:rsidRPr="006419D1">
        <w:rPr>
          <w:rFonts w:cs="Gill Sans MT"/>
          <w:sz w:val="26"/>
          <w:szCs w:val="26"/>
        </w:rPr>
        <w:t xml:space="preserve">In Oklahoma, the first Case Turnaround Survey was disseminated in July 2003 to all of the forensic labs throughout the State to obtain a baseline average for case turnaround time for the various forensic lab disciplines. After the data was collected and reviewed, the Task Force set a standard, or goal, for each discipline. Since the first survey, the Case Turnaround Survey has been an effective tool to assess the shifts in case turnaround time. </w:t>
      </w:r>
    </w:p>
    <w:p w:rsidR="00FA40A0" w:rsidRPr="006419D1" w:rsidRDefault="00FA40A0">
      <w:pPr>
        <w:rPr>
          <w:rFonts w:cs="Gill Sans MT"/>
          <w:sz w:val="26"/>
          <w:szCs w:val="26"/>
        </w:rPr>
      </w:pPr>
    </w:p>
    <w:p w:rsidR="00FA40A0" w:rsidRPr="006419D1" w:rsidRDefault="00FA40A0">
      <w:pPr>
        <w:rPr>
          <w:rFonts w:cs="Gill Sans MT"/>
          <w:sz w:val="26"/>
          <w:szCs w:val="26"/>
        </w:rPr>
      </w:pPr>
      <w:r w:rsidRPr="006419D1">
        <w:rPr>
          <w:rFonts w:cs="Gill Sans MT"/>
          <w:sz w:val="26"/>
          <w:szCs w:val="26"/>
        </w:rPr>
        <w:t xml:space="preserve">After the initial survey, Case Turnaround Surveys have been conducted in July 2004, December 2004, June 2005, December 2005, June 2006, December 2006, July 2007, December 2007, July 2008, December 2008, and June 2009 with the participating forensic labs. The information from the surveys has been compiled for review, including detailed information on each agency and for each discipline. The information is monitored by the Task Force and the Grants Division staff for grant reporting purposes. </w:t>
      </w:r>
    </w:p>
    <w:p w:rsidR="00A625BA" w:rsidRDefault="00A625BA">
      <w:pPr>
        <w:rPr>
          <w:rFonts w:cs="Gill Sans MT"/>
          <w:sz w:val="26"/>
          <w:szCs w:val="26"/>
        </w:rPr>
      </w:pPr>
    </w:p>
    <w:p w:rsidR="00FA40A0" w:rsidRDefault="00FA40A0">
      <w:pPr>
        <w:rPr>
          <w:rFonts w:cs="Gill Sans MT"/>
          <w:sz w:val="26"/>
          <w:szCs w:val="26"/>
        </w:rPr>
      </w:pPr>
      <w:r w:rsidRPr="006419D1">
        <w:rPr>
          <w:rFonts w:cs="Gill Sans MT"/>
          <w:sz w:val="26"/>
          <w:szCs w:val="26"/>
        </w:rPr>
        <w:lastRenderedPageBreak/>
        <w:t>In October 2006, the Task Force re-evaluated the baseline goals to determine if the goals which were originally set in 2003 were still realistic. After a careful review, it was determined that the original baseline set for Latent Prints and Toxicology was unrealistic to obtain. The baseline goal was increased from 20 days to 30 days for these disciplines. In addition, the baseline for Trace Evidence was set too high and needed to be reduced. The goal for Trace Evidence was decreased from 120 days to 90 days.</w:t>
      </w:r>
      <w:r>
        <w:rPr>
          <w:rFonts w:cs="Gill Sans MT"/>
          <w:sz w:val="26"/>
          <w:szCs w:val="26"/>
        </w:rPr>
        <w:t xml:space="preserve"> </w:t>
      </w:r>
    </w:p>
    <w:p w:rsidR="00FA40A0" w:rsidRDefault="00FA40A0">
      <w:pPr>
        <w:rPr>
          <w:rFonts w:cs="Gill Sans MT"/>
          <w:sz w:val="26"/>
          <w:szCs w:val="26"/>
        </w:rPr>
      </w:pPr>
    </w:p>
    <w:tbl>
      <w:tblPr>
        <w:tblW w:w="9568" w:type="dxa"/>
        <w:jc w:val="center"/>
        <w:tblInd w:w="-100" w:type="dxa"/>
        <w:tblLayout w:type="fixed"/>
        <w:tblLook w:val="0000" w:firstRow="0" w:lastRow="0" w:firstColumn="0" w:lastColumn="0" w:noHBand="0" w:noVBand="0"/>
      </w:tblPr>
      <w:tblGrid>
        <w:gridCol w:w="2548"/>
        <w:gridCol w:w="990"/>
        <w:gridCol w:w="990"/>
        <w:gridCol w:w="1170"/>
        <w:gridCol w:w="990"/>
        <w:gridCol w:w="990"/>
        <w:gridCol w:w="900"/>
        <w:gridCol w:w="990"/>
      </w:tblGrid>
      <w:tr w:rsidR="00FA40A0" w:rsidTr="008E316A">
        <w:trPr>
          <w:trHeight w:val="1164"/>
          <w:jc w:val="center"/>
        </w:trPr>
        <w:tc>
          <w:tcPr>
            <w:tcW w:w="9568" w:type="dxa"/>
            <w:gridSpan w:val="8"/>
            <w:tcBorders>
              <w:left w:val="single" w:sz="24" w:space="0" w:color="7F7F7F"/>
              <w:bottom w:val="single" w:sz="6" w:space="0" w:color="7F7F7F"/>
              <w:right w:val="single" w:sz="24" w:space="0" w:color="7F7F7F"/>
            </w:tcBorders>
          </w:tcPr>
          <w:p w:rsidR="00FA40A0" w:rsidRDefault="00FA40A0">
            <w:pPr>
              <w:jc w:val="center"/>
              <w:rPr>
                <w:rFonts w:cs="Gill Sans MT"/>
                <w:sz w:val="26"/>
                <w:szCs w:val="26"/>
              </w:rPr>
            </w:pPr>
          </w:p>
          <w:p w:rsidR="00FA40A0" w:rsidRDefault="00FA40A0">
            <w:pPr>
              <w:jc w:val="center"/>
              <w:rPr>
                <w:rFonts w:cs="Gill Sans MT"/>
                <w:b/>
                <w:bCs/>
                <w:sz w:val="26"/>
                <w:szCs w:val="26"/>
              </w:rPr>
            </w:pPr>
            <w:r>
              <w:rPr>
                <w:rFonts w:cs="Gill Sans MT"/>
                <w:b/>
                <w:bCs/>
                <w:sz w:val="26"/>
                <w:szCs w:val="26"/>
              </w:rPr>
              <w:t>CASE TURNAROUND TIME COMPARISON BY FORENSIC LAB DISCIPLINE</w:t>
            </w:r>
          </w:p>
          <w:p w:rsidR="00FA40A0" w:rsidRDefault="00E669BC">
            <w:pPr>
              <w:jc w:val="center"/>
              <w:rPr>
                <w:rFonts w:cs="Gill Sans MT"/>
                <w:b/>
                <w:bCs/>
                <w:sz w:val="26"/>
                <w:szCs w:val="26"/>
              </w:rPr>
            </w:pPr>
            <w:r>
              <w:rPr>
                <w:rFonts w:cs="Gill Sans MT"/>
                <w:b/>
                <w:bCs/>
                <w:sz w:val="26"/>
                <w:szCs w:val="26"/>
              </w:rPr>
              <w:t>2003 – 2010</w:t>
            </w:r>
          </w:p>
          <w:p w:rsidR="00FA40A0" w:rsidRDefault="00FA40A0">
            <w:pPr>
              <w:jc w:val="center"/>
              <w:rPr>
                <w:rFonts w:cs="Gill Sans MT"/>
                <w:sz w:val="26"/>
                <w:szCs w:val="26"/>
              </w:rPr>
            </w:pPr>
          </w:p>
        </w:tc>
      </w:tr>
      <w:tr w:rsidR="00FA40A0" w:rsidTr="0009120F">
        <w:trPr>
          <w:cantSplit/>
          <w:trHeight w:val="1578"/>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sz w:val="26"/>
                <w:szCs w:val="26"/>
              </w:rPr>
            </w:pPr>
          </w:p>
        </w:tc>
        <w:tc>
          <w:tcPr>
            <w:tcW w:w="990" w:type="dxa"/>
            <w:tcBorders>
              <w:top w:val="single" w:sz="6" w:space="0" w:color="7F7F7F"/>
              <w:left w:val="single" w:sz="6" w:space="0" w:color="7F7F7F"/>
              <w:bottom w:val="single" w:sz="6" w:space="0" w:color="7F7F7F"/>
              <w:right w:val="single" w:sz="6" w:space="0" w:color="7F7F7F"/>
            </w:tcBorders>
            <w:textDirection w:val="btLr"/>
          </w:tcPr>
          <w:p w:rsidR="00FA40A0" w:rsidRDefault="00FA40A0" w:rsidP="00595699">
            <w:pPr>
              <w:ind w:left="113" w:right="113"/>
              <w:jc w:val="center"/>
              <w:rPr>
                <w:rFonts w:cs="Gill Sans MT"/>
                <w:b/>
                <w:bCs/>
                <w:sz w:val="26"/>
                <w:szCs w:val="26"/>
              </w:rPr>
            </w:pPr>
            <w:r>
              <w:rPr>
                <w:rFonts w:cs="Gill Sans MT"/>
                <w:b/>
                <w:bCs/>
                <w:sz w:val="26"/>
                <w:szCs w:val="26"/>
              </w:rPr>
              <w:t>Controlled Substances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FA40A0" w:rsidRDefault="00FA40A0" w:rsidP="00595699">
            <w:pPr>
              <w:ind w:left="113" w:right="113"/>
              <w:jc w:val="center"/>
              <w:rPr>
                <w:rFonts w:cs="Gill Sans MT"/>
                <w:b/>
                <w:bCs/>
                <w:sz w:val="26"/>
                <w:szCs w:val="26"/>
              </w:rPr>
            </w:pPr>
            <w:r>
              <w:rPr>
                <w:rFonts w:cs="Gill Sans MT"/>
                <w:b/>
                <w:bCs/>
                <w:sz w:val="26"/>
                <w:szCs w:val="26"/>
              </w:rPr>
              <w:t>Biology</w:t>
            </w:r>
          </w:p>
        </w:tc>
        <w:tc>
          <w:tcPr>
            <w:tcW w:w="1170" w:type="dxa"/>
            <w:tcBorders>
              <w:top w:val="single" w:sz="6" w:space="0" w:color="7F7F7F"/>
              <w:left w:val="single" w:sz="6" w:space="0" w:color="7F7F7F"/>
              <w:bottom w:val="single" w:sz="6" w:space="0" w:color="7F7F7F"/>
              <w:right w:val="single" w:sz="6" w:space="0" w:color="7F7F7F"/>
            </w:tcBorders>
            <w:textDirection w:val="btLr"/>
          </w:tcPr>
          <w:p w:rsidR="00FA40A0" w:rsidRDefault="00FA40A0" w:rsidP="00595699">
            <w:pPr>
              <w:ind w:left="113" w:right="113"/>
              <w:jc w:val="center"/>
              <w:rPr>
                <w:rFonts w:cs="Gill Sans MT"/>
                <w:b/>
                <w:bCs/>
                <w:sz w:val="26"/>
                <w:szCs w:val="26"/>
              </w:rPr>
            </w:pPr>
            <w:r>
              <w:rPr>
                <w:rFonts w:cs="Gill Sans MT"/>
                <w:b/>
                <w:bCs/>
                <w:sz w:val="26"/>
                <w:szCs w:val="26"/>
              </w:rPr>
              <w:t>Firearms and Tool Marks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FA40A0" w:rsidRDefault="00FA40A0" w:rsidP="00595699">
            <w:pPr>
              <w:ind w:left="113" w:right="113"/>
              <w:jc w:val="center"/>
              <w:rPr>
                <w:rFonts w:cs="Gill Sans MT"/>
                <w:b/>
                <w:bCs/>
                <w:sz w:val="26"/>
                <w:szCs w:val="26"/>
              </w:rPr>
            </w:pPr>
            <w:r>
              <w:rPr>
                <w:rFonts w:cs="Gill Sans MT"/>
                <w:b/>
                <w:bCs/>
                <w:sz w:val="26"/>
                <w:szCs w:val="26"/>
              </w:rPr>
              <w:t>Latent Prints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FA40A0" w:rsidRDefault="00E669BC" w:rsidP="00595699">
            <w:pPr>
              <w:ind w:left="113" w:right="113"/>
              <w:jc w:val="center"/>
              <w:rPr>
                <w:rFonts w:cs="Gill Sans MT"/>
                <w:b/>
                <w:bCs/>
                <w:sz w:val="26"/>
                <w:szCs w:val="26"/>
              </w:rPr>
            </w:pPr>
            <w:r w:rsidRPr="00E669BC">
              <w:rPr>
                <w:rFonts w:cs="Gill Sans MT"/>
                <w:b/>
                <w:bCs/>
              </w:rPr>
              <w:t>Questione</w:t>
            </w:r>
            <w:r w:rsidR="00FA40A0" w:rsidRPr="00E669BC">
              <w:rPr>
                <w:rFonts w:cs="Gill Sans MT"/>
                <w:b/>
                <w:bCs/>
              </w:rPr>
              <w:t>d Document</w:t>
            </w:r>
            <w:r w:rsidR="00FA40A0">
              <w:rPr>
                <w:rFonts w:cs="Gill Sans MT"/>
                <w:b/>
                <w:bCs/>
                <w:sz w:val="26"/>
                <w:szCs w:val="26"/>
              </w:rPr>
              <w:t>s</w:t>
            </w:r>
          </w:p>
        </w:tc>
        <w:tc>
          <w:tcPr>
            <w:tcW w:w="900" w:type="dxa"/>
            <w:tcBorders>
              <w:top w:val="single" w:sz="6" w:space="0" w:color="7F7F7F"/>
              <w:left w:val="single" w:sz="6" w:space="0" w:color="7F7F7F"/>
              <w:bottom w:val="single" w:sz="6" w:space="0" w:color="7F7F7F"/>
              <w:right w:val="single" w:sz="6" w:space="0" w:color="7F7F7F"/>
            </w:tcBorders>
            <w:textDirection w:val="btLr"/>
          </w:tcPr>
          <w:p w:rsidR="00FA40A0" w:rsidRDefault="00FA40A0" w:rsidP="00595699">
            <w:pPr>
              <w:ind w:left="113" w:right="113"/>
              <w:jc w:val="center"/>
              <w:rPr>
                <w:rFonts w:cs="Gill Sans MT"/>
                <w:b/>
                <w:bCs/>
                <w:sz w:val="26"/>
                <w:szCs w:val="26"/>
              </w:rPr>
            </w:pPr>
            <w:r>
              <w:rPr>
                <w:rFonts w:cs="Gill Sans MT"/>
                <w:b/>
                <w:bCs/>
                <w:sz w:val="26"/>
                <w:szCs w:val="26"/>
              </w:rPr>
              <w:t>Toxicology</w:t>
            </w:r>
          </w:p>
        </w:tc>
        <w:tc>
          <w:tcPr>
            <w:tcW w:w="990" w:type="dxa"/>
            <w:tcBorders>
              <w:top w:val="single" w:sz="6" w:space="0" w:color="7F7F7F"/>
              <w:left w:val="single" w:sz="6" w:space="0" w:color="7F7F7F"/>
              <w:bottom w:val="single" w:sz="6" w:space="0" w:color="7F7F7F"/>
              <w:right w:val="single" w:sz="24" w:space="0" w:color="7F7F7F"/>
            </w:tcBorders>
            <w:textDirection w:val="btLr"/>
          </w:tcPr>
          <w:p w:rsidR="00FA40A0" w:rsidRDefault="00FA40A0" w:rsidP="00595699">
            <w:pPr>
              <w:ind w:left="113" w:right="113"/>
              <w:jc w:val="center"/>
              <w:rPr>
                <w:rFonts w:cs="Gill Sans MT"/>
                <w:b/>
                <w:bCs/>
                <w:sz w:val="26"/>
                <w:szCs w:val="26"/>
              </w:rPr>
            </w:pPr>
            <w:r>
              <w:rPr>
                <w:rFonts w:cs="Gill Sans MT"/>
                <w:b/>
                <w:bCs/>
                <w:sz w:val="26"/>
                <w:szCs w:val="26"/>
              </w:rPr>
              <w:t>Trace Evidence</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July 2003</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115</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75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62</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17</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145</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July 2004</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b/>
                <w:bCs/>
                <w:sz w:val="26"/>
                <w:szCs w:val="26"/>
              </w:rPr>
            </w:pPr>
            <w:r>
              <w:rPr>
                <w:rFonts w:cs="Gill Sans MT"/>
                <w:sz w:val="26"/>
                <w:szCs w:val="26"/>
              </w:rPr>
              <w:t>21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115</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75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83</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23</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150</w:t>
            </w:r>
          </w:p>
        </w:tc>
      </w:tr>
      <w:tr w:rsidR="00FA40A0" w:rsidTr="00992713">
        <w:trPr>
          <w:trHeight w:val="282"/>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Dec 2004</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20</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56</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95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65</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40</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58</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June 2005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33</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90</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119</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16</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66</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44</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52</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Dec 2005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34</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120</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77</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83</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25</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121</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June 2006</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29</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129</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61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69</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30</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99</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Dec 2006</w:t>
            </w:r>
            <w:r>
              <w:rPr>
                <w:rStyle w:val="FootnoteReference"/>
                <w:b/>
                <w:bCs/>
                <w:sz w:val="26"/>
                <w:szCs w:val="26"/>
              </w:rPr>
              <w:footnoteReference w:id="1"/>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22</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128</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34</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94</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30</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81</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July 2007</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45</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133</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37</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27</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132</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29</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79</w:t>
            </w:r>
          </w:p>
        </w:tc>
      </w:tr>
      <w:tr w:rsidR="00FA40A0" w:rsidTr="00992713">
        <w:trPr>
          <w:trHeight w:val="264"/>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Dec 2007</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29</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111</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341</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32</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96</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July 2008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39</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134</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46</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61</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228</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36</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47</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pPr>
              <w:rPr>
                <w:rFonts w:cs="Gill Sans MT"/>
                <w:b/>
                <w:bCs/>
                <w:sz w:val="26"/>
                <w:szCs w:val="26"/>
              </w:rPr>
            </w:pPr>
            <w:r>
              <w:rPr>
                <w:rFonts w:cs="Gill Sans MT"/>
                <w:b/>
                <w:bCs/>
                <w:sz w:val="26"/>
                <w:szCs w:val="26"/>
              </w:rPr>
              <w:t>Dec 2008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53</w:t>
            </w:r>
          </w:p>
        </w:tc>
        <w:tc>
          <w:tcPr>
            <w:tcW w:w="117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38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48</w:t>
            </w:r>
          </w:p>
        </w:tc>
        <w:tc>
          <w:tcPr>
            <w:tcW w:w="99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77</w:t>
            </w:r>
          </w:p>
        </w:tc>
        <w:tc>
          <w:tcPr>
            <w:tcW w:w="900" w:type="dxa"/>
            <w:tcBorders>
              <w:top w:val="single" w:sz="6" w:space="0" w:color="7F7F7F"/>
              <w:left w:val="single" w:sz="6" w:space="0" w:color="7F7F7F"/>
              <w:bottom w:val="single" w:sz="6" w:space="0" w:color="7F7F7F"/>
              <w:right w:val="single" w:sz="6" w:space="0" w:color="7F7F7F"/>
            </w:tcBorders>
          </w:tcPr>
          <w:p w:rsidR="00FA40A0" w:rsidRDefault="00FA40A0">
            <w:pPr>
              <w:jc w:val="center"/>
              <w:rPr>
                <w:rFonts w:cs="Gill Sans MT"/>
                <w:sz w:val="26"/>
                <w:szCs w:val="26"/>
              </w:rPr>
            </w:pPr>
            <w:r>
              <w:rPr>
                <w:rFonts w:cs="Gill Sans MT"/>
                <w:sz w:val="26"/>
                <w:szCs w:val="26"/>
              </w:rPr>
              <w:t>26</w:t>
            </w:r>
          </w:p>
        </w:tc>
        <w:tc>
          <w:tcPr>
            <w:tcW w:w="990" w:type="dxa"/>
            <w:tcBorders>
              <w:top w:val="single" w:sz="6" w:space="0" w:color="7F7F7F"/>
              <w:left w:val="single" w:sz="6" w:space="0" w:color="7F7F7F"/>
              <w:bottom w:val="single" w:sz="6" w:space="0" w:color="7F7F7F"/>
              <w:right w:val="single" w:sz="24" w:space="0" w:color="7F7F7F"/>
            </w:tcBorders>
          </w:tcPr>
          <w:p w:rsidR="00FA40A0" w:rsidRDefault="00FA40A0">
            <w:pPr>
              <w:jc w:val="center"/>
              <w:rPr>
                <w:rFonts w:cs="Gill Sans MT"/>
                <w:sz w:val="26"/>
                <w:szCs w:val="26"/>
              </w:rPr>
            </w:pPr>
            <w:r>
              <w:rPr>
                <w:rFonts w:cs="Gill Sans MT"/>
                <w:sz w:val="26"/>
                <w:szCs w:val="26"/>
              </w:rPr>
              <w:t>50</w:t>
            </w:r>
          </w:p>
        </w:tc>
      </w:tr>
      <w:tr w:rsidR="00FA40A0" w:rsidTr="00992713">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A40A0" w:rsidP="0024530E">
            <w:pPr>
              <w:rPr>
                <w:rFonts w:cs="Gill Sans MT"/>
                <w:b/>
                <w:bCs/>
                <w:sz w:val="26"/>
                <w:szCs w:val="26"/>
              </w:rPr>
            </w:pPr>
            <w:r>
              <w:rPr>
                <w:rFonts w:cs="Gill Sans MT"/>
                <w:b/>
                <w:bCs/>
                <w:sz w:val="26"/>
                <w:szCs w:val="26"/>
              </w:rPr>
              <w:t>June 2009</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FA40A0" w:rsidP="0024530E">
            <w:pPr>
              <w:jc w:val="center"/>
              <w:rPr>
                <w:rFonts w:cs="Gill Sans MT"/>
                <w:bCs/>
                <w:sz w:val="26"/>
                <w:szCs w:val="26"/>
              </w:rPr>
            </w:pPr>
            <w:r>
              <w:rPr>
                <w:rFonts w:cs="Gill Sans MT"/>
                <w:bCs/>
                <w:sz w:val="26"/>
                <w:szCs w:val="26"/>
              </w:rPr>
              <w:t>45</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FA40A0" w:rsidP="0024530E">
            <w:pPr>
              <w:jc w:val="center"/>
              <w:rPr>
                <w:rFonts w:cs="Gill Sans MT"/>
                <w:bCs/>
                <w:sz w:val="26"/>
                <w:szCs w:val="26"/>
              </w:rPr>
            </w:pPr>
            <w:r w:rsidRPr="000F3802">
              <w:rPr>
                <w:rFonts w:cs="Gill Sans MT"/>
                <w:bCs/>
                <w:sz w:val="26"/>
                <w:szCs w:val="26"/>
              </w:rPr>
              <w:t>62</w:t>
            </w:r>
          </w:p>
        </w:tc>
        <w:tc>
          <w:tcPr>
            <w:tcW w:w="1170" w:type="dxa"/>
            <w:tcBorders>
              <w:top w:val="single" w:sz="6" w:space="0" w:color="7F7F7F"/>
              <w:left w:val="single" w:sz="6" w:space="0" w:color="7F7F7F"/>
              <w:bottom w:val="single" w:sz="6" w:space="0" w:color="7F7F7F"/>
              <w:right w:val="single" w:sz="6" w:space="0" w:color="7F7F7F"/>
            </w:tcBorders>
          </w:tcPr>
          <w:p w:rsidR="00FA40A0" w:rsidRPr="000F3802" w:rsidRDefault="00FA40A0" w:rsidP="0024530E">
            <w:pPr>
              <w:jc w:val="center"/>
              <w:rPr>
                <w:rFonts w:cs="Gill Sans MT"/>
                <w:bCs/>
                <w:sz w:val="26"/>
                <w:szCs w:val="26"/>
              </w:rPr>
            </w:pPr>
            <w:r w:rsidRPr="000F3802">
              <w:rPr>
                <w:rFonts w:cs="Gill Sans MT"/>
                <w:bCs/>
                <w:sz w:val="26"/>
                <w:szCs w:val="26"/>
              </w:rPr>
              <w:t>71</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FA40A0" w:rsidP="0024530E">
            <w:pPr>
              <w:jc w:val="center"/>
              <w:rPr>
                <w:rFonts w:cs="Gill Sans MT"/>
                <w:bCs/>
                <w:sz w:val="26"/>
                <w:szCs w:val="26"/>
              </w:rPr>
            </w:pPr>
            <w:r w:rsidRPr="000F3802">
              <w:rPr>
                <w:rFonts w:cs="Gill Sans MT"/>
                <w:bCs/>
                <w:sz w:val="26"/>
                <w:szCs w:val="26"/>
              </w:rPr>
              <w:t>8</w:t>
            </w:r>
            <w:r>
              <w:rPr>
                <w:rFonts w:cs="Gill Sans MT"/>
                <w:bCs/>
                <w:sz w:val="26"/>
                <w:szCs w:val="26"/>
              </w:rPr>
              <w:t>7</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FA40A0" w:rsidP="0024530E">
            <w:pPr>
              <w:jc w:val="center"/>
              <w:rPr>
                <w:rFonts w:cs="Gill Sans MT"/>
                <w:bCs/>
                <w:sz w:val="26"/>
                <w:szCs w:val="26"/>
              </w:rPr>
            </w:pPr>
            <w:r w:rsidRPr="000F3802">
              <w:rPr>
                <w:rFonts w:cs="Gill Sans MT"/>
                <w:bCs/>
                <w:sz w:val="26"/>
                <w:szCs w:val="26"/>
              </w:rPr>
              <w:t>7</w:t>
            </w:r>
            <w:r>
              <w:rPr>
                <w:rFonts w:cs="Gill Sans MT"/>
                <w:bCs/>
                <w:sz w:val="26"/>
                <w:szCs w:val="26"/>
              </w:rPr>
              <w:t>3</w:t>
            </w:r>
          </w:p>
        </w:tc>
        <w:tc>
          <w:tcPr>
            <w:tcW w:w="900" w:type="dxa"/>
            <w:tcBorders>
              <w:top w:val="single" w:sz="6" w:space="0" w:color="7F7F7F"/>
              <w:left w:val="single" w:sz="6" w:space="0" w:color="7F7F7F"/>
              <w:bottom w:val="single" w:sz="6" w:space="0" w:color="7F7F7F"/>
              <w:right w:val="single" w:sz="6" w:space="0" w:color="7F7F7F"/>
            </w:tcBorders>
          </w:tcPr>
          <w:p w:rsidR="00FA40A0" w:rsidRPr="000F3802" w:rsidRDefault="00FA40A0" w:rsidP="0024530E">
            <w:pPr>
              <w:jc w:val="center"/>
              <w:rPr>
                <w:rFonts w:cs="Gill Sans MT"/>
                <w:bCs/>
                <w:sz w:val="26"/>
                <w:szCs w:val="26"/>
              </w:rPr>
            </w:pPr>
            <w:r w:rsidRPr="000F3802">
              <w:rPr>
                <w:rFonts w:cs="Gill Sans MT"/>
                <w:bCs/>
                <w:sz w:val="26"/>
                <w:szCs w:val="26"/>
              </w:rPr>
              <w:t>46</w:t>
            </w:r>
          </w:p>
        </w:tc>
        <w:tc>
          <w:tcPr>
            <w:tcW w:w="990" w:type="dxa"/>
            <w:tcBorders>
              <w:top w:val="single" w:sz="6" w:space="0" w:color="7F7F7F"/>
              <w:left w:val="single" w:sz="6" w:space="0" w:color="7F7F7F"/>
              <w:bottom w:val="single" w:sz="6" w:space="0" w:color="7F7F7F"/>
              <w:right w:val="single" w:sz="24" w:space="0" w:color="7F7F7F"/>
            </w:tcBorders>
          </w:tcPr>
          <w:p w:rsidR="00FA40A0" w:rsidRPr="000F3802" w:rsidRDefault="00FA40A0" w:rsidP="0024530E">
            <w:pPr>
              <w:jc w:val="center"/>
              <w:rPr>
                <w:rFonts w:cs="Gill Sans MT"/>
                <w:bCs/>
                <w:sz w:val="26"/>
                <w:szCs w:val="26"/>
              </w:rPr>
            </w:pPr>
            <w:r w:rsidRPr="000F3802">
              <w:rPr>
                <w:rFonts w:cs="Gill Sans MT"/>
                <w:bCs/>
                <w:sz w:val="26"/>
                <w:szCs w:val="26"/>
              </w:rPr>
              <w:t>37</w:t>
            </w:r>
          </w:p>
        </w:tc>
      </w:tr>
      <w:tr w:rsidR="007F2E12" w:rsidTr="00211B17">
        <w:trPr>
          <w:jc w:val="center"/>
        </w:trPr>
        <w:tc>
          <w:tcPr>
            <w:tcW w:w="2548" w:type="dxa"/>
            <w:tcBorders>
              <w:top w:val="single" w:sz="6" w:space="0" w:color="7F7F7F"/>
              <w:left w:val="single" w:sz="24" w:space="0" w:color="7F7F7F"/>
              <w:bottom w:val="single" w:sz="6" w:space="0" w:color="7F7F7F"/>
              <w:right w:val="single" w:sz="6" w:space="0" w:color="7F7F7F"/>
            </w:tcBorders>
          </w:tcPr>
          <w:p w:rsidR="007F2E12" w:rsidRDefault="007F2E12" w:rsidP="0024530E">
            <w:pPr>
              <w:rPr>
                <w:rFonts w:cs="Gill Sans MT"/>
                <w:b/>
                <w:bCs/>
                <w:sz w:val="26"/>
                <w:szCs w:val="26"/>
              </w:rPr>
            </w:pPr>
            <w:r>
              <w:rPr>
                <w:rFonts w:cs="Gill Sans MT"/>
                <w:b/>
                <w:bCs/>
                <w:sz w:val="26"/>
                <w:szCs w:val="26"/>
              </w:rPr>
              <w:t>Dec 2009</w:t>
            </w:r>
            <w:r>
              <w:rPr>
                <w:rStyle w:val="FootnoteReference"/>
                <w:b/>
                <w:bCs/>
                <w:sz w:val="26"/>
                <w:szCs w:val="26"/>
              </w:rPr>
              <w:footnoteReference w:id="2"/>
            </w:r>
          </w:p>
        </w:tc>
        <w:tc>
          <w:tcPr>
            <w:tcW w:w="990" w:type="dxa"/>
            <w:tcBorders>
              <w:top w:val="single" w:sz="6" w:space="0" w:color="7F7F7F"/>
              <w:left w:val="single" w:sz="6" w:space="0" w:color="7F7F7F"/>
              <w:bottom w:val="single" w:sz="6" w:space="0" w:color="7F7F7F"/>
              <w:right w:val="single" w:sz="6" w:space="0" w:color="7F7F7F"/>
            </w:tcBorders>
          </w:tcPr>
          <w:p w:rsidR="007F2E12" w:rsidRDefault="007F2E12" w:rsidP="0024530E">
            <w:pPr>
              <w:jc w:val="center"/>
              <w:rPr>
                <w:rFonts w:cs="Gill Sans MT"/>
                <w:bCs/>
                <w:sz w:val="26"/>
                <w:szCs w:val="26"/>
              </w:rPr>
            </w:pPr>
            <w:r>
              <w:rPr>
                <w:rFonts w:cs="Gill Sans MT"/>
                <w:bCs/>
                <w:sz w:val="26"/>
                <w:szCs w:val="26"/>
              </w:rPr>
              <w:t>24</w:t>
            </w:r>
          </w:p>
        </w:tc>
        <w:tc>
          <w:tcPr>
            <w:tcW w:w="990" w:type="dxa"/>
            <w:tcBorders>
              <w:top w:val="single" w:sz="6" w:space="0" w:color="7F7F7F"/>
              <w:left w:val="single" w:sz="6" w:space="0" w:color="7F7F7F"/>
              <w:bottom w:val="single" w:sz="6" w:space="0" w:color="7F7F7F"/>
              <w:right w:val="single" w:sz="6" w:space="0" w:color="7F7F7F"/>
            </w:tcBorders>
          </w:tcPr>
          <w:p w:rsidR="007F2E12" w:rsidRPr="000F3802" w:rsidRDefault="007F2E12" w:rsidP="0024530E">
            <w:pPr>
              <w:jc w:val="center"/>
              <w:rPr>
                <w:rFonts w:cs="Gill Sans MT"/>
                <w:bCs/>
                <w:sz w:val="26"/>
                <w:szCs w:val="26"/>
              </w:rPr>
            </w:pPr>
            <w:r>
              <w:rPr>
                <w:rFonts w:cs="Gill Sans MT"/>
                <w:bCs/>
                <w:sz w:val="26"/>
                <w:szCs w:val="26"/>
              </w:rPr>
              <w:t>68</w:t>
            </w:r>
          </w:p>
        </w:tc>
        <w:tc>
          <w:tcPr>
            <w:tcW w:w="1170" w:type="dxa"/>
            <w:tcBorders>
              <w:top w:val="single" w:sz="6" w:space="0" w:color="7F7F7F"/>
              <w:left w:val="single" w:sz="6" w:space="0" w:color="7F7F7F"/>
              <w:bottom w:val="single" w:sz="6" w:space="0" w:color="7F7F7F"/>
              <w:right w:val="single" w:sz="6" w:space="0" w:color="7F7F7F"/>
            </w:tcBorders>
          </w:tcPr>
          <w:p w:rsidR="007F2E12" w:rsidRPr="000F3802" w:rsidRDefault="007F2E12" w:rsidP="0024530E">
            <w:pPr>
              <w:jc w:val="center"/>
              <w:rPr>
                <w:rFonts w:cs="Gill Sans MT"/>
                <w:bCs/>
                <w:sz w:val="26"/>
                <w:szCs w:val="26"/>
              </w:rPr>
            </w:pPr>
            <w:r>
              <w:rPr>
                <w:rFonts w:cs="Gill Sans MT"/>
                <w:bCs/>
                <w:sz w:val="26"/>
                <w:szCs w:val="26"/>
              </w:rPr>
              <w:t>31</w:t>
            </w:r>
          </w:p>
        </w:tc>
        <w:tc>
          <w:tcPr>
            <w:tcW w:w="990" w:type="dxa"/>
            <w:tcBorders>
              <w:top w:val="single" w:sz="6" w:space="0" w:color="7F7F7F"/>
              <w:left w:val="single" w:sz="6" w:space="0" w:color="7F7F7F"/>
              <w:bottom w:val="single" w:sz="6" w:space="0" w:color="7F7F7F"/>
              <w:right w:val="single" w:sz="6" w:space="0" w:color="7F7F7F"/>
            </w:tcBorders>
          </w:tcPr>
          <w:p w:rsidR="007F2E12" w:rsidRPr="000F3802" w:rsidRDefault="007F2E12" w:rsidP="0024530E">
            <w:pPr>
              <w:jc w:val="center"/>
              <w:rPr>
                <w:rFonts w:cs="Gill Sans MT"/>
                <w:bCs/>
                <w:sz w:val="26"/>
                <w:szCs w:val="26"/>
              </w:rPr>
            </w:pPr>
            <w:r>
              <w:rPr>
                <w:rFonts w:cs="Gill Sans MT"/>
                <w:bCs/>
                <w:sz w:val="26"/>
                <w:szCs w:val="26"/>
              </w:rPr>
              <w:t>40</w:t>
            </w:r>
          </w:p>
        </w:tc>
        <w:tc>
          <w:tcPr>
            <w:tcW w:w="990" w:type="dxa"/>
            <w:tcBorders>
              <w:top w:val="single" w:sz="6" w:space="0" w:color="7F7F7F"/>
              <w:left w:val="single" w:sz="6" w:space="0" w:color="7F7F7F"/>
              <w:bottom w:val="single" w:sz="6" w:space="0" w:color="7F7F7F"/>
              <w:right w:val="single" w:sz="6" w:space="0" w:color="7F7F7F"/>
            </w:tcBorders>
          </w:tcPr>
          <w:p w:rsidR="007F2E12" w:rsidRPr="000F3802" w:rsidRDefault="007F2E12" w:rsidP="0024530E">
            <w:pPr>
              <w:jc w:val="center"/>
              <w:rPr>
                <w:rFonts w:cs="Gill Sans MT"/>
                <w:bCs/>
                <w:sz w:val="26"/>
                <w:szCs w:val="26"/>
              </w:rPr>
            </w:pPr>
            <w:r>
              <w:rPr>
                <w:rFonts w:cs="Gill Sans MT"/>
                <w:bCs/>
                <w:sz w:val="26"/>
                <w:szCs w:val="26"/>
              </w:rPr>
              <w:t>97</w:t>
            </w:r>
          </w:p>
        </w:tc>
        <w:tc>
          <w:tcPr>
            <w:tcW w:w="900" w:type="dxa"/>
            <w:tcBorders>
              <w:top w:val="single" w:sz="6" w:space="0" w:color="7F7F7F"/>
              <w:left w:val="single" w:sz="6" w:space="0" w:color="7F7F7F"/>
              <w:bottom w:val="single" w:sz="6" w:space="0" w:color="7F7F7F"/>
              <w:right w:val="single" w:sz="6" w:space="0" w:color="7F7F7F"/>
            </w:tcBorders>
          </w:tcPr>
          <w:p w:rsidR="007F2E12" w:rsidRPr="000F3802" w:rsidRDefault="007F2E12" w:rsidP="0024530E">
            <w:pPr>
              <w:jc w:val="center"/>
              <w:rPr>
                <w:rFonts w:cs="Gill Sans MT"/>
                <w:bCs/>
                <w:sz w:val="26"/>
                <w:szCs w:val="26"/>
              </w:rPr>
            </w:pPr>
            <w:r>
              <w:rPr>
                <w:rFonts w:cs="Gill Sans MT"/>
                <w:bCs/>
                <w:sz w:val="26"/>
                <w:szCs w:val="26"/>
              </w:rPr>
              <w:t>30</w:t>
            </w:r>
          </w:p>
        </w:tc>
        <w:tc>
          <w:tcPr>
            <w:tcW w:w="990" w:type="dxa"/>
            <w:tcBorders>
              <w:top w:val="single" w:sz="6" w:space="0" w:color="7F7F7F"/>
              <w:left w:val="single" w:sz="6" w:space="0" w:color="7F7F7F"/>
              <w:bottom w:val="single" w:sz="6" w:space="0" w:color="7F7F7F"/>
              <w:right w:val="single" w:sz="24" w:space="0" w:color="7F7F7F"/>
            </w:tcBorders>
          </w:tcPr>
          <w:p w:rsidR="007F2E12" w:rsidRPr="000F3802" w:rsidRDefault="007F2E12" w:rsidP="0024530E">
            <w:pPr>
              <w:jc w:val="center"/>
              <w:rPr>
                <w:rFonts w:cs="Gill Sans MT"/>
                <w:bCs/>
                <w:sz w:val="26"/>
                <w:szCs w:val="26"/>
              </w:rPr>
            </w:pPr>
            <w:r>
              <w:rPr>
                <w:rFonts w:cs="Gill Sans MT"/>
                <w:bCs/>
                <w:sz w:val="26"/>
                <w:szCs w:val="26"/>
              </w:rPr>
              <w:t>36</w:t>
            </w:r>
          </w:p>
        </w:tc>
      </w:tr>
      <w:tr w:rsidR="00FA40A0" w:rsidTr="00211B17">
        <w:trPr>
          <w:jc w:val="center"/>
        </w:trPr>
        <w:tc>
          <w:tcPr>
            <w:tcW w:w="2548" w:type="dxa"/>
            <w:tcBorders>
              <w:top w:val="single" w:sz="6" w:space="0" w:color="7F7F7F"/>
              <w:left w:val="single" w:sz="24" w:space="0" w:color="7F7F7F"/>
              <w:bottom w:val="single" w:sz="6" w:space="0" w:color="7F7F7F"/>
              <w:right w:val="single" w:sz="6" w:space="0" w:color="7F7F7F"/>
            </w:tcBorders>
          </w:tcPr>
          <w:p w:rsidR="00FA40A0" w:rsidRDefault="00F73F36" w:rsidP="0009120F">
            <w:pPr>
              <w:rPr>
                <w:rFonts w:cs="Gill Sans MT"/>
                <w:b/>
                <w:bCs/>
                <w:sz w:val="26"/>
                <w:szCs w:val="26"/>
              </w:rPr>
            </w:pPr>
            <w:r>
              <w:rPr>
                <w:rFonts w:cs="Gill Sans MT"/>
                <w:b/>
                <w:bCs/>
                <w:sz w:val="26"/>
                <w:szCs w:val="26"/>
              </w:rPr>
              <w:t>June</w:t>
            </w:r>
            <w:r w:rsidR="00FA40A0">
              <w:rPr>
                <w:rFonts w:cs="Gill Sans MT"/>
                <w:b/>
                <w:bCs/>
                <w:sz w:val="26"/>
                <w:szCs w:val="26"/>
              </w:rPr>
              <w:t xml:space="preserve"> 20</w:t>
            </w:r>
            <w:r w:rsidR="007F2E12">
              <w:rPr>
                <w:rFonts w:cs="Gill Sans MT"/>
                <w:b/>
                <w:bCs/>
                <w:sz w:val="26"/>
                <w:szCs w:val="26"/>
              </w:rPr>
              <w:t>10</w:t>
            </w:r>
            <w:r w:rsidR="0009120F">
              <w:rPr>
                <w:rStyle w:val="FootnoteReference"/>
                <w:b/>
                <w:bCs/>
                <w:sz w:val="26"/>
                <w:szCs w:val="26"/>
              </w:rPr>
              <w:footnoteReference w:id="3"/>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7F2E12" w:rsidP="007F2E12">
            <w:pPr>
              <w:jc w:val="center"/>
              <w:rPr>
                <w:rFonts w:cs="Gill Sans MT"/>
                <w:bCs/>
                <w:sz w:val="26"/>
                <w:szCs w:val="26"/>
              </w:rPr>
            </w:pPr>
            <w:r>
              <w:rPr>
                <w:rFonts w:cs="Gill Sans MT"/>
                <w:bCs/>
                <w:sz w:val="26"/>
                <w:szCs w:val="26"/>
              </w:rPr>
              <w:t>50</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7F2E12">
            <w:pPr>
              <w:jc w:val="center"/>
              <w:rPr>
                <w:rFonts w:cs="Gill Sans MT"/>
                <w:bCs/>
                <w:sz w:val="26"/>
                <w:szCs w:val="26"/>
              </w:rPr>
            </w:pPr>
            <w:r>
              <w:rPr>
                <w:rFonts w:cs="Gill Sans MT"/>
                <w:bCs/>
                <w:sz w:val="26"/>
                <w:szCs w:val="26"/>
              </w:rPr>
              <w:t>165</w:t>
            </w:r>
          </w:p>
        </w:tc>
        <w:tc>
          <w:tcPr>
            <w:tcW w:w="1170" w:type="dxa"/>
            <w:tcBorders>
              <w:top w:val="single" w:sz="6" w:space="0" w:color="7F7F7F"/>
              <w:left w:val="single" w:sz="6" w:space="0" w:color="7F7F7F"/>
              <w:bottom w:val="single" w:sz="6" w:space="0" w:color="7F7F7F"/>
              <w:right w:val="single" w:sz="6" w:space="0" w:color="7F7F7F"/>
            </w:tcBorders>
          </w:tcPr>
          <w:p w:rsidR="00FA40A0" w:rsidRPr="000F3802" w:rsidRDefault="007F2E12">
            <w:pPr>
              <w:jc w:val="center"/>
              <w:rPr>
                <w:rFonts w:cs="Gill Sans MT"/>
                <w:bCs/>
                <w:sz w:val="26"/>
                <w:szCs w:val="26"/>
              </w:rPr>
            </w:pPr>
            <w:r>
              <w:rPr>
                <w:rFonts w:cs="Gill Sans MT"/>
                <w:bCs/>
                <w:sz w:val="26"/>
                <w:szCs w:val="26"/>
              </w:rPr>
              <w:t>250</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7F2E12">
            <w:pPr>
              <w:jc w:val="center"/>
              <w:rPr>
                <w:rFonts w:cs="Gill Sans MT"/>
                <w:bCs/>
                <w:sz w:val="26"/>
                <w:szCs w:val="26"/>
              </w:rPr>
            </w:pPr>
            <w:r>
              <w:rPr>
                <w:rFonts w:cs="Gill Sans MT"/>
                <w:bCs/>
                <w:sz w:val="26"/>
                <w:szCs w:val="26"/>
              </w:rPr>
              <w:t>35</w:t>
            </w:r>
          </w:p>
        </w:tc>
        <w:tc>
          <w:tcPr>
            <w:tcW w:w="990" w:type="dxa"/>
            <w:tcBorders>
              <w:top w:val="single" w:sz="6" w:space="0" w:color="7F7F7F"/>
              <w:left w:val="single" w:sz="6" w:space="0" w:color="7F7F7F"/>
              <w:bottom w:val="single" w:sz="6" w:space="0" w:color="7F7F7F"/>
              <w:right w:val="single" w:sz="6" w:space="0" w:color="7F7F7F"/>
            </w:tcBorders>
          </w:tcPr>
          <w:p w:rsidR="00FA40A0" w:rsidRPr="000F3802" w:rsidRDefault="007F2E12">
            <w:pPr>
              <w:jc w:val="center"/>
              <w:rPr>
                <w:rFonts w:cs="Gill Sans MT"/>
                <w:bCs/>
                <w:sz w:val="26"/>
                <w:szCs w:val="26"/>
              </w:rPr>
            </w:pPr>
            <w:r>
              <w:rPr>
                <w:rFonts w:cs="Gill Sans MT"/>
                <w:bCs/>
                <w:sz w:val="26"/>
                <w:szCs w:val="26"/>
              </w:rPr>
              <w:t>101</w:t>
            </w:r>
          </w:p>
        </w:tc>
        <w:tc>
          <w:tcPr>
            <w:tcW w:w="900" w:type="dxa"/>
            <w:tcBorders>
              <w:top w:val="single" w:sz="6" w:space="0" w:color="7F7F7F"/>
              <w:left w:val="single" w:sz="6" w:space="0" w:color="7F7F7F"/>
              <w:bottom w:val="single" w:sz="6" w:space="0" w:color="7F7F7F"/>
              <w:right w:val="single" w:sz="6" w:space="0" w:color="7F7F7F"/>
            </w:tcBorders>
          </w:tcPr>
          <w:p w:rsidR="00FA40A0" w:rsidRPr="000F3802" w:rsidRDefault="007F2E12">
            <w:pPr>
              <w:jc w:val="center"/>
              <w:rPr>
                <w:rFonts w:cs="Gill Sans MT"/>
                <w:bCs/>
                <w:sz w:val="26"/>
                <w:szCs w:val="26"/>
              </w:rPr>
            </w:pPr>
            <w:r>
              <w:rPr>
                <w:rFonts w:cs="Gill Sans MT"/>
                <w:bCs/>
                <w:sz w:val="26"/>
                <w:szCs w:val="26"/>
              </w:rPr>
              <w:t>26</w:t>
            </w:r>
          </w:p>
        </w:tc>
        <w:tc>
          <w:tcPr>
            <w:tcW w:w="990" w:type="dxa"/>
            <w:tcBorders>
              <w:top w:val="single" w:sz="6" w:space="0" w:color="7F7F7F"/>
              <w:left w:val="single" w:sz="6" w:space="0" w:color="7F7F7F"/>
              <w:bottom w:val="single" w:sz="6" w:space="0" w:color="7F7F7F"/>
              <w:right w:val="single" w:sz="24" w:space="0" w:color="7F7F7F"/>
            </w:tcBorders>
          </w:tcPr>
          <w:p w:rsidR="00FA40A0" w:rsidRPr="000F3802" w:rsidRDefault="007F2E12">
            <w:pPr>
              <w:jc w:val="center"/>
              <w:rPr>
                <w:rFonts w:cs="Gill Sans MT"/>
                <w:bCs/>
                <w:sz w:val="26"/>
                <w:szCs w:val="26"/>
              </w:rPr>
            </w:pPr>
            <w:r>
              <w:rPr>
                <w:rFonts w:cs="Gill Sans MT"/>
                <w:bCs/>
                <w:sz w:val="26"/>
                <w:szCs w:val="26"/>
              </w:rPr>
              <w:t>46</w:t>
            </w:r>
          </w:p>
        </w:tc>
      </w:tr>
      <w:tr w:rsidR="008E316A" w:rsidTr="00211B17">
        <w:trPr>
          <w:jc w:val="center"/>
        </w:trPr>
        <w:tc>
          <w:tcPr>
            <w:tcW w:w="2548" w:type="dxa"/>
            <w:tcBorders>
              <w:top w:val="single" w:sz="6" w:space="0" w:color="7F7F7F"/>
              <w:left w:val="single" w:sz="24" w:space="0" w:color="7F7F7F"/>
              <w:bottom w:val="single" w:sz="24" w:space="0" w:color="7F7F7F"/>
              <w:right w:val="single" w:sz="6" w:space="0" w:color="7F7F7F"/>
            </w:tcBorders>
          </w:tcPr>
          <w:p w:rsidR="008E316A" w:rsidRDefault="008E316A" w:rsidP="0009120F">
            <w:pPr>
              <w:rPr>
                <w:rFonts w:cs="Gill Sans MT"/>
                <w:b/>
                <w:bCs/>
                <w:sz w:val="26"/>
                <w:szCs w:val="26"/>
              </w:rPr>
            </w:pPr>
            <w:r>
              <w:rPr>
                <w:rFonts w:cs="Gill Sans MT"/>
                <w:b/>
                <w:bCs/>
                <w:sz w:val="26"/>
                <w:szCs w:val="26"/>
              </w:rPr>
              <w:t>Dec 2010</w:t>
            </w:r>
          </w:p>
        </w:tc>
        <w:tc>
          <w:tcPr>
            <w:tcW w:w="990" w:type="dxa"/>
            <w:tcBorders>
              <w:top w:val="single" w:sz="6" w:space="0" w:color="7F7F7F"/>
              <w:left w:val="single" w:sz="6" w:space="0" w:color="7F7F7F"/>
              <w:bottom w:val="single" w:sz="24" w:space="0" w:color="7F7F7F"/>
              <w:right w:val="single" w:sz="6" w:space="0" w:color="7F7F7F"/>
            </w:tcBorders>
          </w:tcPr>
          <w:p w:rsidR="008E316A" w:rsidRDefault="00B24AB3" w:rsidP="007F2E12">
            <w:pPr>
              <w:jc w:val="center"/>
              <w:rPr>
                <w:rFonts w:cs="Gill Sans MT"/>
                <w:bCs/>
                <w:sz w:val="26"/>
                <w:szCs w:val="26"/>
              </w:rPr>
            </w:pPr>
            <w:r>
              <w:rPr>
                <w:rFonts w:cs="Gill Sans MT"/>
                <w:bCs/>
                <w:sz w:val="26"/>
                <w:szCs w:val="26"/>
              </w:rPr>
              <w:t>20</w:t>
            </w:r>
          </w:p>
        </w:tc>
        <w:tc>
          <w:tcPr>
            <w:tcW w:w="990" w:type="dxa"/>
            <w:tcBorders>
              <w:top w:val="single" w:sz="6" w:space="0" w:color="7F7F7F"/>
              <w:left w:val="single" w:sz="6" w:space="0" w:color="7F7F7F"/>
              <w:bottom w:val="single" w:sz="24" w:space="0" w:color="7F7F7F"/>
              <w:right w:val="single" w:sz="6" w:space="0" w:color="7F7F7F"/>
            </w:tcBorders>
          </w:tcPr>
          <w:p w:rsidR="008E316A" w:rsidRDefault="00B24AB3">
            <w:pPr>
              <w:jc w:val="center"/>
              <w:rPr>
                <w:rFonts w:cs="Gill Sans MT"/>
                <w:bCs/>
                <w:sz w:val="26"/>
                <w:szCs w:val="26"/>
              </w:rPr>
            </w:pPr>
            <w:r>
              <w:rPr>
                <w:rFonts w:cs="Gill Sans MT"/>
                <w:bCs/>
                <w:sz w:val="26"/>
                <w:szCs w:val="26"/>
              </w:rPr>
              <w:t>117</w:t>
            </w:r>
          </w:p>
        </w:tc>
        <w:tc>
          <w:tcPr>
            <w:tcW w:w="1170" w:type="dxa"/>
            <w:tcBorders>
              <w:top w:val="single" w:sz="6" w:space="0" w:color="7F7F7F"/>
              <w:left w:val="single" w:sz="6" w:space="0" w:color="7F7F7F"/>
              <w:bottom w:val="single" w:sz="24" w:space="0" w:color="7F7F7F"/>
              <w:right w:val="single" w:sz="6" w:space="0" w:color="7F7F7F"/>
            </w:tcBorders>
          </w:tcPr>
          <w:p w:rsidR="008E316A" w:rsidRDefault="00B24AB3">
            <w:pPr>
              <w:jc w:val="center"/>
              <w:rPr>
                <w:rFonts w:cs="Gill Sans MT"/>
                <w:bCs/>
                <w:sz w:val="26"/>
                <w:szCs w:val="26"/>
              </w:rPr>
            </w:pPr>
            <w:r>
              <w:rPr>
                <w:rFonts w:cs="Gill Sans MT"/>
                <w:bCs/>
                <w:sz w:val="26"/>
                <w:szCs w:val="26"/>
              </w:rPr>
              <w:t>70</w:t>
            </w:r>
          </w:p>
        </w:tc>
        <w:tc>
          <w:tcPr>
            <w:tcW w:w="990" w:type="dxa"/>
            <w:tcBorders>
              <w:top w:val="single" w:sz="6" w:space="0" w:color="7F7F7F"/>
              <w:left w:val="single" w:sz="6" w:space="0" w:color="7F7F7F"/>
              <w:bottom w:val="single" w:sz="24" w:space="0" w:color="7F7F7F"/>
              <w:right w:val="single" w:sz="6" w:space="0" w:color="7F7F7F"/>
            </w:tcBorders>
          </w:tcPr>
          <w:p w:rsidR="008E316A" w:rsidRDefault="00B24AB3">
            <w:pPr>
              <w:jc w:val="center"/>
              <w:rPr>
                <w:rFonts w:cs="Gill Sans MT"/>
                <w:bCs/>
                <w:sz w:val="26"/>
                <w:szCs w:val="26"/>
              </w:rPr>
            </w:pPr>
            <w:r>
              <w:rPr>
                <w:rFonts w:cs="Gill Sans MT"/>
                <w:bCs/>
                <w:sz w:val="26"/>
                <w:szCs w:val="26"/>
              </w:rPr>
              <w:t>38</w:t>
            </w:r>
          </w:p>
        </w:tc>
        <w:tc>
          <w:tcPr>
            <w:tcW w:w="990" w:type="dxa"/>
            <w:tcBorders>
              <w:top w:val="single" w:sz="6" w:space="0" w:color="7F7F7F"/>
              <w:left w:val="single" w:sz="6" w:space="0" w:color="7F7F7F"/>
              <w:bottom w:val="single" w:sz="24" w:space="0" w:color="7F7F7F"/>
              <w:right w:val="single" w:sz="6" w:space="0" w:color="7F7F7F"/>
            </w:tcBorders>
          </w:tcPr>
          <w:p w:rsidR="008E316A" w:rsidRDefault="00B24AB3">
            <w:pPr>
              <w:jc w:val="center"/>
              <w:rPr>
                <w:rFonts w:cs="Gill Sans MT"/>
                <w:bCs/>
                <w:sz w:val="26"/>
                <w:szCs w:val="26"/>
              </w:rPr>
            </w:pPr>
            <w:r>
              <w:rPr>
                <w:rFonts w:cs="Gill Sans MT"/>
                <w:bCs/>
                <w:sz w:val="26"/>
                <w:szCs w:val="26"/>
              </w:rPr>
              <w:t>67</w:t>
            </w:r>
          </w:p>
        </w:tc>
        <w:tc>
          <w:tcPr>
            <w:tcW w:w="900" w:type="dxa"/>
            <w:tcBorders>
              <w:top w:val="single" w:sz="6" w:space="0" w:color="7F7F7F"/>
              <w:left w:val="single" w:sz="6" w:space="0" w:color="7F7F7F"/>
              <w:bottom w:val="single" w:sz="24" w:space="0" w:color="7F7F7F"/>
              <w:right w:val="single" w:sz="6" w:space="0" w:color="7F7F7F"/>
            </w:tcBorders>
          </w:tcPr>
          <w:p w:rsidR="008E316A" w:rsidRDefault="00B24AB3">
            <w:pPr>
              <w:jc w:val="center"/>
              <w:rPr>
                <w:rFonts w:cs="Gill Sans MT"/>
                <w:bCs/>
                <w:sz w:val="26"/>
                <w:szCs w:val="26"/>
              </w:rPr>
            </w:pPr>
            <w:r>
              <w:rPr>
                <w:rFonts w:cs="Gill Sans MT"/>
                <w:bCs/>
                <w:sz w:val="26"/>
                <w:szCs w:val="26"/>
              </w:rPr>
              <w:t>36</w:t>
            </w:r>
          </w:p>
        </w:tc>
        <w:tc>
          <w:tcPr>
            <w:tcW w:w="990" w:type="dxa"/>
            <w:tcBorders>
              <w:top w:val="single" w:sz="6" w:space="0" w:color="7F7F7F"/>
              <w:left w:val="single" w:sz="6" w:space="0" w:color="7F7F7F"/>
              <w:bottom w:val="single" w:sz="24" w:space="0" w:color="7F7F7F"/>
              <w:right w:val="single" w:sz="24" w:space="0" w:color="7F7F7F"/>
            </w:tcBorders>
          </w:tcPr>
          <w:p w:rsidR="008E316A" w:rsidRDefault="00B24AB3">
            <w:pPr>
              <w:jc w:val="center"/>
              <w:rPr>
                <w:rFonts w:cs="Gill Sans MT"/>
                <w:bCs/>
                <w:sz w:val="26"/>
                <w:szCs w:val="26"/>
              </w:rPr>
            </w:pPr>
            <w:r>
              <w:rPr>
                <w:rFonts w:cs="Gill Sans MT"/>
                <w:bCs/>
                <w:sz w:val="26"/>
                <w:szCs w:val="26"/>
              </w:rPr>
              <w:t>21</w:t>
            </w:r>
            <w:bookmarkStart w:id="0" w:name="_GoBack"/>
            <w:bookmarkEnd w:id="0"/>
          </w:p>
        </w:tc>
      </w:tr>
      <w:tr w:rsidR="00FA40A0" w:rsidTr="00992713">
        <w:trPr>
          <w:jc w:val="center"/>
        </w:trPr>
        <w:tc>
          <w:tcPr>
            <w:tcW w:w="2548" w:type="dxa"/>
            <w:tcBorders>
              <w:top w:val="single" w:sz="6" w:space="0" w:color="7F7F7F"/>
              <w:left w:val="single" w:sz="24" w:space="0" w:color="7F7F7F"/>
              <w:bottom w:val="single" w:sz="24" w:space="0" w:color="7F7F7F"/>
              <w:right w:val="single" w:sz="6" w:space="0" w:color="7F7F7F"/>
            </w:tcBorders>
          </w:tcPr>
          <w:p w:rsidR="00FA40A0" w:rsidRDefault="00FA40A0">
            <w:pPr>
              <w:rPr>
                <w:rFonts w:cs="Gill Sans MT"/>
                <w:b/>
                <w:bCs/>
                <w:sz w:val="26"/>
                <w:szCs w:val="26"/>
              </w:rPr>
            </w:pPr>
            <w:r>
              <w:rPr>
                <w:rFonts w:cs="Gill Sans MT"/>
                <w:b/>
                <w:bCs/>
                <w:sz w:val="26"/>
                <w:szCs w:val="26"/>
              </w:rPr>
              <w:t>Goal</w:t>
            </w:r>
          </w:p>
        </w:tc>
        <w:tc>
          <w:tcPr>
            <w:tcW w:w="990" w:type="dxa"/>
            <w:tcBorders>
              <w:top w:val="single" w:sz="6" w:space="0" w:color="7F7F7F"/>
              <w:left w:val="single" w:sz="6" w:space="0" w:color="7F7F7F"/>
              <w:bottom w:val="single" w:sz="24" w:space="0" w:color="7F7F7F"/>
              <w:right w:val="single" w:sz="6" w:space="0" w:color="7F7F7F"/>
            </w:tcBorders>
          </w:tcPr>
          <w:p w:rsidR="00FA40A0" w:rsidRPr="007F2E12" w:rsidRDefault="00FA40A0">
            <w:pPr>
              <w:jc w:val="center"/>
              <w:rPr>
                <w:rFonts w:cs="Gill Sans MT"/>
                <w:b/>
                <w:bCs/>
                <w:color w:val="FF0000"/>
                <w:sz w:val="26"/>
                <w:szCs w:val="26"/>
              </w:rPr>
            </w:pPr>
            <w:r w:rsidRPr="007F2E12">
              <w:rPr>
                <w:rFonts w:cs="Gill Sans MT"/>
                <w:b/>
                <w:bCs/>
                <w:color w:val="FF0000"/>
                <w:sz w:val="26"/>
                <w:szCs w:val="26"/>
              </w:rPr>
              <w:t>30</w:t>
            </w:r>
          </w:p>
          <w:p w:rsidR="00FA40A0" w:rsidRPr="006419D1" w:rsidRDefault="00FA40A0">
            <w:pPr>
              <w:jc w:val="center"/>
              <w:rPr>
                <w:rFonts w:cs="Gill Sans MT"/>
                <w:b/>
                <w:bCs/>
                <w:sz w:val="26"/>
                <w:szCs w:val="26"/>
              </w:rPr>
            </w:pPr>
            <w:r w:rsidRPr="007F2E12">
              <w:rPr>
                <w:rFonts w:cs="Gill Sans MT"/>
                <w:b/>
                <w:bCs/>
                <w:color w:val="FF0000"/>
                <w:sz w:val="26"/>
                <w:szCs w:val="26"/>
              </w:rPr>
              <w:t>Days</w:t>
            </w:r>
          </w:p>
        </w:tc>
        <w:tc>
          <w:tcPr>
            <w:tcW w:w="990" w:type="dxa"/>
            <w:tcBorders>
              <w:top w:val="single" w:sz="6" w:space="0" w:color="7F7F7F"/>
              <w:left w:val="single" w:sz="6" w:space="0" w:color="7F7F7F"/>
              <w:bottom w:val="single" w:sz="24" w:space="0" w:color="7F7F7F"/>
              <w:right w:val="single" w:sz="6" w:space="0" w:color="7F7F7F"/>
            </w:tcBorders>
          </w:tcPr>
          <w:p w:rsidR="00FA40A0" w:rsidRPr="007F2E12" w:rsidRDefault="00FA40A0">
            <w:pPr>
              <w:jc w:val="center"/>
              <w:rPr>
                <w:rFonts w:cs="Gill Sans MT"/>
                <w:b/>
                <w:bCs/>
                <w:color w:val="FF0000"/>
                <w:sz w:val="26"/>
                <w:szCs w:val="26"/>
              </w:rPr>
            </w:pPr>
            <w:r w:rsidRPr="007F2E12">
              <w:rPr>
                <w:rFonts w:cs="Gill Sans MT"/>
                <w:b/>
                <w:bCs/>
                <w:color w:val="FF0000"/>
                <w:sz w:val="26"/>
                <w:szCs w:val="26"/>
              </w:rPr>
              <w:t xml:space="preserve">90 </w:t>
            </w:r>
          </w:p>
          <w:p w:rsidR="00FA40A0" w:rsidRPr="006419D1" w:rsidRDefault="00FA40A0">
            <w:pPr>
              <w:jc w:val="center"/>
              <w:rPr>
                <w:rFonts w:cs="Gill Sans MT"/>
                <w:b/>
                <w:bCs/>
                <w:sz w:val="26"/>
                <w:szCs w:val="26"/>
              </w:rPr>
            </w:pPr>
            <w:r w:rsidRPr="007F2E12">
              <w:rPr>
                <w:rFonts w:cs="Gill Sans MT"/>
                <w:b/>
                <w:bCs/>
                <w:color w:val="FF0000"/>
                <w:sz w:val="26"/>
                <w:szCs w:val="26"/>
              </w:rPr>
              <w:t>Days</w:t>
            </w:r>
          </w:p>
        </w:tc>
        <w:tc>
          <w:tcPr>
            <w:tcW w:w="1170" w:type="dxa"/>
            <w:tcBorders>
              <w:top w:val="single" w:sz="6" w:space="0" w:color="7F7F7F"/>
              <w:left w:val="single" w:sz="6" w:space="0" w:color="7F7F7F"/>
              <w:bottom w:val="single" w:sz="24" w:space="0" w:color="7F7F7F"/>
              <w:right w:val="single" w:sz="6" w:space="0" w:color="7F7F7F"/>
            </w:tcBorders>
          </w:tcPr>
          <w:p w:rsidR="00FA40A0" w:rsidRPr="007F2E12" w:rsidRDefault="00FA40A0">
            <w:pPr>
              <w:jc w:val="center"/>
              <w:rPr>
                <w:rFonts w:cs="Gill Sans MT"/>
                <w:b/>
                <w:bCs/>
                <w:color w:val="FF0000"/>
                <w:sz w:val="26"/>
                <w:szCs w:val="26"/>
              </w:rPr>
            </w:pPr>
            <w:r w:rsidRPr="007F2E12">
              <w:rPr>
                <w:rFonts w:cs="Gill Sans MT"/>
                <w:b/>
                <w:bCs/>
                <w:color w:val="FF0000"/>
                <w:sz w:val="26"/>
                <w:szCs w:val="26"/>
              </w:rPr>
              <w:t xml:space="preserve">30 </w:t>
            </w:r>
          </w:p>
          <w:p w:rsidR="00FA40A0" w:rsidRPr="00841FA0" w:rsidRDefault="00FA40A0">
            <w:pPr>
              <w:jc w:val="center"/>
              <w:rPr>
                <w:rFonts w:cs="Gill Sans MT"/>
                <w:b/>
                <w:bCs/>
                <w:sz w:val="26"/>
                <w:szCs w:val="26"/>
              </w:rPr>
            </w:pPr>
            <w:r w:rsidRPr="007F2E12">
              <w:rPr>
                <w:rFonts w:cs="Gill Sans MT"/>
                <w:b/>
                <w:bCs/>
                <w:color w:val="FF0000"/>
                <w:sz w:val="26"/>
                <w:szCs w:val="26"/>
              </w:rPr>
              <w:t>Days</w:t>
            </w:r>
          </w:p>
        </w:tc>
        <w:tc>
          <w:tcPr>
            <w:tcW w:w="990" w:type="dxa"/>
            <w:tcBorders>
              <w:top w:val="single" w:sz="6" w:space="0" w:color="7F7F7F"/>
              <w:left w:val="single" w:sz="6" w:space="0" w:color="7F7F7F"/>
              <w:bottom w:val="single" w:sz="24" w:space="0" w:color="7F7F7F"/>
              <w:right w:val="single" w:sz="6" w:space="0" w:color="7F7F7F"/>
            </w:tcBorders>
          </w:tcPr>
          <w:p w:rsidR="00FA40A0" w:rsidRPr="007F2E12" w:rsidRDefault="00FA40A0">
            <w:pPr>
              <w:jc w:val="center"/>
              <w:rPr>
                <w:rFonts w:cs="Gill Sans MT"/>
                <w:b/>
                <w:bCs/>
                <w:color w:val="FF0000"/>
                <w:sz w:val="26"/>
                <w:szCs w:val="26"/>
              </w:rPr>
            </w:pPr>
            <w:r w:rsidRPr="007F2E12">
              <w:rPr>
                <w:rFonts w:cs="Gill Sans MT"/>
                <w:b/>
                <w:bCs/>
                <w:color w:val="FF0000"/>
                <w:sz w:val="26"/>
                <w:szCs w:val="26"/>
              </w:rPr>
              <w:t xml:space="preserve">30 </w:t>
            </w:r>
          </w:p>
          <w:p w:rsidR="00FA40A0" w:rsidRPr="00841FA0" w:rsidRDefault="00FA40A0">
            <w:pPr>
              <w:jc w:val="center"/>
              <w:rPr>
                <w:rFonts w:cs="Gill Sans MT"/>
                <w:b/>
                <w:bCs/>
                <w:sz w:val="26"/>
                <w:szCs w:val="26"/>
              </w:rPr>
            </w:pPr>
            <w:r w:rsidRPr="007F2E12">
              <w:rPr>
                <w:rFonts w:cs="Gill Sans MT"/>
                <w:b/>
                <w:bCs/>
                <w:color w:val="FF0000"/>
                <w:sz w:val="26"/>
                <w:szCs w:val="26"/>
              </w:rPr>
              <w:t>Days</w:t>
            </w:r>
          </w:p>
        </w:tc>
        <w:tc>
          <w:tcPr>
            <w:tcW w:w="990" w:type="dxa"/>
            <w:tcBorders>
              <w:top w:val="single" w:sz="6" w:space="0" w:color="7F7F7F"/>
              <w:left w:val="single" w:sz="6" w:space="0" w:color="7F7F7F"/>
              <w:bottom w:val="single" w:sz="24" w:space="0" w:color="7F7F7F"/>
              <w:right w:val="single" w:sz="6" w:space="0" w:color="7F7F7F"/>
            </w:tcBorders>
          </w:tcPr>
          <w:p w:rsidR="00FA40A0" w:rsidRPr="00841FA0" w:rsidRDefault="00FA40A0">
            <w:pPr>
              <w:jc w:val="center"/>
              <w:rPr>
                <w:rFonts w:cs="Gill Sans MT"/>
                <w:b/>
                <w:bCs/>
                <w:sz w:val="26"/>
                <w:szCs w:val="26"/>
              </w:rPr>
            </w:pPr>
            <w:r w:rsidRPr="00841FA0">
              <w:rPr>
                <w:rFonts w:cs="Gill Sans MT"/>
                <w:b/>
                <w:bCs/>
                <w:sz w:val="26"/>
                <w:szCs w:val="26"/>
              </w:rPr>
              <w:t xml:space="preserve">120 </w:t>
            </w:r>
          </w:p>
          <w:p w:rsidR="00FA40A0" w:rsidRPr="00841FA0" w:rsidRDefault="00FA40A0">
            <w:pPr>
              <w:jc w:val="center"/>
              <w:rPr>
                <w:rFonts w:cs="Gill Sans MT"/>
                <w:b/>
                <w:bCs/>
                <w:sz w:val="26"/>
                <w:szCs w:val="26"/>
              </w:rPr>
            </w:pPr>
            <w:r w:rsidRPr="00841FA0">
              <w:rPr>
                <w:rFonts w:cs="Gill Sans MT"/>
                <w:b/>
                <w:bCs/>
                <w:sz w:val="26"/>
                <w:szCs w:val="26"/>
              </w:rPr>
              <w:t>Days</w:t>
            </w:r>
          </w:p>
        </w:tc>
        <w:tc>
          <w:tcPr>
            <w:tcW w:w="900" w:type="dxa"/>
            <w:tcBorders>
              <w:top w:val="single" w:sz="6" w:space="0" w:color="7F7F7F"/>
              <w:left w:val="single" w:sz="6" w:space="0" w:color="7F7F7F"/>
              <w:bottom w:val="single" w:sz="24" w:space="0" w:color="7F7F7F"/>
              <w:right w:val="single" w:sz="6" w:space="0" w:color="7F7F7F"/>
            </w:tcBorders>
          </w:tcPr>
          <w:p w:rsidR="00FA40A0" w:rsidRPr="00E45425" w:rsidRDefault="00FA40A0">
            <w:pPr>
              <w:jc w:val="center"/>
              <w:rPr>
                <w:rFonts w:cs="Gill Sans MT"/>
                <w:b/>
                <w:bCs/>
                <w:color w:val="FF0000"/>
                <w:sz w:val="26"/>
                <w:szCs w:val="26"/>
              </w:rPr>
            </w:pPr>
            <w:r w:rsidRPr="00E45425">
              <w:rPr>
                <w:rFonts w:cs="Gill Sans MT"/>
                <w:b/>
                <w:bCs/>
                <w:color w:val="FF0000"/>
                <w:sz w:val="26"/>
                <w:szCs w:val="26"/>
              </w:rPr>
              <w:t xml:space="preserve">30 </w:t>
            </w:r>
          </w:p>
          <w:p w:rsidR="00FA40A0" w:rsidRPr="00841FA0" w:rsidRDefault="00FA40A0">
            <w:pPr>
              <w:jc w:val="center"/>
              <w:rPr>
                <w:rFonts w:cs="Gill Sans MT"/>
                <w:b/>
                <w:bCs/>
                <w:sz w:val="26"/>
                <w:szCs w:val="26"/>
              </w:rPr>
            </w:pPr>
            <w:r w:rsidRPr="00E45425">
              <w:rPr>
                <w:rFonts w:cs="Gill Sans MT"/>
                <w:b/>
                <w:bCs/>
                <w:color w:val="FF0000"/>
                <w:sz w:val="26"/>
                <w:szCs w:val="26"/>
              </w:rPr>
              <w:t>Days</w:t>
            </w:r>
          </w:p>
        </w:tc>
        <w:tc>
          <w:tcPr>
            <w:tcW w:w="990" w:type="dxa"/>
            <w:tcBorders>
              <w:top w:val="single" w:sz="6" w:space="0" w:color="7F7F7F"/>
              <w:left w:val="single" w:sz="6" w:space="0" w:color="7F7F7F"/>
              <w:bottom w:val="single" w:sz="24" w:space="0" w:color="7F7F7F"/>
              <w:right w:val="single" w:sz="24" w:space="0" w:color="7F7F7F"/>
            </w:tcBorders>
          </w:tcPr>
          <w:p w:rsidR="00FA40A0" w:rsidRPr="00841FA0" w:rsidRDefault="00FA40A0">
            <w:pPr>
              <w:jc w:val="center"/>
              <w:rPr>
                <w:rFonts w:cs="Gill Sans MT"/>
                <w:b/>
                <w:bCs/>
                <w:sz w:val="26"/>
                <w:szCs w:val="26"/>
              </w:rPr>
            </w:pPr>
            <w:r w:rsidRPr="00841FA0">
              <w:rPr>
                <w:rFonts w:cs="Gill Sans MT"/>
                <w:b/>
                <w:bCs/>
                <w:sz w:val="26"/>
                <w:szCs w:val="26"/>
              </w:rPr>
              <w:t xml:space="preserve">90 </w:t>
            </w:r>
          </w:p>
          <w:p w:rsidR="00FA40A0" w:rsidRPr="00841FA0" w:rsidRDefault="00FA40A0">
            <w:pPr>
              <w:jc w:val="center"/>
              <w:rPr>
                <w:rFonts w:cs="Gill Sans MT"/>
                <w:b/>
                <w:bCs/>
                <w:sz w:val="26"/>
                <w:szCs w:val="26"/>
              </w:rPr>
            </w:pPr>
            <w:r w:rsidRPr="00841FA0">
              <w:rPr>
                <w:rFonts w:cs="Gill Sans MT"/>
                <w:b/>
                <w:bCs/>
                <w:sz w:val="26"/>
                <w:szCs w:val="26"/>
              </w:rPr>
              <w:t>Days</w:t>
            </w:r>
          </w:p>
        </w:tc>
      </w:tr>
    </w:tbl>
    <w:p w:rsidR="007F2E12" w:rsidRDefault="007F2E12" w:rsidP="006419D1">
      <w:pPr>
        <w:rPr>
          <w:sz w:val="26"/>
          <w:szCs w:val="26"/>
        </w:rPr>
      </w:pPr>
    </w:p>
    <w:p w:rsidR="00FA40A0" w:rsidRPr="006419D1" w:rsidRDefault="00FA40A0" w:rsidP="006419D1">
      <w:pPr>
        <w:rPr>
          <w:sz w:val="26"/>
          <w:szCs w:val="26"/>
        </w:rPr>
      </w:pPr>
      <w:r w:rsidRPr="006419D1">
        <w:rPr>
          <w:sz w:val="26"/>
          <w:szCs w:val="26"/>
        </w:rPr>
        <w:lastRenderedPageBreak/>
        <w:t xml:space="preserve">In reviewing the information from the Case Turnaround Survey, from the time the initial survey was conducted in 2003, it is apparent that case turnaround times have fluctuated both among and within the different forensic science disciplines over the course of seven years. However, at the last measurement point in December 2009, four (4) of the seven disciplines achieved the baseline goal. These disciplines were: 1) Controlled Substances; 2) Biology; 3) Questioned Documents; and, 4) Trace Evidence.  </w:t>
      </w:r>
    </w:p>
    <w:p w:rsidR="00FA40A0" w:rsidRPr="006419D1" w:rsidRDefault="00FA40A0" w:rsidP="006419D1">
      <w:pPr>
        <w:rPr>
          <w:sz w:val="26"/>
          <w:szCs w:val="26"/>
        </w:rPr>
      </w:pPr>
    </w:p>
    <w:p w:rsidR="00FA40A0" w:rsidRDefault="00FA40A0" w:rsidP="006419D1">
      <w:pPr>
        <w:rPr>
          <w:sz w:val="26"/>
          <w:szCs w:val="26"/>
        </w:rPr>
      </w:pPr>
      <w:r w:rsidRPr="006419D1">
        <w:rPr>
          <w:sz w:val="26"/>
          <w:szCs w:val="26"/>
        </w:rPr>
        <w:t>The case turnaround time in the Controlled Substance Discipline has increased from the original 21 days but is down from a peak of 48 days and also below the baseline goal of 30 days with a turnaround time of 24 days.</w:t>
      </w:r>
      <w:r>
        <w:rPr>
          <w:sz w:val="26"/>
          <w:szCs w:val="26"/>
        </w:rPr>
        <w:t xml:space="preserve">  </w:t>
      </w:r>
      <w:r w:rsidRPr="006419D1">
        <w:rPr>
          <w:sz w:val="26"/>
          <w:szCs w:val="26"/>
        </w:rPr>
        <w:t xml:space="preserve">At the last survey point, the case turnaround time in the </w:t>
      </w:r>
      <w:r>
        <w:rPr>
          <w:sz w:val="26"/>
          <w:szCs w:val="26"/>
        </w:rPr>
        <w:t xml:space="preserve">Biology </w:t>
      </w:r>
      <w:r w:rsidRPr="006419D1">
        <w:rPr>
          <w:sz w:val="26"/>
          <w:szCs w:val="26"/>
        </w:rPr>
        <w:t>Discipline was well below the goal of 90 days.  The turnaround time is down from the original baseline o</w:t>
      </w:r>
      <w:r>
        <w:rPr>
          <w:sz w:val="26"/>
          <w:szCs w:val="26"/>
        </w:rPr>
        <w:t>f 115 days and down from a peak</w:t>
      </w:r>
      <w:r w:rsidRPr="006419D1">
        <w:rPr>
          <w:sz w:val="26"/>
          <w:szCs w:val="26"/>
        </w:rPr>
        <w:t xml:space="preserve"> of 13</w:t>
      </w:r>
      <w:r w:rsidR="00731DB1">
        <w:rPr>
          <w:sz w:val="26"/>
          <w:szCs w:val="26"/>
        </w:rPr>
        <w:t>4</w:t>
      </w:r>
      <w:r w:rsidRPr="006419D1">
        <w:rPr>
          <w:sz w:val="26"/>
          <w:szCs w:val="26"/>
        </w:rPr>
        <w:t xml:space="preserve"> days to 68 days.  In December 2007, the Questioned Documents Discipline had a significant increase in case turnaround time although the fall in the case turnaround has continued.  With an original backlog of 62 days, the December 2007 measurement date indicated a backlog of 341 days.  Currently, the case turnaround has reduced from a high of 341 in December 2007 to 97 days for the most current reporting point, below the 120-day goal.</w:t>
      </w:r>
      <w:r>
        <w:rPr>
          <w:sz w:val="26"/>
          <w:szCs w:val="26"/>
        </w:rPr>
        <w:t xml:space="preserve">  </w:t>
      </w:r>
      <w:r w:rsidRPr="006419D1">
        <w:rPr>
          <w:sz w:val="26"/>
          <w:szCs w:val="26"/>
        </w:rPr>
        <w:t xml:space="preserve">Trace Evidence has seen the most significant decrease in turnaround time.  Trace Evidence started with a baseline of 145 days, then increased to 150 days at the next measurement point.  The turnaround time has fluctuated with both highs and lows but in December 2009, the turnaround time was 36 days as the chart indicates.  </w:t>
      </w:r>
    </w:p>
    <w:p w:rsidR="00FA40A0" w:rsidRPr="006419D1" w:rsidRDefault="00FA40A0" w:rsidP="006419D1">
      <w:pPr>
        <w:rPr>
          <w:sz w:val="26"/>
          <w:szCs w:val="26"/>
          <w:highlight w:val="lightGray"/>
        </w:rPr>
      </w:pPr>
    </w:p>
    <w:p w:rsidR="00FA40A0" w:rsidRPr="00AE6FB9" w:rsidRDefault="00FA40A0">
      <w:pPr>
        <w:rPr>
          <w:rFonts w:cs="Gill Sans MT"/>
          <w:bCs/>
          <w:sz w:val="26"/>
          <w:szCs w:val="26"/>
        </w:rPr>
      </w:pPr>
      <w:r w:rsidRPr="00AE6FB9">
        <w:rPr>
          <w:rFonts w:cs="Gill Sans MT"/>
          <w:bCs/>
          <w:sz w:val="26"/>
          <w:szCs w:val="26"/>
        </w:rPr>
        <w:t xml:space="preserve">For </w:t>
      </w:r>
      <w:r>
        <w:rPr>
          <w:rFonts w:cs="Gill Sans MT"/>
          <w:bCs/>
          <w:sz w:val="26"/>
          <w:szCs w:val="26"/>
        </w:rPr>
        <w:t xml:space="preserve">the three </w:t>
      </w:r>
      <w:r w:rsidRPr="00AE6FB9">
        <w:rPr>
          <w:rFonts w:cs="Gill Sans MT"/>
          <w:bCs/>
          <w:sz w:val="26"/>
          <w:szCs w:val="26"/>
        </w:rPr>
        <w:t xml:space="preserve">disciplines that are not meeting the </w:t>
      </w:r>
      <w:r>
        <w:rPr>
          <w:rFonts w:cs="Gill Sans MT"/>
          <w:bCs/>
          <w:sz w:val="26"/>
          <w:szCs w:val="26"/>
        </w:rPr>
        <w:t>goal</w:t>
      </w:r>
      <w:r w:rsidRPr="00AE6FB9">
        <w:rPr>
          <w:rFonts w:cs="Gill Sans MT"/>
          <w:bCs/>
          <w:sz w:val="26"/>
          <w:szCs w:val="26"/>
        </w:rPr>
        <w:t xml:space="preserve"> turnaround time,</w:t>
      </w:r>
      <w:r>
        <w:rPr>
          <w:rFonts w:cs="Gill Sans MT"/>
          <w:bCs/>
          <w:sz w:val="26"/>
          <w:szCs w:val="26"/>
        </w:rPr>
        <w:t xml:space="preserve"> which are Firearms and Tool Marks, Latent Prints, and Toxicology,</w:t>
      </w:r>
      <w:r w:rsidRPr="00AE6FB9">
        <w:rPr>
          <w:rFonts w:cs="Gill Sans MT"/>
          <w:bCs/>
          <w:sz w:val="26"/>
          <w:szCs w:val="26"/>
        </w:rPr>
        <w:t xml:space="preserve"> the </w:t>
      </w:r>
      <w:r>
        <w:rPr>
          <w:rFonts w:cs="Gill Sans MT"/>
          <w:bCs/>
          <w:sz w:val="26"/>
          <w:szCs w:val="26"/>
        </w:rPr>
        <w:t xml:space="preserve">barriers were further examined. </w:t>
      </w:r>
    </w:p>
    <w:p w:rsidR="00FA40A0" w:rsidRDefault="00FA40A0">
      <w:pPr>
        <w:rPr>
          <w:rFonts w:cs="Gill Sans MT"/>
          <w:b/>
          <w:bCs/>
          <w:sz w:val="26"/>
          <w:szCs w:val="26"/>
        </w:rPr>
      </w:pPr>
    </w:p>
    <w:p w:rsidR="00FA40A0" w:rsidRDefault="00FA40A0" w:rsidP="00AE6FB9">
      <w:pPr>
        <w:rPr>
          <w:rFonts w:cs="Gill Sans MT"/>
          <w:b/>
          <w:bCs/>
          <w:sz w:val="26"/>
          <w:szCs w:val="26"/>
        </w:rPr>
      </w:pPr>
      <w:r w:rsidRPr="00B4640E">
        <w:rPr>
          <w:rFonts w:cs="Gill Sans MT"/>
          <w:b/>
          <w:bCs/>
          <w:sz w:val="26"/>
          <w:szCs w:val="26"/>
        </w:rPr>
        <w:t>Firearms and Tool Marks</w:t>
      </w:r>
    </w:p>
    <w:p w:rsidR="00FA40A0" w:rsidRPr="001E2463" w:rsidRDefault="00710FCC" w:rsidP="00AE6FB9">
      <w:pPr>
        <w:rPr>
          <w:rFonts w:cs="Gill Sans MT"/>
          <w:bCs/>
          <w:sz w:val="26"/>
          <w:szCs w:val="26"/>
        </w:rPr>
      </w:pPr>
      <w:r>
        <w:rPr>
          <w:noProof/>
        </w:rPr>
        <w:drawing>
          <wp:anchor distT="0" distB="0" distL="114300" distR="114300" simplePos="0" relativeHeight="251662336" behindDoc="0" locked="0" layoutInCell="1" allowOverlap="1" wp14:anchorId="29AE0B86" wp14:editId="14FCCA4E">
            <wp:simplePos x="0" y="0"/>
            <wp:positionH relativeFrom="column">
              <wp:posOffset>-55245</wp:posOffset>
            </wp:positionH>
            <wp:positionV relativeFrom="paragraph">
              <wp:posOffset>1122680</wp:posOffset>
            </wp:positionV>
            <wp:extent cx="6353175" cy="2438400"/>
            <wp:effectExtent l="0" t="0" r="9525" b="19050"/>
            <wp:wrapSquare wrapText="right"/>
            <wp:docPr id="15"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A40A0">
        <w:rPr>
          <w:rFonts w:cs="Gill Sans MT"/>
          <w:bCs/>
          <w:sz w:val="26"/>
          <w:szCs w:val="26"/>
        </w:rPr>
        <w:t>The case turnaround in the Firearms and Tool Marks Discipline has varied widely with both increases and decreases from the time the data was first collected. The initial baseline was 75 days but has ranged from a high of 119 days to a low of 31 days in December 2007 and again in December 2009. The case turnaround time is short of meeting the 30</w:t>
      </w:r>
      <w:r w:rsidR="007119A6">
        <w:rPr>
          <w:rFonts w:cs="Gill Sans MT"/>
          <w:bCs/>
          <w:sz w:val="26"/>
          <w:szCs w:val="26"/>
        </w:rPr>
        <w:t>-</w:t>
      </w:r>
      <w:r w:rsidR="00FA40A0">
        <w:rPr>
          <w:rFonts w:cs="Gill Sans MT"/>
          <w:bCs/>
          <w:sz w:val="26"/>
          <w:szCs w:val="26"/>
        </w:rPr>
        <w:t xml:space="preserve">goal by just one day. </w:t>
      </w:r>
      <w:r w:rsidR="00FA40A0" w:rsidRPr="001E2463">
        <w:rPr>
          <w:rFonts w:cs="Gill Sans MT"/>
          <w:bCs/>
          <w:sz w:val="26"/>
          <w:szCs w:val="26"/>
        </w:rPr>
        <w:t xml:space="preserve">It is anticipated that the goal can be met in the near future. </w:t>
      </w:r>
    </w:p>
    <w:p w:rsidR="00DC57EF" w:rsidRDefault="00DC57EF" w:rsidP="00A625BA">
      <w:pPr>
        <w:ind w:firstLine="720"/>
        <w:rPr>
          <w:rFonts w:cs="Gill Sans MT"/>
          <w:b/>
          <w:sz w:val="26"/>
          <w:szCs w:val="26"/>
        </w:rPr>
      </w:pPr>
    </w:p>
    <w:p w:rsidR="00FA40A0" w:rsidRPr="00047A62" w:rsidRDefault="00FA40A0" w:rsidP="00A625BA">
      <w:pPr>
        <w:ind w:firstLine="720"/>
        <w:rPr>
          <w:rFonts w:cs="Gill Sans MT"/>
          <w:b/>
          <w:sz w:val="26"/>
          <w:szCs w:val="26"/>
        </w:rPr>
      </w:pPr>
      <w:r w:rsidRPr="007F1968">
        <w:rPr>
          <w:rFonts w:cs="Gill Sans MT"/>
          <w:b/>
          <w:sz w:val="26"/>
          <w:szCs w:val="26"/>
        </w:rPr>
        <w:t>Barriers</w:t>
      </w:r>
      <w:r w:rsidRPr="00047A62">
        <w:rPr>
          <w:rFonts w:cs="Gill Sans MT"/>
          <w:b/>
          <w:sz w:val="26"/>
          <w:szCs w:val="26"/>
        </w:rPr>
        <w:t>:</w:t>
      </w:r>
    </w:p>
    <w:p w:rsidR="00FA40A0" w:rsidRDefault="00FA40A0" w:rsidP="00FF146C">
      <w:pPr>
        <w:ind w:left="720"/>
        <w:rPr>
          <w:rFonts w:cs="Gill Sans MT"/>
          <w:bCs/>
          <w:sz w:val="26"/>
          <w:szCs w:val="26"/>
        </w:rPr>
      </w:pPr>
      <w:r w:rsidRPr="00582311">
        <w:rPr>
          <w:rFonts w:cs="Gill Sans MT"/>
          <w:bCs/>
          <w:sz w:val="26"/>
          <w:szCs w:val="26"/>
        </w:rPr>
        <w:t>The case turnaround in Firearms and Tool Mark Cases is significantly impacted when the evidence is subjected to multiple discipline examinations, such as DNA, latent prints, and firearms. However, OSBI has implemented new procedures to overcome the delays in this discipline which have positively impacted the turnaround time.  In addition, there is an impact with training and filling personnel positions.</w:t>
      </w:r>
      <w:r>
        <w:rPr>
          <w:rFonts w:cs="Gill Sans MT"/>
          <w:bCs/>
          <w:sz w:val="26"/>
          <w:szCs w:val="26"/>
        </w:rPr>
        <w:t xml:space="preserve"> </w:t>
      </w:r>
    </w:p>
    <w:p w:rsidR="00710FCC" w:rsidRDefault="00710FCC">
      <w:pPr>
        <w:rPr>
          <w:rFonts w:cs="Gill Sans MT"/>
          <w:b/>
          <w:bCs/>
          <w:sz w:val="26"/>
          <w:szCs w:val="26"/>
        </w:rPr>
      </w:pPr>
    </w:p>
    <w:p w:rsidR="00FA40A0" w:rsidRDefault="00FA40A0">
      <w:pPr>
        <w:rPr>
          <w:rFonts w:cs="Gill Sans MT"/>
          <w:b/>
          <w:bCs/>
          <w:sz w:val="26"/>
          <w:szCs w:val="26"/>
        </w:rPr>
      </w:pPr>
      <w:r>
        <w:rPr>
          <w:rFonts w:cs="Gill Sans MT"/>
          <w:b/>
          <w:bCs/>
          <w:sz w:val="26"/>
          <w:szCs w:val="26"/>
        </w:rPr>
        <w:t>Latent Prints</w:t>
      </w:r>
    </w:p>
    <w:p w:rsidR="00FA40A0" w:rsidRDefault="00FA40A0">
      <w:pPr>
        <w:rPr>
          <w:sz w:val="26"/>
          <w:szCs w:val="26"/>
        </w:rPr>
      </w:pPr>
      <w:r w:rsidRPr="00216DB3">
        <w:rPr>
          <w:sz w:val="26"/>
          <w:szCs w:val="26"/>
        </w:rPr>
        <w:t>The Latent Prints Discipline ha</w:t>
      </w:r>
      <w:r>
        <w:rPr>
          <w:sz w:val="26"/>
          <w:szCs w:val="26"/>
        </w:rPr>
        <w:t>d a significant reduction in case turnaround from a beginning baseline of 41 days to a low of 16 days in June 2005; however, th</w:t>
      </w:r>
      <w:r w:rsidRPr="00216DB3">
        <w:rPr>
          <w:sz w:val="26"/>
          <w:szCs w:val="26"/>
        </w:rPr>
        <w:t xml:space="preserve">e case turnaround time </w:t>
      </w:r>
      <w:r>
        <w:rPr>
          <w:sz w:val="26"/>
          <w:szCs w:val="26"/>
        </w:rPr>
        <w:t xml:space="preserve">has steadily increased </w:t>
      </w:r>
      <w:r w:rsidRPr="00216DB3">
        <w:rPr>
          <w:sz w:val="26"/>
          <w:szCs w:val="26"/>
        </w:rPr>
        <w:t xml:space="preserve">from </w:t>
      </w:r>
      <w:r>
        <w:rPr>
          <w:sz w:val="26"/>
          <w:szCs w:val="26"/>
        </w:rPr>
        <w:t>that low to a p</w:t>
      </w:r>
      <w:r w:rsidRPr="00216DB3">
        <w:rPr>
          <w:sz w:val="26"/>
          <w:szCs w:val="26"/>
        </w:rPr>
        <w:t xml:space="preserve">eak of </w:t>
      </w:r>
      <w:r>
        <w:rPr>
          <w:sz w:val="26"/>
          <w:szCs w:val="26"/>
        </w:rPr>
        <w:t>87</w:t>
      </w:r>
      <w:r w:rsidRPr="00216DB3">
        <w:rPr>
          <w:sz w:val="26"/>
          <w:szCs w:val="26"/>
        </w:rPr>
        <w:t xml:space="preserve"> days </w:t>
      </w:r>
      <w:r>
        <w:rPr>
          <w:sz w:val="26"/>
          <w:szCs w:val="26"/>
        </w:rPr>
        <w:t xml:space="preserve">in June 2009 to 40 days in December 2009. </w:t>
      </w:r>
      <w:r>
        <w:rPr>
          <w:rFonts w:cs="Gill Sans MT"/>
          <w:sz w:val="26"/>
          <w:szCs w:val="26"/>
        </w:rPr>
        <w:t>The baseline goal is 30 days.</w:t>
      </w:r>
    </w:p>
    <w:p w:rsidR="00FA40A0" w:rsidRDefault="00FA40A0">
      <w:pPr>
        <w:rPr>
          <w:rFonts w:cs="Gill Sans MT"/>
          <w:b/>
          <w:bCs/>
          <w:sz w:val="26"/>
          <w:szCs w:val="26"/>
        </w:rPr>
      </w:pPr>
    </w:p>
    <w:p w:rsidR="00FA40A0" w:rsidRDefault="00731DB1">
      <w:pPr>
        <w:jc w:val="center"/>
        <w:rPr>
          <w:rFonts w:cs="Gill Sans MT"/>
          <w:b/>
          <w:bCs/>
          <w:sz w:val="26"/>
          <w:szCs w:val="26"/>
        </w:rPr>
      </w:pPr>
      <w:r>
        <w:rPr>
          <w:rFonts w:cs="Gill Sans MT"/>
          <w:b/>
          <w:noProof/>
          <w:sz w:val="26"/>
          <w:szCs w:val="26"/>
        </w:rPr>
        <w:drawing>
          <wp:inline distT="0" distB="0" distL="0" distR="0" wp14:anchorId="3CD8FA29" wp14:editId="6B01D6A7">
            <wp:extent cx="6105525" cy="2457450"/>
            <wp:effectExtent l="0" t="0" r="9525" b="1905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A40A0" w:rsidRDefault="00FA40A0" w:rsidP="00AC694C">
      <w:pPr>
        <w:rPr>
          <w:rFonts w:cs="Gill Sans MT"/>
          <w:sz w:val="26"/>
          <w:szCs w:val="26"/>
        </w:rPr>
      </w:pPr>
    </w:p>
    <w:p w:rsidR="00FA40A0" w:rsidRPr="00B12793" w:rsidRDefault="00FA40A0" w:rsidP="00581C8C">
      <w:pPr>
        <w:rPr>
          <w:rFonts w:cs="Gill Sans MT"/>
          <w:b/>
          <w:bCs/>
        </w:rPr>
      </w:pPr>
      <w:r>
        <w:rPr>
          <w:rFonts w:cs="Gill Sans MT"/>
          <w:b/>
          <w:bCs/>
        </w:rPr>
        <w:tab/>
      </w:r>
      <w:r w:rsidRPr="00B12793">
        <w:rPr>
          <w:rFonts w:cs="Gill Sans MT"/>
          <w:b/>
          <w:bCs/>
        </w:rPr>
        <w:t>Barriers:</w:t>
      </w:r>
    </w:p>
    <w:p w:rsidR="00FA40A0" w:rsidRPr="00582311" w:rsidRDefault="00FA40A0" w:rsidP="0093267B">
      <w:pPr>
        <w:ind w:left="720"/>
        <w:rPr>
          <w:rFonts w:cs="Gill Sans MT"/>
          <w:sz w:val="26"/>
          <w:szCs w:val="26"/>
        </w:rPr>
      </w:pPr>
      <w:r w:rsidRPr="00582311">
        <w:rPr>
          <w:rFonts w:cs="Gill Sans MT"/>
          <w:sz w:val="26"/>
          <w:szCs w:val="26"/>
        </w:rPr>
        <w:t xml:space="preserve">For Latent Prints, recruitment and retention of qualified personnel continues to be the primary reasons for the failure to meet the baseline goal according to participating labs. The average training time for a latent print examiner is six months to two years. There are currently two examiners in training. </w:t>
      </w:r>
    </w:p>
    <w:p w:rsidR="00FA40A0" w:rsidRPr="00582311" w:rsidRDefault="00FA40A0" w:rsidP="0093267B">
      <w:pPr>
        <w:rPr>
          <w:rFonts w:cs="Gill Sans MT"/>
          <w:sz w:val="26"/>
          <w:szCs w:val="26"/>
        </w:rPr>
      </w:pPr>
    </w:p>
    <w:p w:rsidR="00FA40A0" w:rsidRDefault="00FA40A0" w:rsidP="00955028">
      <w:pPr>
        <w:ind w:left="720"/>
        <w:rPr>
          <w:rFonts w:cs="Gill Sans MT"/>
          <w:sz w:val="26"/>
          <w:szCs w:val="26"/>
        </w:rPr>
      </w:pPr>
      <w:r w:rsidRPr="00582311">
        <w:rPr>
          <w:rFonts w:cs="Gill Sans MT"/>
          <w:sz w:val="26"/>
          <w:szCs w:val="26"/>
        </w:rPr>
        <w:t>There are a growing number of law enforcement agencies throughout the state that conduct some level of casework in latent prints. These labs are not ASCLD/LAB accredited nor is there an IAI certified examiner on staff. According to the Forensic Laboratory Accreditation Statute, these labs cannot report or testify to forensic analysis.  To do so would violate O.S. 74§150.37.</w:t>
      </w:r>
      <w:r>
        <w:rPr>
          <w:rFonts w:cs="Gill Sans MT"/>
          <w:sz w:val="26"/>
          <w:szCs w:val="26"/>
        </w:rPr>
        <w:t xml:space="preserve"> </w:t>
      </w:r>
      <w:r w:rsidRPr="00582311">
        <w:rPr>
          <w:rFonts w:cs="Gill Sans MT"/>
          <w:sz w:val="26"/>
          <w:szCs w:val="26"/>
        </w:rPr>
        <w:t xml:space="preserve">It is anticipated that the casework which is directed to OSBI will likely increase in the future. </w:t>
      </w:r>
    </w:p>
    <w:p w:rsidR="00C5133E" w:rsidRDefault="00C5133E" w:rsidP="00955028">
      <w:pPr>
        <w:ind w:left="720"/>
        <w:rPr>
          <w:rFonts w:cs="Gill Sans MT"/>
          <w:sz w:val="26"/>
          <w:szCs w:val="26"/>
        </w:rPr>
      </w:pPr>
    </w:p>
    <w:p w:rsidR="009B56D5" w:rsidRPr="00992713" w:rsidRDefault="00AB4595" w:rsidP="00992713">
      <w:pPr>
        <w:ind w:left="720"/>
        <w:rPr>
          <w:sz w:val="26"/>
          <w:szCs w:val="26"/>
        </w:rPr>
      </w:pPr>
      <w:r>
        <w:rPr>
          <w:sz w:val="26"/>
          <w:szCs w:val="26"/>
        </w:rPr>
        <w:t>S</w:t>
      </w:r>
      <w:r w:rsidR="00731DB1">
        <w:rPr>
          <w:sz w:val="26"/>
          <w:szCs w:val="26"/>
        </w:rPr>
        <w:t>ome</w:t>
      </w:r>
      <w:r w:rsidR="00DD02CF" w:rsidRPr="00992713">
        <w:rPr>
          <w:sz w:val="26"/>
          <w:szCs w:val="26"/>
        </w:rPr>
        <w:t xml:space="preserve"> Oklahoma municipal law enforcement agencies have finger/palm print databases that se</w:t>
      </w:r>
      <w:r w:rsidR="00E669BC">
        <w:rPr>
          <w:sz w:val="26"/>
          <w:szCs w:val="26"/>
        </w:rPr>
        <w:t>rve their local jurisdictions. </w:t>
      </w:r>
      <w:r w:rsidR="00DD02CF" w:rsidRPr="00992713">
        <w:rPr>
          <w:sz w:val="26"/>
          <w:szCs w:val="26"/>
        </w:rPr>
        <w:t xml:space="preserve">These databases are not linked together nor are they operable with the OSBI’s state print database (AFIS), which is also linked to the FBI print database (IAFIS).  Most of the local databases are a proprietary vendor (AFIX </w:t>
      </w:r>
      <w:r w:rsidR="00DD02CF" w:rsidRPr="00992713">
        <w:rPr>
          <w:sz w:val="26"/>
          <w:szCs w:val="26"/>
        </w:rPr>
        <w:lastRenderedPageBreak/>
        <w:t>Tracker) which is different than the</w:t>
      </w:r>
      <w:r w:rsidR="00E669BC">
        <w:rPr>
          <w:sz w:val="26"/>
          <w:szCs w:val="26"/>
        </w:rPr>
        <w:t xml:space="preserve"> OSBI’s </w:t>
      </w:r>
      <w:proofErr w:type="spellStart"/>
      <w:r w:rsidR="00E669BC">
        <w:rPr>
          <w:sz w:val="26"/>
          <w:szCs w:val="26"/>
        </w:rPr>
        <w:t>Morpho</w:t>
      </w:r>
      <w:proofErr w:type="spellEnd"/>
      <w:r w:rsidR="00E669BC">
        <w:rPr>
          <w:sz w:val="26"/>
          <w:szCs w:val="26"/>
        </w:rPr>
        <w:t xml:space="preserve"> Track database. </w:t>
      </w:r>
      <w:r w:rsidR="00DD02CF" w:rsidRPr="00992713">
        <w:rPr>
          <w:sz w:val="26"/>
          <w:szCs w:val="26"/>
        </w:rPr>
        <w:t>This situation has not necessarily affected the OSBI’s latent print case backlog, but there have been a few situations when an unknown print was searched through the OSBI database with negative results and then searched through a local database with positive results</w:t>
      </w:r>
      <w:r>
        <w:rPr>
          <w:sz w:val="26"/>
          <w:szCs w:val="26"/>
        </w:rPr>
        <w:t>.</w:t>
      </w:r>
      <w:r w:rsidR="00DD02CF" w:rsidRPr="00992713">
        <w:rPr>
          <w:sz w:val="26"/>
          <w:szCs w:val="26"/>
        </w:rPr>
        <w:t xml:space="preserve"> This illustrates the problems created by the lack of interoperability between the different </w:t>
      </w:r>
      <w:r w:rsidR="00E669BC">
        <w:rPr>
          <w:sz w:val="26"/>
          <w:szCs w:val="26"/>
        </w:rPr>
        <w:t>print database systems. </w:t>
      </w:r>
      <w:r w:rsidR="00DD02CF" w:rsidRPr="00992713">
        <w:rPr>
          <w:sz w:val="26"/>
          <w:szCs w:val="26"/>
        </w:rPr>
        <w:t xml:space="preserve">Almost all of the local agencies that operate a print database are not ASCLD-LAB accredited nor are the operators IAI certified, so the OSBI is very hesitant to give them access to </w:t>
      </w:r>
      <w:r w:rsidR="00731DB1">
        <w:rPr>
          <w:sz w:val="26"/>
          <w:szCs w:val="26"/>
        </w:rPr>
        <w:t>the State</w:t>
      </w:r>
      <w:r w:rsidR="00DD02CF" w:rsidRPr="00992713">
        <w:rPr>
          <w:sz w:val="26"/>
          <w:szCs w:val="26"/>
        </w:rPr>
        <w:t xml:space="preserve"> database, even if it was technologically possible. </w:t>
      </w:r>
    </w:p>
    <w:p w:rsidR="00FA40A0" w:rsidRDefault="00FA40A0">
      <w:pPr>
        <w:rPr>
          <w:rFonts w:cs="Gill Sans MT"/>
          <w:b/>
          <w:bCs/>
          <w:sz w:val="26"/>
          <w:szCs w:val="26"/>
        </w:rPr>
      </w:pPr>
    </w:p>
    <w:p w:rsidR="00FA40A0" w:rsidRPr="00581C8C" w:rsidRDefault="00FA40A0" w:rsidP="00AC694C">
      <w:pPr>
        <w:rPr>
          <w:rFonts w:cs="Gill Sans MT"/>
          <w:b/>
          <w:bCs/>
          <w:sz w:val="26"/>
          <w:szCs w:val="26"/>
        </w:rPr>
      </w:pPr>
      <w:r w:rsidRPr="00581C8C">
        <w:rPr>
          <w:rFonts w:cs="Gill Sans MT"/>
          <w:b/>
          <w:bCs/>
          <w:sz w:val="26"/>
          <w:szCs w:val="26"/>
        </w:rPr>
        <w:t>Toxicology</w:t>
      </w:r>
    </w:p>
    <w:p w:rsidR="00FA40A0" w:rsidRDefault="00FA40A0" w:rsidP="00581C8C">
      <w:pPr>
        <w:rPr>
          <w:rFonts w:cs="Gill Sans MT"/>
          <w:sz w:val="26"/>
          <w:szCs w:val="26"/>
        </w:rPr>
      </w:pPr>
      <w:r w:rsidRPr="00B4640E">
        <w:rPr>
          <w:rFonts w:cs="Gill Sans MT"/>
          <w:sz w:val="26"/>
          <w:szCs w:val="26"/>
        </w:rPr>
        <w:t>The original case turnaround time for toxicology was 17 days</w:t>
      </w:r>
      <w:r w:rsidR="00E669BC">
        <w:rPr>
          <w:rFonts w:cs="Gill Sans MT"/>
          <w:sz w:val="26"/>
          <w:szCs w:val="26"/>
        </w:rPr>
        <w:t xml:space="preserve">. </w:t>
      </w:r>
      <w:r>
        <w:rPr>
          <w:rFonts w:cs="Gill Sans MT"/>
          <w:sz w:val="26"/>
          <w:szCs w:val="26"/>
        </w:rPr>
        <w:t>In June 2009, case turnaround peaked at 46 days but is down to 35 days in December 2009.</w:t>
      </w:r>
    </w:p>
    <w:p w:rsidR="00FA40A0" w:rsidRDefault="00FA40A0">
      <w:pPr>
        <w:rPr>
          <w:rFonts w:cs="Gill Sans MT"/>
          <w:b/>
          <w:bCs/>
          <w:sz w:val="26"/>
          <w:szCs w:val="26"/>
        </w:rPr>
      </w:pPr>
    </w:p>
    <w:p w:rsidR="00FA40A0" w:rsidRDefault="00731DB1" w:rsidP="00581C8C">
      <w:pPr>
        <w:jc w:val="center"/>
        <w:rPr>
          <w:rFonts w:cs="Gill Sans MT"/>
          <w:b/>
          <w:bCs/>
          <w:sz w:val="26"/>
          <w:szCs w:val="26"/>
        </w:rPr>
      </w:pPr>
      <w:r>
        <w:rPr>
          <w:noProof/>
        </w:rPr>
        <w:drawing>
          <wp:inline distT="0" distB="0" distL="0" distR="0" wp14:anchorId="71D14EC4" wp14:editId="05C7B76F">
            <wp:extent cx="5972175" cy="2466975"/>
            <wp:effectExtent l="0" t="0" r="9525" b="9525"/>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40A0" w:rsidRDefault="00FA40A0">
      <w:pPr>
        <w:rPr>
          <w:rFonts w:cs="Gill Sans MT"/>
          <w:b/>
          <w:bCs/>
          <w:sz w:val="26"/>
          <w:szCs w:val="26"/>
        </w:rPr>
      </w:pPr>
    </w:p>
    <w:p w:rsidR="00FA40A0" w:rsidRPr="00047A62" w:rsidRDefault="00FA40A0" w:rsidP="00410202">
      <w:pPr>
        <w:rPr>
          <w:rFonts w:cs="Gill Sans MT"/>
          <w:b/>
          <w:sz w:val="26"/>
          <w:szCs w:val="26"/>
        </w:rPr>
      </w:pPr>
      <w:r>
        <w:rPr>
          <w:rFonts w:cs="Gill Sans MT"/>
          <w:b/>
          <w:sz w:val="26"/>
          <w:szCs w:val="26"/>
        </w:rPr>
        <w:tab/>
      </w:r>
      <w:r w:rsidRPr="00047A62">
        <w:rPr>
          <w:rFonts w:cs="Gill Sans MT"/>
          <w:b/>
          <w:sz w:val="26"/>
          <w:szCs w:val="26"/>
        </w:rPr>
        <w:t>Barriers:</w:t>
      </w:r>
    </w:p>
    <w:p w:rsidR="00FA40A0" w:rsidRDefault="00FA40A0" w:rsidP="00410202">
      <w:pPr>
        <w:rPr>
          <w:rFonts w:cs="Gill Sans MT"/>
          <w:sz w:val="26"/>
          <w:szCs w:val="26"/>
        </w:rPr>
      </w:pPr>
      <w:r w:rsidRPr="00047A62">
        <w:rPr>
          <w:rFonts w:cs="Gill Sans MT"/>
          <w:sz w:val="26"/>
          <w:szCs w:val="26"/>
        </w:rPr>
        <w:tab/>
      </w:r>
      <w:r w:rsidRPr="00296CFC">
        <w:rPr>
          <w:rFonts w:cs="Gill Sans MT"/>
          <w:sz w:val="26"/>
          <w:szCs w:val="26"/>
        </w:rPr>
        <w:t xml:space="preserve">A number of factors are contributing to this increase in case turnaround including an </w:t>
      </w:r>
      <w:r w:rsidRPr="00296CFC">
        <w:rPr>
          <w:rFonts w:cs="Gill Sans MT"/>
          <w:sz w:val="26"/>
          <w:szCs w:val="26"/>
        </w:rPr>
        <w:tab/>
        <w:t xml:space="preserve">increasing caseload, greater demands for more extensive, in-depth testing in toxicology </w:t>
      </w:r>
      <w:r w:rsidRPr="00296CFC">
        <w:rPr>
          <w:rFonts w:cs="Gill Sans MT"/>
          <w:sz w:val="26"/>
          <w:szCs w:val="26"/>
        </w:rPr>
        <w:tab/>
        <w:t xml:space="preserve">as well as increasingly complex cases, instrumentation down-time, and personnel </w:t>
      </w:r>
      <w:r w:rsidRPr="00296CFC">
        <w:rPr>
          <w:rFonts w:cs="Gill Sans MT"/>
          <w:sz w:val="26"/>
          <w:szCs w:val="26"/>
        </w:rPr>
        <w:tab/>
        <w:t>turnover.</w:t>
      </w:r>
      <w:r>
        <w:rPr>
          <w:rFonts w:cs="Gill Sans MT"/>
          <w:sz w:val="26"/>
          <w:szCs w:val="26"/>
        </w:rPr>
        <w:t xml:space="preserve"> </w:t>
      </w:r>
    </w:p>
    <w:p w:rsidR="00AE0616" w:rsidRDefault="00AE0616">
      <w:pPr>
        <w:rPr>
          <w:rFonts w:cs="Gill Sans MT"/>
          <w:b/>
          <w:bCs/>
          <w:sz w:val="26"/>
          <w:szCs w:val="26"/>
        </w:rPr>
      </w:pPr>
    </w:p>
    <w:p w:rsidR="00FA40A0" w:rsidRPr="001E2463" w:rsidRDefault="00FA40A0">
      <w:pPr>
        <w:rPr>
          <w:rFonts w:cs="Gill Sans MT"/>
          <w:sz w:val="26"/>
          <w:szCs w:val="26"/>
        </w:rPr>
      </w:pPr>
      <w:r w:rsidRPr="001E2463">
        <w:rPr>
          <w:rFonts w:cs="Gill Sans MT"/>
          <w:b/>
          <w:bCs/>
          <w:sz w:val="26"/>
          <w:szCs w:val="26"/>
        </w:rPr>
        <w:t>REDUCING CASE BACKLOG</w:t>
      </w:r>
      <w:r w:rsidRPr="001E2463">
        <w:rPr>
          <w:rFonts w:cs="Gill Sans MT"/>
          <w:sz w:val="26"/>
          <w:szCs w:val="26"/>
        </w:rPr>
        <w:t xml:space="preserve"> </w:t>
      </w:r>
    </w:p>
    <w:p w:rsidR="00FA40A0" w:rsidRPr="001E2463" w:rsidRDefault="00FA40A0" w:rsidP="001E2463">
      <w:pPr>
        <w:pStyle w:val="BodyText"/>
        <w:rPr>
          <w:rFonts w:ascii="Gill Sans MT" w:hAnsi="Gill Sans MT" w:cs="Times New Roman"/>
          <w:sz w:val="26"/>
          <w:szCs w:val="26"/>
        </w:rPr>
      </w:pPr>
      <w:r w:rsidRPr="001E2463">
        <w:rPr>
          <w:rFonts w:ascii="Gill Sans MT" w:hAnsi="Gill Sans MT" w:cs="Times New Roman"/>
          <w:sz w:val="26"/>
          <w:szCs w:val="26"/>
        </w:rPr>
        <w:t>The assessment on the backlog reduction began in December 2005. At that time, there were a total of 5,222 cases across the seven dis</w:t>
      </w:r>
      <w:r w:rsidR="00E669BC">
        <w:rPr>
          <w:rFonts w:ascii="Gill Sans MT" w:hAnsi="Gill Sans MT" w:cs="Times New Roman"/>
          <w:sz w:val="26"/>
          <w:szCs w:val="26"/>
        </w:rPr>
        <w:t xml:space="preserve">ciplines that were backlogged. </w:t>
      </w:r>
      <w:r w:rsidRPr="001E2463">
        <w:rPr>
          <w:rFonts w:ascii="Gill Sans MT" w:hAnsi="Gill Sans MT" w:cs="Times New Roman"/>
          <w:sz w:val="26"/>
          <w:szCs w:val="26"/>
        </w:rPr>
        <w:t>Since that time, the case backlog has been assessed eight times which occurred in June 2006, December 2006, June 2007, December 2007, July 2008, December 2008, June 2009, December 2009</w:t>
      </w:r>
      <w:r w:rsidR="00AB4595">
        <w:rPr>
          <w:rFonts w:ascii="Gill Sans MT" w:hAnsi="Gill Sans MT" w:cs="Times New Roman"/>
          <w:sz w:val="26"/>
          <w:szCs w:val="26"/>
        </w:rPr>
        <w:t>, and June 2010</w:t>
      </w:r>
      <w:r w:rsidRPr="001E2463">
        <w:rPr>
          <w:rFonts w:ascii="Gill Sans MT" w:hAnsi="Gill Sans MT" w:cs="Times New Roman"/>
          <w:sz w:val="26"/>
          <w:szCs w:val="26"/>
        </w:rPr>
        <w:t>. As of the last assessment, there were a total of 2,</w:t>
      </w:r>
      <w:r w:rsidR="00AB4595">
        <w:rPr>
          <w:rFonts w:ascii="Gill Sans MT" w:hAnsi="Gill Sans MT" w:cs="Times New Roman"/>
          <w:sz w:val="26"/>
          <w:szCs w:val="26"/>
        </w:rPr>
        <w:t>290</w:t>
      </w:r>
      <w:r w:rsidRPr="001E2463">
        <w:rPr>
          <w:rFonts w:ascii="Gill Sans MT" w:hAnsi="Gill Sans MT" w:cs="Times New Roman"/>
          <w:sz w:val="26"/>
          <w:szCs w:val="26"/>
        </w:rPr>
        <w:t xml:space="preserve"> cases backlogged, a reduction of 2,</w:t>
      </w:r>
      <w:r w:rsidR="00AB4595">
        <w:rPr>
          <w:rFonts w:ascii="Gill Sans MT" w:hAnsi="Gill Sans MT" w:cs="Times New Roman"/>
          <w:sz w:val="26"/>
          <w:szCs w:val="26"/>
        </w:rPr>
        <w:t xml:space="preserve">932 </w:t>
      </w:r>
      <w:r w:rsidRPr="001E2463">
        <w:rPr>
          <w:rFonts w:ascii="Gill Sans MT" w:hAnsi="Gill Sans MT" w:cs="Times New Roman"/>
          <w:sz w:val="26"/>
          <w:szCs w:val="26"/>
        </w:rPr>
        <w:t xml:space="preserve">backlogged cases. </w:t>
      </w:r>
    </w:p>
    <w:p w:rsidR="00FA40A0" w:rsidRPr="001E2463" w:rsidRDefault="00FA40A0" w:rsidP="001E2463">
      <w:pPr>
        <w:pStyle w:val="BodyText"/>
        <w:rPr>
          <w:rFonts w:ascii="Gill Sans MT" w:hAnsi="Gill Sans MT"/>
          <w:sz w:val="26"/>
          <w:szCs w:val="26"/>
        </w:rPr>
      </w:pPr>
    </w:p>
    <w:p w:rsidR="00FA40A0" w:rsidRPr="001E2463" w:rsidRDefault="00FA40A0" w:rsidP="001E2463">
      <w:pPr>
        <w:pStyle w:val="BodyText"/>
        <w:rPr>
          <w:rFonts w:ascii="Gill Sans MT" w:hAnsi="Gill Sans MT" w:cs="Times New Roman"/>
          <w:sz w:val="26"/>
          <w:szCs w:val="26"/>
        </w:rPr>
      </w:pPr>
      <w:r w:rsidRPr="001E2463">
        <w:rPr>
          <w:rFonts w:ascii="Gill Sans MT" w:hAnsi="Gill Sans MT" w:cs="Times New Roman"/>
          <w:sz w:val="26"/>
          <w:szCs w:val="26"/>
        </w:rPr>
        <w:t xml:space="preserve">As of </w:t>
      </w:r>
      <w:r w:rsidR="00AB4595">
        <w:rPr>
          <w:rFonts w:ascii="Gill Sans MT" w:hAnsi="Gill Sans MT" w:cs="Times New Roman"/>
          <w:sz w:val="26"/>
          <w:szCs w:val="26"/>
        </w:rPr>
        <w:t>June 2010</w:t>
      </w:r>
      <w:r w:rsidRPr="001E2463">
        <w:rPr>
          <w:rFonts w:ascii="Gill Sans MT" w:hAnsi="Gill Sans MT" w:cs="Times New Roman"/>
          <w:sz w:val="26"/>
          <w:szCs w:val="26"/>
        </w:rPr>
        <w:t xml:space="preserve">, the greatest reduction was realized in </w:t>
      </w:r>
      <w:r w:rsidR="00AB4595">
        <w:rPr>
          <w:rFonts w:ascii="Gill Sans MT" w:hAnsi="Gill Sans MT" w:cs="Times New Roman"/>
          <w:sz w:val="26"/>
          <w:szCs w:val="26"/>
        </w:rPr>
        <w:t xml:space="preserve">Controlled Substances </w:t>
      </w:r>
      <w:r w:rsidR="00001A4A">
        <w:rPr>
          <w:rFonts w:ascii="Gill Sans MT" w:hAnsi="Gill Sans MT" w:cs="Times New Roman"/>
          <w:sz w:val="26"/>
          <w:szCs w:val="26"/>
        </w:rPr>
        <w:t xml:space="preserve">and </w:t>
      </w:r>
      <w:r w:rsidRPr="001E2463">
        <w:rPr>
          <w:rFonts w:ascii="Gill Sans MT" w:hAnsi="Gill Sans MT" w:cs="Times New Roman"/>
          <w:sz w:val="26"/>
          <w:szCs w:val="26"/>
        </w:rPr>
        <w:t xml:space="preserve">Latent Prints with </w:t>
      </w:r>
      <w:r w:rsidR="00731DB1">
        <w:rPr>
          <w:rFonts w:ascii="Gill Sans MT" w:hAnsi="Gill Sans MT" w:cs="Times New Roman"/>
          <w:sz w:val="26"/>
          <w:szCs w:val="26"/>
        </w:rPr>
        <w:t xml:space="preserve">a backlog reduction of </w:t>
      </w:r>
      <w:r w:rsidR="00AB4595">
        <w:rPr>
          <w:rFonts w:ascii="Gill Sans MT" w:hAnsi="Gill Sans MT" w:cs="Times New Roman"/>
          <w:sz w:val="26"/>
          <w:szCs w:val="26"/>
        </w:rPr>
        <w:t>1,072</w:t>
      </w:r>
      <w:r w:rsidRPr="001E2463">
        <w:rPr>
          <w:rFonts w:ascii="Gill Sans MT" w:hAnsi="Gill Sans MT" w:cs="Times New Roman"/>
          <w:sz w:val="26"/>
          <w:szCs w:val="26"/>
        </w:rPr>
        <w:t xml:space="preserve"> cases since the initial survey</w:t>
      </w:r>
      <w:r w:rsidR="00AB4595">
        <w:rPr>
          <w:rFonts w:ascii="Gill Sans MT" w:hAnsi="Gill Sans MT" w:cs="Times New Roman"/>
          <w:sz w:val="26"/>
          <w:szCs w:val="26"/>
        </w:rPr>
        <w:t xml:space="preserve"> followed closely with Latent Prints which has been reduced by 1,062 cases. </w:t>
      </w:r>
      <w:r w:rsidRPr="001E2463">
        <w:rPr>
          <w:rFonts w:ascii="Gill Sans MT" w:hAnsi="Gill Sans MT" w:cs="Times New Roman"/>
          <w:sz w:val="26"/>
          <w:szCs w:val="26"/>
        </w:rPr>
        <w:t xml:space="preserve">This is followed by </w:t>
      </w:r>
      <w:r w:rsidR="00AB4595">
        <w:rPr>
          <w:rFonts w:ascii="Gill Sans MT" w:hAnsi="Gill Sans MT" w:cs="Times New Roman"/>
          <w:sz w:val="26"/>
          <w:szCs w:val="26"/>
        </w:rPr>
        <w:t>T</w:t>
      </w:r>
      <w:r w:rsidRPr="001E2463">
        <w:rPr>
          <w:rFonts w:ascii="Gill Sans MT" w:hAnsi="Gill Sans MT" w:cs="Times New Roman"/>
          <w:sz w:val="26"/>
          <w:szCs w:val="26"/>
        </w:rPr>
        <w:t xml:space="preserve">race Evidence with </w:t>
      </w:r>
      <w:r w:rsidR="00731DB1">
        <w:rPr>
          <w:rFonts w:ascii="Gill Sans MT" w:hAnsi="Gill Sans MT" w:cs="Times New Roman"/>
          <w:sz w:val="26"/>
          <w:szCs w:val="26"/>
        </w:rPr>
        <w:lastRenderedPageBreak/>
        <w:t xml:space="preserve">a reduction of </w:t>
      </w:r>
      <w:r w:rsidRPr="001E2463">
        <w:rPr>
          <w:rFonts w:ascii="Gill Sans MT" w:hAnsi="Gill Sans MT" w:cs="Times New Roman"/>
          <w:sz w:val="26"/>
          <w:szCs w:val="26"/>
        </w:rPr>
        <w:t xml:space="preserve">421 cases, Biology </w:t>
      </w:r>
      <w:r w:rsidR="00731DB1">
        <w:rPr>
          <w:rFonts w:ascii="Gill Sans MT" w:hAnsi="Gill Sans MT" w:cs="Times New Roman"/>
          <w:sz w:val="26"/>
          <w:szCs w:val="26"/>
        </w:rPr>
        <w:t xml:space="preserve">with a reduction of </w:t>
      </w:r>
      <w:r w:rsidR="00AB4595">
        <w:rPr>
          <w:rFonts w:ascii="Gill Sans MT" w:hAnsi="Gill Sans MT" w:cs="Times New Roman"/>
          <w:sz w:val="26"/>
          <w:szCs w:val="26"/>
        </w:rPr>
        <w:t>575</w:t>
      </w:r>
      <w:r w:rsidR="00731DB1">
        <w:rPr>
          <w:rFonts w:ascii="Gill Sans MT" w:hAnsi="Gill Sans MT" w:cs="Times New Roman"/>
          <w:sz w:val="26"/>
          <w:szCs w:val="26"/>
        </w:rPr>
        <w:t xml:space="preserve"> cases</w:t>
      </w:r>
      <w:r w:rsidRPr="001E2463">
        <w:rPr>
          <w:rFonts w:ascii="Gill Sans MT" w:hAnsi="Gill Sans MT" w:cs="Times New Roman"/>
          <w:sz w:val="26"/>
          <w:szCs w:val="26"/>
        </w:rPr>
        <w:t xml:space="preserve">, Toxicology </w:t>
      </w:r>
      <w:r w:rsidR="00731DB1">
        <w:rPr>
          <w:rFonts w:ascii="Gill Sans MT" w:hAnsi="Gill Sans MT" w:cs="Times New Roman"/>
          <w:sz w:val="26"/>
          <w:szCs w:val="26"/>
        </w:rPr>
        <w:t xml:space="preserve">with a reduction of </w:t>
      </w:r>
      <w:r w:rsidR="00AB4595">
        <w:rPr>
          <w:rFonts w:ascii="Gill Sans MT" w:hAnsi="Gill Sans MT" w:cs="Times New Roman"/>
          <w:sz w:val="26"/>
          <w:szCs w:val="26"/>
        </w:rPr>
        <w:t>495</w:t>
      </w:r>
      <w:r w:rsidRPr="001E2463">
        <w:rPr>
          <w:rFonts w:ascii="Gill Sans MT" w:hAnsi="Gill Sans MT" w:cs="Times New Roman"/>
          <w:sz w:val="26"/>
          <w:szCs w:val="26"/>
        </w:rPr>
        <w:t xml:space="preserve"> cases, and </w:t>
      </w:r>
      <w:r w:rsidR="00AB4595">
        <w:rPr>
          <w:rFonts w:ascii="Gill Sans MT" w:hAnsi="Gill Sans MT" w:cs="Times New Roman"/>
          <w:sz w:val="26"/>
          <w:szCs w:val="26"/>
        </w:rPr>
        <w:t>Trace Evidence wi</w:t>
      </w:r>
      <w:r w:rsidR="00F44285">
        <w:rPr>
          <w:rFonts w:ascii="Gill Sans MT" w:hAnsi="Gill Sans MT" w:cs="Times New Roman"/>
          <w:sz w:val="26"/>
          <w:szCs w:val="26"/>
        </w:rPr>
        <w:t>th 4,137 cases</w:t>
      </w:r>
      <w:r w:rsidR="00AB4595">
        <w:rPr>
          <w:rFonts w:ascii="Gill Sans MT" w:hAnsi="Gill Sans MT" w:cs="Times New Roman"/>
          <w:sz w:val="26"/>
          <w:szCs w:val="26"/>
        </w:rPr>
        <w:t xml:space="preserve"> and</w:t>
      </w:r>
      <w:r w:rsidR="00947C53">
        <w:rPr>
          <w:rFonts w:ascii="Gill Sans MT" w:hAnsi="Gill Sans MT" w:cs="Times New Roman"/>
          <w:sz w:val="26"/>
          <w:szCs w:val="26"/>
        </w:rPr>
        <w:t xml:space="preserve"> </w:t>
      </w:r>
      <w:r w:rsidRPr="001E2463">
        <w:rPr>
          <w:rFonts w:ascii="Gill Sans MT" w:hAnsi="Gill Sans MT" w:cs="Times New Roman"/>
          <w:sz w:val="26"/>
          <w:szCs w:val="26"/>
        </w:rPr>
        <w:t xml:space="preserve">Questioned Documents </w:t>
      </w:r>
      <w:r w:rsidR="00731DB1">
        <w:rPr>
          <w:rFonts w:ascii="Gill Sans MT" w:hAnsi="Gill Sans MT" w:cs="Times New Roman"/>
          <w:sz w:val="26"/>
          <w:szCs w:val="26"/>
        </w:rPr>
        <w:t xml:space="preserve">with a reduction of </w:t>
      </w:r>
      <w:r w:rsidR="00A625BA">
        <w:rPr>
          <w:rFonts w:ascii="Gill Sans MT" w:hAnsi="Gill Sans MT" w:cs="Times New Roman"/>
          <w:sz w:val="26"/>
          <w:szCs w:val="26"/>
        </w:rPr>
        <w:t>51</w:t>
      </w:r>
      <w:r w:rsidR="00731DB1">
        <w:rPr>
          <w:rFonts w:ascii="Gill Sans MT" w:hAnsi="Gill Sans MT" w:cs="Times New Roman"/>
          <w:sz w:val="26"/>
          <w:szCs w:val="26"/>
        </w:rPr>
        <w:t xml:space="preserve"> cases</w:t>
      </w:r>
      <w:r w:rsidRPr="001E2463">
        <w:rPr>
          <w:rFonts w:ascii="Gill Sans MT" w:hAnsi="Gill Sans MT" w:cs="Times New Roman"/>
          <w:sz w:val="26"/>
          <w:szCs w:val="26"/>
        </w:rPr>
        <w:t xml:space="preserve">. There was an increase in the backlog of cases in Firearms and </w:t>
      </w:r>
      <w:r>
        <w:rPr>
          <w:rFonts w:ascii="Gill Sans MT" w:hAnsi="Gill Sans MT" w:cs="Times New Roman"/>
          <w:sz w:val="26"/>
          <w:szCs w:val="26"/>
        </w:rPr>
        <w:t>Tool Marks</w:t>
      </w:r>
      <w:r w:rsidR="00A625BA">
        <w:rPr>
          <w:rFonts w:ascii="Gill Sans MT" w:hAnsi="Gill Sans MT" w:cs="Times New Roman"/>
          <w:sz w:val="26"/>
          <w:szCs w:val="26"/>
        </w:rPr>
        <w:t xml:space="preserve"> by 758</w:t>
      </w:r>
      <w:r w:rsidRPr="001E2463">
        <w:rPr>
          <w:rFonts w:ascii="Gill Sans MT" w:hAnsi="Gill Sans MT" w:cs="Times New Roman"/>
          <w:sz w:val="26"/>
          <w:szCs w:val="26"/>
        </w:rPr>
        <w:t xml:space="preserve"> cases.  </w:t>
      </w:r>
    </w:p>
    <w:p w:rsidR="00FA40A0" w:rsidRDefault="00FA40A0">
      <w:pPr>
        <w:rPr>
          <w:rFonts w:cs="Gill Sans MT"/>
          <w:sz w:val="26"/>
          <w:szCs w:val="26"/>
        </w:rPr>
      </w:pPr>
    </w:p>
    <w:tbl>
      <w:tblPr>
        <w:tblW w:w="10358" w:type="dxa"/>
        <w:tblLayout w:type="fixed"/>
        <w:tblLook w:val="0000" w:firstRow="0" w:lastRow="0" w:firstColumn="0" w:lastColumn="0" w:noHBand="0" w:noVBand="0"/>
      </w:tblPr>
      <w:tblGrid>
        <w:gridCol w:w="1828"/>
        <w:gridCol w:w="1250"/>
        <w:gridCol w:w="990"/>
        <w:gridCol w:w="1080"/>
        <w:gridCol w:w="1250"/>
        <w:gridCol w:w="820"/>
        <w:gridCol w:w="990"/>
        <w:gridCol w:w="980"/>
        <w:gridCol w:w="1170"/>
      </w:tblGrid>
      <w:tr w:rsidR="00FA40A0" w:rsidRPr="00A05C22" w:rsidTr="007F2E12">
        <w:trPr>
          <w:trHeight w:val="917"/>
        </w:trPr>
        <w:tc>
          <w:tcPr>
            <w:tcW w:w="10358" w:type="dxa"/>
            <w:gridSpan w:val="9"/>
            <w:tcBorders>
              <w:top w:val="single" w:sz="24" w:space="0" w:color="7F7F7F"/>
              <w:left w:val="single" w:sz="24" w:space="0" w:color="7F7F7F"/>
              <w:bottom w:val="single" w:sz="6" w:space="0" w:color="7F7F7F"/>
              <w:right w:val="single" w:sz="24" w:space="0" w:color="7F7F7F"/>
            </w:tcBorders>
          </w:tcPr>
          <w:p w:rsidR="00FA40A0" w:rsidRPr="00A05C22" w:rsidRDefault="00FA40A0">
            <w:pPr>
              <w:rPr>
                <w:rFonts w:cs="Arial"/>
                <w:sz w:val="26"/>
                <w:szCs w:val="26"/>
              </w:rPr>
            </w:pPr>
          </w:p>
          <w:p w:rsidR="00FA40A0" w:rsidRPr="00A05C22" w:rsidRDefault="00FA40A0">
            <w:pPr>
              <w:jc w:val="center"/>
              <w:rPr>
                <w:rFonts w:cs="Arial"/>
                <w:b/>
                <w:bCs/>
                <w:sz w:val="26"/>
                <w:szCs w:val="26"/>
              </w:rPr>
            </w:pPr>
            <w:r w:rsidRPr="00A05C22">
              <w:rPr>
                <w:rFonts w:cs="Arial"/>
                <w:b/>
                <w:bCs/>
                <w:sz w:val="26"/>
                <w:szCs w:val="26"/>
              </w:rPr>
              <w:t>CASE BACKLOG COMPARISON BY FORENSIC LAB DISCIPLINE</w:t>
            </w:r>
          </w:p>
          <w:p w:rsidR="00FA40A0" w:rsidRPr="00A05C22" w:rsidRDefault="00E669BC">
            <w:pPr>
              <w:jc w:val="center"/>
              <w:rPr>
                <w:rFonts w:cs="Arial"/>
                <w:b/>
                <w:bCs/>
                <w:sz w:val="26"/>
                <w:szCs w:val="26"/>
              </w:rPr>
            </w:pPr>
            <w:r>
              <w:rPr>
                <w:rFonts w:cs="Arial"/>
                <w:b/>
                <w:bCs/>
                <w:sz w:val="26"/>
                <w:szCs w:val="26"/>
              </w:rPr>
              <w:t>2005 - 2010</w:t>
            </w:r>
          </w:p>
          <w:p w:rsidR="00FA40A0" w:rsidRPr="00A05C22" w:rsidRDefault="00FA40A0">
            <w:pPr>
              <w:jc w:val="center"/>
              <w:rPr>
                <w:rFonts w:cs="Arial"/>
                <w:sz w:val="26"/>
                <w:szCs w:val="26"/>
              </w:rPr>
            </w:pPr>
          </w:p>
        </w:tc>
      </w:tr>
      <w:tr w:rsidR="00FA40A0" w:rsidRPr="00A05C22" w:rsidTr="007F2E12">
        <w:trPr>
          <w:cantSplit/>
          <w:trHeight w:val="1645"/>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sz w:val="26"/>
                <w:szCs w:val="26"/>
              </w:rPr>
            </w:pPr>
          </w:p>
        </w:tc>
        <w:tc>
          <w:tcPr>
            <w:tcW w:w="125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Controlled Substances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Biology</w:t>
            </w:r>
          </w:p>
        </w:tc>
        <w:tc>
          <w:tcPr>
            <w:tcW w:w="108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Firearms and Tool Marks</w:t>
            </w:r>
          </w:p>
        </w:tc>
        <w:tc>
          <w:tcPr>
            <w:tcW w:w="125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Latent Prints</w:t>
            </w:r>
          </w:p>
        </w:tc>
        <w:tc>
          <w:tcPr>
            <w:tcW w:w="82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Questioned Documents</w:t>
            </w:r>
          </w:p>
        </w:tc>
        <w:tc>
          <w:tcPr>
            <w:tcW w:w="99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Toxicology</w:t>
            </w:r>
          </w:p>
        </w:tc>
        <w:tc>
          <w:tcPr>
            <w:tcW w:w="980" w:type="dxa"/>
            <w:tcBorders>
              <w:top w:val="single" w:sz="6" w:space="0" w:color="7F7F7F"/>
              <w:left w:val="single" w:sz="6" w:space="0" w:color="7F7F7F"/>
              <w:bottom w:val="single" w:sz="6" w:space="0" w:color="7F7F7F"/>
              <w:right w:val="single" w:sz="6" w:space="0" w:color="7F7F7F"/>
            </w:tcBorders>
            <w:textDirection w:val="btLr"/>
          </w:tcPr>
          <w:p w:rsidR="00FA40A0" w:rsidRPr="00A05C22" w:rsidRDefault="00FA40A0" w:rsidP="001F0B56">
            <w:pPr>
              <w:ind w:left="113" w:right="113"/>
              <w:rPr>
                <w:rFonts w:cs="Arial"/>
                <w:b/>
                <w:bCs/>
                <w:sz w:val="26"/>
                <w:szCs w:val="26"/>
              </w:rPr>
            </w:pPr>
            <w:r w:rsidRPr="00A05C22">
              <w:rPr>
                <w:rFonts w:cs="Arial"/>
                <w:b/>
                <w:bCs/>
                <w:sz w:val="26"/>
                <w:szCs w:val="26"/>
              </w:rPr>
              <w:t>Trace Evidence</w:t>
            </w:r>
          </w:p>
        </w:tc>
        <w:tc>
          <w:tcPr>
            <w:tcW w:w="1170" w:type="dxa"/>
            <w:tcBorders>
              <w:top w:val="single" w:sz="6" w:space="0" w:color="7F7F7F"/>
              <w:left w:val="single" w:sz="6" w:space="0" w:color="7F7F7F"/>
              <w:bottom w:val="single" w:sz="6" w:space="0" w:color="7F7F7F"/>
              <w:right w:val="single" w:sz="24" w:space="0" w:color="7F7F7F"/>
            </w:tcBorders>
            <w:textDirection w:val="btLr"/>
          </w:tcPr>
          <w:p w:rsidR="00FA40A0" w:rsidRPr="00A05C22" w:rsidRDefault="00FA40A0">
            <w:pPr>
              <w:ind w:left="113" w:right="113"/>
              <w:rPr>
                <w:rFonts w:cs="Arial"/>
                <w:b/>
                <w:bCs/>
                <w:sz w:val="26"/>
                <w:szCs w:val="26"/>
              </w:rPr>
            </w:pPr>
            <w:r w:rsidRPr="00A05C22">
              <w:rPr>
                <w:rFonts w:cs="Arial"/>
                <w:b/>
                <w:bCs/>
                <w:sz w:val="26"/>
                <w:szCs w:val="26"/>
              </w:rPr>
              <w:t>Total</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Dec 2005</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1199</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765</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794</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1338</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68</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607</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451</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5222</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June 2006</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 xml:space="preserve"> 770</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541</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1317</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1377</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30</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768</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146</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4949</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Dec 2006</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 xml:space="preserve"> 673</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652</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1203</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 xml:space="preserve"> 829</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28</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474</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108</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3967</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June 2007</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 xml:space="preserve"> 675</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742</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1360</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 xml:space="preserve"> 781</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34</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629</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111</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4332</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Dec 2007</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897</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642</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1304</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777</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34</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702</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86</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4442</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July 2008</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527</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486</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1570</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1725</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32</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858</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93</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5291</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Dec 2008</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592</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529</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1510</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441</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14</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711</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67</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3864</w:t>
            </w: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June 2009</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640</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445</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1492</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448</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21</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772</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73</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3891</w:t>
            </w:r>
          </w:p>
          <w:p w:rsidR="00FA40A0" w:rsidRPr="00A05C22" w:rsidRDefault="00FA40A0">
            <w:pPr>
              <w:jc w:val="center"/>
              <w:rPr>
                <w:rFonts w:cs="Arial"/>
                <w:sz w:val="26"/>
                <w:szCs w:val="26"/>
              </w:rPr>
            </w:pPr>
          </w:p>
        </w:tc>
      </w:tr>
      <w:tr w:rsidR="00FA40A0"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FA40A0" w:rsidRPr="00A05C22" w:rsidRDefault="00FA40A0">
            <w:pPr>
              <w:rPr>
                <w:rFonts w:cs="Arial"/>
                <w:b/>
                <w:bCs/>
                <w:sz w:val="26"/>
                <w:szCs w:val="26"/>
              </w:rPr>
            </w:pPr>
            <w:r w:rsidRPr="00A05C22">
              <w:rPr>
                <w:rFonts w:cs="Arial"/>
                <w:b/>
                <w:bCs/>
                <w:sz w:val="26"/>
                <w:szCs w:val="26"/>
              </w:rPr>
              <w:t>Dec 2009</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220</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347</w:t>
            </w:r>
          </w:p>
        </w:tc>
        <w:tc>
          <w:tcPr>
            <w:tcW w:w="10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1700</w:t>
            </w:r>
          </w:p>
        </w:tc>
        <w:tc>
          <w:tcPr>
            <w:tcW w:w="125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329</w:t>
            </w:r>
          </w:p>
        </w:tc>
        <w:tc>
          <w:tcPr>
            <w:tcW w:w="82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23</w:t>
            </w:r>
          </w:p>
        </w:tc>
        <w:tc>
          <w:tcPr>
            <w:tcW w:w="99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221</w:t>
            </w:r>
          </w:p>
        </w:tc>
        <w:tc>
          <w:tcPr>
            <w:tcW w:w="980" w:type="dxa"/>
            <w:tcBorders>
              <w:top w:val="single" w:sz="6" w:space="0" w:color="7F7F7F"/>
              <w:left w:val="single" w:sz="6" w:space="0" w:color="7F7F7F"/>
              <w:bottom w:val="single" w:sz="6" w:space="0" w:color="7F7F7F"/>
              <w:right w:val="single" w:sz="6" w:space="0" w:color="7F7F7F"/>
            </w:tcBorders>
          </w:tcPr>
          <w:p w:rsidR="00FA40A0" w:rsidRPr="00A05C22" w:rsidRDefault="00FA40A0" w:rsidP="001F0B56">
            <w:pPr>
              <w:jc w:val="center"/>
              <w:rPr>
                <w:rFonts w:cs="Arial"/>
                <w:sz w:val="26"/>
                <w:szCs w:val="26"/>
              </w:rPr>
            </w:pPr>
            <w:r w:rsidRPr="00A05C22">
              <w:rPr>
                <w:rFonts w:cs="Arial"/>
                <w:sz w:val="26"/>
                <w:szCs w:val="26"/>
              </w:rPr>
              <w:t>30</w:t>
            </w:r>
          </w:p>
        </w:tc>
        <w:tc>
          <w:tcPr>
            <w:tcW w:w="1170" w:type="dxa"/>
            <w:tcBorders>
              <w:top w:val="single" w:sz="6" w:space="0" w:color="7F7F7F"/>
              <w:left w:val="single" w:sz="6" w:space="0" w:color="7F7F7F"/>
              <w:bottom w:val="single" w:sz="6" w:space="0" w:color="7F7F7F"/>
              <w:right w:val="single" w:sz="24" w:space="0" w:color="7F7F7F"/>
            </w:tcBorders>
          </w:tcPr>
          <w:p w:rsidR="00FA40A0" w:rsidRPr="00A05C22" w:rsidRDefault="00FA40A0">
            <w:pPr>
              <w:jc w:val="center"/>
              <w:rPr>
                <w:rFonts w:cs="Arial"/>
                <w:sz w:val="26"/>
                <w:szCs w:val="26"/>
              </w:rPr>
            </w:pPr>
            <w:r w:rsidRPr="00A05C22">
              <w:rPr>
                <w:rFonts w:cs="Arial"/>
                <w:sz w:val="26"/>
                <w:szCs w:val="26"/>
              </w:rPr>
              <w:t>2870</w:t>
            </w:r>
          </w:p>
        </w:tc>
      </w:tr>
      <w:tr w:rsidR="007F2E12" w:rsidRPr="00A05C22" w:rsidTr="007F2E12">
        <w:trPr>
          <w:trHeight w:val="432"/>
        </w:trPr>
        <w:tc>
          <w:tcPr>
            <w:tcW w:w="1828" w:type="dxa"/>
            <w:tcBorders>
              <w:top w:val="single" w:sz="6" w:space="0" w:color="7F7F7F"/>
              <w:left w:val="single" w:sz="24" w:space="0" w:color="7F7F7F"/>
              <w:bottom w:val="single" w:sz="6" w:space="0" w:color="7F7F7F"/>
              <w:right w:val="single" w:sz="6" w:space="0" w:color="7F7F7F"/>
            </w:tcBorders>
          </w:tcPr>
          <w:p w:rsidR="007F2E12" w:rsidRPr="00A05C22" w:rsidRDefault="007F2E12">
            <w:pPr>
              <w:rPr>
                <w:rFonts w:cs="Arial"/>
                <w:b/>
                <w:bCs/>
                <w:sz w:val="26"/>
                <w:szCs w:val="26"/>
              </w:rPr>
            </w:pPr>
            <w:r>
              <w:rPr>
                <w:rFonts w:cs="Arial"/>
                <w:b/>
                <w:bCs/>
                <w:sz w:val="26"/>
                <w:szCs w:val="26"/>
              </w:rPr>
              <w:t>June 2010</w:t>
            </w:r>
          </w:p>
        </w:tc>
        <w:tc>
          <w:tcPr>
            <w:tcW w:w="125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127</w:t>
            </w:r>
          </w:p>
        </w:tc>
        <w:tc>
          <w:tcPr>
            <w:tcW w:w="99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192</w:t>
            </w:r>
          </w:p>
        </w:tc>
        <w:tc>
          <w:tcPr>
            <w:tcW w:w="108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1552</w:t>
            </w:r>
          </w:p>
        </w:tc>
        <w:tc>
          <w:tcPr>
            <w:tcW w:w="125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276</w:t>
            </w:r>
          </w:p>
        </w:tc>
        <w:tc>
          <w:tcPr>
            <w:tcW w:w="82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17</w:t>
            </w:r>
          </w:p>
        </w:tc>
        <w:tc>
          <w:tcPr>
            <w:tcW w:w="99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112</w:t>
            </w:r>
          </w:p>
        </w:tc>
        <w:tc>
          <w:tcPr>
            <w:tcW w:w="980" w:type="dxa"/>
            <w:tcBorders>
              <w:top w:val="single" w:sz="6" w:space="0" w:color="7F7F7F"/>
              <w:left w:val="single" w:sz="6" w:space="0" w:color="7F7F7F"/>
              <w:bottom w:val="single" w:sz="6" w:space="0" w:color="7F7F7F"/>
              <w:right w:val="single" w:sz="6" w:space="0" w:color="7F7F7F"/>
            </w:tcBorders>
          </w:tcPr>
          <w:p w:rsidR="007F2E12" w:rsidRPr="00A05C22" w:rsidRDefault="007F2E12" w:rsidP="001F0B56">
            <w:pPr>
              <w:jc w:val="center"/>
              <w:rPr>
                <w:rFonts w:cs="Arial"/>
                <w:sz w:val="26"/>
                <w:szCs w:val="26"/>
              </w:rPr>
            </w:pPr>
            <w:r>
              <w:rPr>
                <w:rFonts w:cs="Arial"/>
                <w:sz w:val="26"/>
                <w:szCs w:val="26"/>
              </w:rPr>
              <w:t>14</w:t>
            </w:r>
          </w:p>
        </w:tc>
        <w:tc>
          <w:tcPr>
            <w:tcW w:w="1170" w:type="dxa"/>
            <w:tcBorders>
              <w:top w:val="single" w:sz="6" w:space="0" w:color="7F7F7F"/>
              <w:left w:val="single" w:sz="6" w:space="0" w:color="7F7F7F"/>
              <w:bottom w:val="single" w:sz="6" w:space="0" w:color="7F7F7F"/>
              <w:right w:val="single" w:sz="24" w:space="0" w:color="7F7F7F"/>
            </w:tcBorders>
          </w:tcPr>
          <w:p w:rsidR="007F2E12" w:rsidRPr="00A05C22" w:rsidRDefault="007F2E12">
            <w:pPr>
              <w:jc w:val="center"/>
              <w:rPr>
                <w:rFonts w:cs="Arial"/>
                <w:sz w:val="26"/>
                <w:szCs w:val="26"/>
              </w:rPr>
            </w:pPr>
            <w:r>
              <w:rPr>
                <w:rFonts w:cs="Arial"/>
                <w:sz w:val="26"/>
                <w:szCs w:val="26"/>
              </w:rPr>
              <w:t>2290</w:t>
            </w:r>
          </w:p>
        </w:tc>
      </w:tr>
      <w:tr w:rsidR="00FA40A0" w:rsidRPr="00A05C22" w:rsidTr="007F2E12">
        <w:trPr>
          <w:trHeight w:val="715"/>
        </w:trPr>
        <w:tc>
          <w:tcPr>
            <w:tcW w:w="1828" w:type="dxa"/>
            <w:tcBorders>
              <w:top w:val="single" w:sz="6" w:space="0" w:color="7F7F7F"/>
              <w:left w:val="single" w:sz="24" w:space="0" w:color="7F7F7F"/>
              <w:bottom w:val="single" w:sz="24" w:space="0" w:color="7F7F7F"/>
              <w:right w:val="single" w:sz="6" w:space="0" w:color="7F7F7F"/>
            </w:tcBorders>
          </w:tcPr>
          <w:p w:rsidR="00FA40A0" w:rsidRPr="00A05C22" w:rsidRDefault="00FA40A0">
            <w:pPr>
              <w:jc w:val="center"/>
              <w:rPr>
                <w:rFonts w:cs="Arial"/>
                <w:b/>
                <w:bCs/>
                <w:sz w:val="26"/>
                <w:szCs w:val="26"/>
              </w:rPr>
            </w:pPr>
            <w:r w:rsidRPr="00A05C22">
              <w:rPr>
                <w:rFonts w:cs="Arial"/>
                <w:b/>
                <w:bCs/>
                <w:sz w:val="26"/>
                <w:szCs w:val="26"/>
              </w:rPr>
              <w:t>&lt;Decrease&gt;</w:t>
            </w:r>
          </w:p>
          <w:p w:rsidR="00FA40A0" w:rsidRPr="00A05C22" w:rsidRDefault="00FA40A0">
            <w:pPr>
              <w:jc w:val="center"/>
              <w:rPr>
                <w:rFonts w:cs="Arial"/>
                <w:b/>
                <w:bCs/>
                <w:sz w:val="26"/>
                <w:szCs w:val="26"/>
              </w:rPr>
            </w:pPr>
            <w:r w:rsidRPr="00A05C22">
              <w:rPr>
                <w:rFonts w:cs="Arial"/>
                <w:b/>
                <w:bCs/>
                <w:sz w:val="26"/>
                <w:szCs w:val="26"/>
              </w:rPr>
              <w:t>Increase</w:t>
            </w:r>
          </w:p>
          <w:p w:rsidR="00FA40A0" w:rsidRPr="00A05C22" w:rsidRDefault="00FA40A0">
            <w:pPr>
              <w:jc w:val="center"/>
              <w:rPr>
                <w:rFonts w:cs="Arial"/>
                <w:b/>
                <w:bCs/>
                <w:sz w:val="26"/>
                <w:szCs w:val="26"/>
              </w:rPr>
            </w:pPr>
            <w:r w:rsidRPr="00A05C22">
              <w:rPr>
                <w:rFonts w:cs="Arial"/>
                <w:b/>
                <w:bCs/>
                <w:sz w:val="26"/>
                <w:szCs w:val="26"/>
              </w:rPr>
              <w:t>Since 2005</w:t>
            </w:r>
          </w:p>
        </w:tc>
        <w:tc>
          <w:tcPr>
            <w:tcW w:w="1250" w:type="dxa"/>
            <w:tcBorders>
              <w:top w:val="single" w:sz="6" w:space="0" w:color="7F7F7F"/>
              <w:left w:val="single" w:sz="6" w:space="0" w:color="7F7F7F"/>
              <w:bottom w:val="single" w:sz="24" w:space="0" w:color="7F7F7F"/>
              <w:right w:val="single" w:sz="6" w:space="0" w:color="7F7F7F"/>
            </w:tcBorders>
          </w:tcPr>
          <w:p w:rsidR="00FA40A0" w:rsidRPr="00A05C22" w:rsidRDefault="00FA40A0" w:rsidP="007F2E12">
            <w:pPr>
              <w:jc w:val="center"/>
              <w:rPr>
                <w:rFonts w:cs="Arial"/>
                <w:b/>
                <w:bCs/>
                <w:sz w:val="26"/>
                <w:szCs w:val="26"/>
              </w:rPr>
            </w:pPr>
            <w:r w:rsidRPr="00A05C22">
              <w:rPr>
                <w:rFonts w:cs="Arial"/>
                <w:b/>
                <w:bCs/>
                <w:sz w:val="26"/>
                <w:szCs w:val="26"/>
              </w:rPr>
              <w:t>&lt;</w:t>
            </w:r>
            <w:r w:rsidR="007F2E12">
              <w:rPr>
                <w:rFonts w:cs="Arial"/>
                <w:b/>
                <w:bCs/>
                <w:sz w:val="26"/>
                <w:szCs w:val="26"/>
              </w:rPr>
              <w:t>1072</w:t>
            </w:r>
            <w:r w:rsidRPr="00A05C22">
              <w:rPr>
                <w:rFonts w:cs="Arial"/>
                <w:b/>
                <w:bCs/>
                <w:sz w:val="26"/>
                <w:szCs w:val="26"/>
              </w:rPr>
              <w:t>&gt;</w:t>
            </w:r>
          </w:p>
        </w:tc>
        <w:tc>
          <w:tcPr>
            <w:tcW w:w="990" w:type="dxa"/>
            <w:tcBorders>
              <w:top w:val="single" w:sz="6" w:space="0" w:color="7F7F7F"/>
              <w:left w:val="single" w:sz="6" w:space="0" w:color="7F7F7F"/>
              <w:bottom w:val="single" w:sz="24" w:space="0" w:color="7F7F7F"/>
              <w:right w:val="single" w:sz="6" w:space="0" w:color="7F7F7F"/>
            </w:tcBorders>
          </w:tcPr>
          <w:p w:rsidR="00FA40A0" w:rsidRPr="00A05C22" w:rsidRDefault="00FA40A0" w:rsidP="007F2E12">
            <w:pPr>
              <w:jc w:val="center"/>
              <w:rPr>
                <w:rFonts w:cs="Arial"/>
                <w:b/>
                <w:bCs/>
                <w:sz w:val="26"/>
                <w:szCs w:val="26"/>
              </w:rPr>
            </w:pPr>
            <w:r w:rsidRPr="00A05C22">
              <w:rPr>
                <w:rFonts w:cs="Arial"/>
                <w:b/>
                <w:bCs/>
                <w:sz w:val="26"/>
                <w:szCs w:val="26"/>
              </w:rPr>
              <w:t>&lt;</w:t>
            </w:r>
            <w:r w:rsidR="007F2E12">
              <w:rPr>
                <w:rFonts w:cs="Arial"/>
                <w:b/>
                <w:bCs/>
                <w:sz w:val="26"/>
                <w:szCs w:val="26"/>
              </w:rPr>
              <w:t>573</w:t>
            </w:r>
            <w:r w:rsidRPr="00A05C22">
              <w:rPr>
                <w:rFonts w:cs="Arial"/>
                <w:b/>
                <w:bCs/>
                <w:sz w:val="26"/>
                <w:szCs w:val="26"/>
              </w:rPr>
              <w:t>&gt;</w:t>
            </w:r>
          </w:p>
        </w:tc>
        <w:tc>
          <w:tcPr>
            <w:tcW w:w="1080" w:type="dxa"/>
            <w:tcBorders>
              <w:top w:val="single" w:sz="6" w:space="0" w:color="7F7F7F"/>
              <w:left w:val="single" w:sz="6" w:space="0" w:color="7F7F7F"/>
              <w:bottom w:val="single" w:sz="24" w:space="0" w:color="7F7F7F"/>
              <w:right w:val="single" w:sz="6" w:space="0" w:color="7F7F7F"/>
            </w:tcBorders>
          </w:tcPr>
          <w:p w:rsidR="00FA40A0" w:rsidRPr="00A05C22" w:rsidRDefault="007F2E12" w:rsidP="007F2E12">
            <w:pPr>
              <w:jc w:val="center"/>
              <w:rPr>
                <w:rFonts w:cs="Arial"/>
                <w:b/>
                <w:bCs/>
                <w:sz w:val="26"/>
                <w:szCs w:val="26"/>
              </w:rPr>
            </w:pPr>
            <w:r>
              <w:rPr>
                <w:rFonts w:cs="Arial"/>
                <w:b/>
                <w:bCs/>
                <w:sz w:val="26"/>
                <w:szCs w:val="26"/>
              </w:rPr>
              <w:t>758</w:t>
            </w:r>
          </w:p>
        </w:tc>
        <w:tc>
          <w:tcPr>
            <w:tcW w:w="1250" w:type="dxa"/>
            <w:tcBorders>
              <w:top w:val="single" w:sz="6" w:space="0" w:color="7F7F7F"/>
              <w:left w:val="single" w:sz="6" w:space="0" w:color="7F7F7F"/>
              <w:bottom w:val="single" w:sz="24" w:space="0" w:color="7F7F7F"/>
              <w:right w:val="single" w:sz="6" w:space="0" w:color="7F7F7F"/>
            </w:tcBorders>
          </w:tcPr>
          <w:p w:rsidR="00FA40A0" w:rsidRPr="00A05C22" w:rsidRDefault="00FA40A0" w:rsidP="001F0B56">
            <w:pPr>
              <w:jc w:val="center"/>
              <w:rPr>
                <w:rFonts w:cs="Arial"/>
                <w:b/>
                <w:bCs/>
                <w:sz w:val="26"/>
                <w:szCs w:val="26"/>
              </w:rPr>
            </w:pPr>
            <w:r w:rsidRPr="00A05C22">
              <w:rPr>
                <w:rFonts w:cs="Arial"/>
                <w:b/>
                <w:bCs/>
                <w:sz w:val="26"/>
                <w:szCs w:val="26"/>
              </w:rPr>
              <w:t>&lt;10</w:t>
            </w:r>
            <w:r w:rsidR="007F2E12">
              <w:rPr>
                <w:rFonts w:cs="Arial"/>
                <w:b/>
                <w:bCs/>
                <w:sz w:val="26"/>
                <w:szCs w:val="26"/>
              </w:rPr>
              <w:t>62</w:t>
            </w:r>
            <w:r w:rsidRPr="00A05C22">
              <w:rPr>
                <w:rFonts w:cs="Arial"/>
                <w:b/>
                <w:bCs/>
                <w:sz w:val="26"/>
                <w:szCs w:val="26"/>
              </w:rPr>
              <w:t>&gt;</w:t>
            </w:r>
          </w:p>
          <w:p w:rsidR="00FA40A0" w:rsidRPr="00A05C22" w:rsidRDefault="00FA40A0" w:rsidP="001F0B56">
            <w:pPr>
              <w:jc w:val="center"/>
              <w:rPr>
                <w:rFonts w:cs="Arial"/>
                <w:b/>
                <w:bCs/>
                <w:sz w:val="26"/>
                <w:szCs w:val="26"/>
              </w:rPr>
            </w:pPr>
          </w:p>
        </w:tc>
        <w:tc>
          <w:tcPr>
            <w:tcW w:w="820" w:type="dxa"/>
            <w:tcBorders>
              <w:top w:val="single" w:sz="6" w:space="0" w:color="7F7F7F"/>
              <w:left w:val="single" w:sz="6" w:space="0" w:color="7F7F7F"/>
              <w:bottom w:val="single" w:sz="24" w:space="0" w:color="7F7F7F"/>
              <w:right w:val="single" w:sz="6" w:space="0" w:color="7F7F7F"/>
            </w:tcBorders>
          </w:tcPr>
          <w:p w:rsidR="00FA40A0" w:rsidRPr="00A05C22" w:rsidRDefault="00FA40A0" w:rsidP="007F2E12">
            <w:pPr>
              <w:jc w:val="center"/>
              <w:rPr>
                <w:rFonts w:cs="Arial"/>
                <w:b/>
                <w:bCs/>
                <w:sz w:val="26"/>
                <w:szCs w:val="26"/>
              </w:rPr>
            </w:pPr>
            <w:r w:rsidRPr="00A05C22">
              <w:rPr>
                <w:rFonts w:cs="Arial"/>
                <w:b/>
                <w:bCs/>
                <w:sz w:val="26"/>
                <w:szCs w:val="26"/>
              </w:rPr>
              <w:t>&lt;</w:t>
            </w:r>
            <w:r w:rsidR="007F2E12">
              <w:rPr>
                <w:rFonts w:cs="Arial"/>
                <w:b/>
                <w:bCs/>
                <w:sz w:val="26"/>
                <w:szCs w:val="26"/>
              </w:rPr>
              <w:t>51</w:t>
            </w:r>
            <w:r w:rsidRPr="00A05C22">
              <w:rPr>
                <w:rFonts w:cs="Arial"/>
                <w:b/>
                <w:bCs/>
                <w:sz w:val="26"/>
                <w:szCs w:val="26"/>
              </w:rPr>
              <w:t>&gt;</w:t>
            </w:r>
          </w:p>
        </w:tc>
        <w:tc>
          <w:tcPr>
            <w:tcW w:w="990" w:type="dxa"/>
            <w:tcBorders>
              <w:top w:val="single" w:sz="6" w:space="0" w:color="7F7F7F"/>
              <w:left w:val="single" w:sz="6" w:space="0" w:color="7F7F7F"/>
              <w:bottom w:val="single" w:sz="24" w:space="0" w:color="7F7F7F"/>
              <w:right w:val="single" w:sz="6" w:space="0" w:color="7F7F7F"/>
            </w:tcBorders>
          </w:tcPr>
          <w:p w:rsidR="00FA40A0" w:rsidRPr="00A05C22" w:rsidRDefault="00FA40A0" w:rsidP="007F2E12">
            <w:pPr>
              <w:jc w:val="center"/>
              <w:rPr>
                <w:rFonts w:cs="Arial"/>
                <w:b/>
                <w:bCs/>
                <w:sz w:val="26"/>
                <w:szCs w:val="26"/>
              </w:rPr>
            </w:pPr>
            <w:r w:rsidRPr="00A05C22">
              <w:rPr>
                <w:rFonts w:cs="Arial"/>
                <w:b/>
                <w:bCs/>
                <w:sz w:val="26"/>
                <w:szCs w:val="26"/>
              </w:rPr>
              <w:t>&lt;</w:t>
            </w:r>
            <w:r w:rsidR="007F2E12">
              <w:rPr>
                <w:rFonts w:cs="Arial"/>
                <w:b/>
                <w:bCs/>
                <w:sz w:val="26"/>
                <w:szCs w:val="26"/>
              </w:rPr>
              <w:t>495</w:t>
            </w:r>
            <w:r w:rsidRPr="00A05C22">
              <w:rPr>
                <w:rFonts w:cs="Arial"/>
                <w:b/>
                <w:bCs/>
                <w:sz w:val="26"/>
                <w:szCs w:val="26"/>
              </w:rPr>
              <w:t>&gt;</w:t>
            </w:r>
          </w:p>
        </w:tc>
        <w:tc>
          <w:tcPr>
            <w:tcW w:w="980" w:type="dxa"/>
            <w:tcBorders>
              <w:top w:val="single" w:sz="6" w:space="0" w:color="7F7F7F"/>
              <w:left w:val="single" w:sz="6" w:space="0" w:color="7F7F7F"/>
              <w:bottom w:val="single" w:sz="24" w:space="0" w:color="7F7F7F"/>
              <w:right w:val="single" w:sz="6" w:space="0" w:color="7F7F7F"/>
            </w:tcBorders>
          </w:tcPr>
          <w:p w:rsidR="00FA40A0" w:rsidRPr="00A05C22" w:rsidRDefault="00FA40A0" w:rsidP="007F2E12">
            <w:pPr>
              <w:jc w:val="center"/>
              <w:rPr>
                <w:rFonts w:cs="Arial"/>
                <w:b/>
                <w:bCs/>
                <w:sz w:val="26"/>
                <w:szCs w:val="26"/>
              </w:rPr>
            </w:pPr>
            <w:r w:rsidRPr="00A05C22">
              <w:rPr>
                <w:rFonts w:cs="Arial"/>
                <w:b/>
                <w:bCs/>
                <w:sz w:val="26"/>
                <w:szCs w:val="26"/>
              </w:rPr>
              <w:t>&lt;</w:t>
            </w:r>
            <w:r w:rsidR="007F2E12">
              <w:rPr>
                <w:rFonts w:cs="Arial"/>
                <w:b/>
                <w:bCs/>
                <w:sz w:val="26"/>
                <w:szCs w:val="26"/>
              </w:rPr>
              <w:t>437</w:t>
            </w:r>
            <w:r w:rsidRPr="00A05C22">
              <w:rPr>
                <w:rFonts w:cs="Arial"/>
                <w:b/>
                <w:bCs/>
                <w:sz w:val="26"/>
                <w:szCs w:val="26"/>
              </w:rPr>
              <w:t>&gt;</w:t>
            </w:r>
          </w:p>
        </w:tc>
        <w:tc>
          <w:tcPr>
            <w:tcW w:w="1170" w:type="dxa"/>
            <w:tcBorders>
              <w:top w:val="single" w:sz="6" w:space="0" w:color="7F7F7F"/>
              <w:left w:val="single" w:sz="6" w:space="0" w:color="7F7F7F"/>
              <w:bottom w:val="single" w:sz="24" w:space="0" w:color="7F7F7F"/>
              <w:right w:val="single" w:sz="24" w:space="0" w:color="7F7F7F"/>
            </w:tcBorders>
          </w:tcPr>
          <w:p w:rsidR="00FA40A0" w:rsidRPr="00A05C22" w:rsidRDefault="00FA40A0" w:rsidP="007F2E12">
            <w:pPr>
              <w:jc w:val="center"/>
              <w:rPr>
                <w:rFonts w:cs="Arial"/>
                <w:b/>
                <w:bCs/>
                <w:sz w:val="26"/>
                <w:szCs w:val="26"/>
              </w:rPr>
            </w:pPr>
            <w:r w:rsidRPr="00A05C22">
              <w:rPr>
                <w:rFonts w:cs="Arial"/>
                <w:b/>
                <w:bCs/>
                <w:sz w:val="26"/>
                <w:szCs w:val="26"/>
              </w:rPr>
              <w:t>&lt;2</w:t>
            </w:r>
            <w:r w:rsidR="007F2E12">
              <w:rPr>
                <w:rFonts w:cs="Arial"/>
                <w:b/>
                <w:bCs/>
                <w:sz w:val="26"/>
                <w:szCs w:val="26"/>
              </w:rPr>
              <w:t>932</w:t>
            </w:r>
            <w:r w:rsidRPr="00A05C22">
              <w:rPr>
                <w:rFonts w:cs="Arial"/>
                <w:b/>
                <w:bCs/>
                <w:sz w:val="26"/>
                <w:szCs w:val="26"/>
              </w:rPr>
              <w:t>&gt;</w:t>
            </w:r>
          </w:p>
        </w:tc>
      </w:tr>
    </w:tbl>
    <w:p w:rsidR="007F2E12" w:rsidRDefault="007F2E12">
      <w:pPr>
        <w:rPr>
          <w:rFonts w:cs="Gill Sans MT"/>
          <w:b/>
          <w:bCs/>
          <w:caps/>
          <w:sz w:val="26"/>
          <w:szCs w:val="26"/>
        </w:rPr>
      </w:pPr>
    </w:p>
    <w:p w:rsidR="00FA40A0" w:rsidRPr="00A05C22" w:rsidRDefault="00FA40A0">
      <w:pPr>
        <w:rPr>
          <w:rFonts w:cs="Gill Sans MT"/>
          <w:b/>
          <w:bCs/>
          <w:caps/>
          <w:sz w:val="26"/>
          <w:szCs w:val="26"/>
        </w:rPr>
      </w:pPr>
      <w:r w:rsidRPr="00A05C22">
        <w:rPr>
          <w:rFonts w:cs="Gill Sans MT"/>
          <w:b/>
          <w:bCs/>
          <w:caps/>
          <w:sz w:val="26"/>
          <w:szCs w:val="26"/>
        </w:rPr>
        <w:t xml:space="preserve">Plan for Use of the Coverdell Forensic Science Improvement Grant Funds  </w:t>
      </w:r>
    </w:p>
    <w:p w:rsidR="00FA40A0" w:rsidRPr="00A05C22" w:rsidRDefault="00FA40A0" w:rsidP="00A05C22">
      <w:pPr>
        <w:pStyle w:val="Heading5"/>
        <w:keepNext/>
        <w:rPr>
          <w:rFonts w:cs="Gill Sans MT"/>
          <w:sz w:val="26"/>
          <w:szCs w:val="26"/>
        </w:rPr>
      </w:pPr>
      <w:r w:rsidRPr="00A05C22">
        <w:rPr>
          <w:rFonts w:cs="Gill Sans MT"/>
          <w:sz w:val="26"/>
          <w:szCs w:val="26"/>
        </w:rPr>
        <w:t xml:space="preserve">The Task Force uses a consensus decision-making process to determine the most appropriate use of the Formula and Discretionary Grant Funds. The focus of the Task Force has been to utilize the Coverdell funds for programs that achieve the broadest impact for the State. </w:t>
      </w:r>
    </w:p>
    <w:p w:rsidR="00FA40A0" w:rsidRPr="00A05C22" w:rsidRDefault="00FA40A0" w:rsidP="00A05C22">
      <w:pPr>
        <w:rPr>
          <w:rFonts w:cs="Gill Sans MT"/>
          <w:sz w:val="26"/>
          <w:szCs w:val="26"/>
        </w:rPr>
      </w:pPr>
    </w:p>
    <w:p w:rsidR="00FA40A0" w:rsidRPr="00A05C22" w:rsidRDefault="00731DB1" w:rsidP="00A05C22">
      <w:pPr>
        <w:rPr>
          <w:rFonts w:cs="Gill Sans MT"/>
          <w:sz w:val="26"/>
          <w:szCs w:val="26"/>
        </w:rPr>
      </w:pPr>
      <w:r>
        <w:rPr>
          <w:rFonts w:cs="Gill Sans MT"/>
          <w:sz w:val="26"/>
          <w:szCs w:val="26"/>
        </w:rPr>
        <w:t>Most</w:t>
      </w:r>
      <w:r w:rsidRPr="00A05C22">
        <w:rPr>
          <w:rFonts w:cs="Gill Sans MT"/>
          <w:sz w:val="26"/>
          <w:szCs w:val="26"/>
        </w:rPr>
        <w:t xml:space="preserve"> </w:t>
      </w:r>
      <w:r w:rsidR="00FA40A0" w:rsidRPr="00A05C22">
        <w:rPr>
          <w:rFonts w:cs="Gill Sans MT"/>
          <w:sz w:val="26"/>
          <w:szCs w:val="26"/>
        </w:rPr>
        <w:t xml:space="preserve">funds from the FY2002 Forensic Science Improvement Formula Grant were used for ASCLD/LAB accreditation costs. In order to determine the size of the subrecipient awards, funding was based on the number of disciplines and employees for each agency. The FY2002 Forensic Science Improvement Discretionary Grant funds were used to enhance training of </w:t>
      </w:r>
      <w:r w:rsidR="00FA40A0" w:rsidRPr="00A05C22">
        <w:rPr>
          <w:rFonts w:cs="Gill Sans MT"/>
          <w:sz w:val="26"/>
          <w:szCs w:val="26"/>
        </w:rPr>
        <w:lastRenderedPageBreak/>
        <w:t>personnel in all disciplines through continuing education opportunities.</w:t>
      </w:r>
      <w:r w:rsidR="00E669BC">
        <w:rPr>
          <w:rFonts w:cs="Gill Sans MT"/>
          <w:sz w:val="26"/>
          <w:szCs w:val="26"/>
        </w:rPr>
        <w:t xml:space="preserve"> </w:t>
      </w:r>
      <w:r w:rsidR="00A24499">
        <w:rPr>
          <w:rFonts w:cs="Gill Sans MT"/>
          <w:sz w:val="26"/>
          <w:szCs w:val="26"/>
        </w:rPr>
        <w:t>The FY2003, FY</w:t>
      </w:r>
      <w:r w:rsidR="00FA40A0" w:rsidRPr="00A05C22">
        <w:rPr>
          <w:rFonts w:cs="Gill Sans MT"/>
          <w:sz w:val="26"/>
          <w:szCs w:val="26"/>
        </w:rPr>
        <w:t>2004, FY2005, FY2006, FY2007, FY2008</w:t>
      </w:r>
      <w:r w:rsidR="00A24499">
        <w:rPr>
          <w:rFonts w:cs="Gill Sans MT"/>
          <w:sz w:val="26"/>
          <w:szCs w:val="26"/>
        </w:rPr>
        <w:t xml:space="preserve">, </w:t>
      </w:r>
      <w:r w:rsidR="00FA40A0" w:rsidRPr="00A05C22">
        <w:rPr>
          <w:rFonts w:cs="Gill Sans MT"/>
          <w:sz w:val="26"/>
          <w:szCs w:val="26"/>
        </w:rPr>
        <w:t>FY2009</w:t>
      </w:r>
      <w:r w:rsidR="00A24499">
        <w:rPr>
          <w:rFonts w:cs="Gill Sans MT"/>
          <w:sz w:val="26"/>
          <w:szCs w:val="26"/>
        </w:rPr>
        <w:t>, and FY2010</w:t>
      </w:r>
      <w:r w:rsidR="00FA40A0" w:rsidRPr="00A05C22">
        <w:rPr>
          <w:rFonts w:cs="Gill Sans MT"/>
          <w:sz w:val="26"/>
          <w:szCs w:val="26"/>
        </w:rPr>
        <w:t xml:space="preserve"> Forensic Science Improvement Formula and/or Discretionary Grant funds were used to strengthen the infrastructure of the forensic science and toxicology medical examiner labs, and/or to train personnel.  </w:t>
      </w:r>
    </w:p>
    <w:p w:rsidR="00FA40A0" w:rsidRPr="00A05C22" w:rsidRDefault="00FA40A0" w:rsidP="00A05C22">
      <w:pPr>
        <w:rPr>
          <w:rFonts w:cs="Gill Sans MT"/>
          <w:sz w:val="26"/>
          <w:szCs w:val="26"/>
        </w:rPr>
      </w:pPr>
    </w:p>
    <w:p w:rsidR="00FA40A0" w:rsidRPr="00A05C22" w:rsidRDefault="00FA40A0" w:rsidP="00A05C22">
      <w:pPr>
        <w:rPr>
          <w:rFonts w:cs="Gill Sans MT"/>
          <w:sz w:val="26"/>
          <w:szCs w:val="26"/>
        </w:rPr>
      </w:pPr>
      <w:r w:rsidRPr="00A05C22">
        <w:rPr>
          <w:rFonts w:cs="Gill Sans MT"/>
          <w:sz w:val="26"/>
          <w:szCs w:val="26"/>
        </w:rPr>
        <w:t>In determining award amounts for subrecipients, the Task Force set a minimum base so that the smallest lab</w:t>
      </w:r>
      <w:r>
        <w:rPr>
          <w:rFonts w:cs="Gill Sans MT"/>
          <w:sz w:val="26"/>
          <w:szCs w:val="26"/>
        </w:rPr>
        <w:t>s</w:t>
      </w:r>
      <w:r w:rsidRPr="00A05C22">
        <w:rPr>
          <w:rFonts w:cs="Gill Sans MT"/>
          <w:sz w:val="26"/>
          <w:szCs w:val="26"/>
        </w:rPr>
        <w:t xml:space="preserve"> receive adequate funds in order to develop an effective project. The minimum allocation, $1500.00, applied to the agencies that may only have one analyst. The remaining funds were equitably divided based on the percentage of analysts in each lab, compared to the total number of analysts in the participating labs. </w:t>
      </w:r>
    </w:p>
    <w:p w:rsidR="00FA40A0" w:rsidRPr="00A05C22" w:rsidRDefault="00FA40A0" w:rsidP="00A05C22">
      <w:pPr>
        <w:rPr>
          <w:rFonts w:cs="Gill Sans MT"/>
          <w:sz w:val="26"/>
          <w:szCs w:val="26"/>
        </w:rPr>
      </w:pPr>
    </w:p>
    <w:p w:rsidR="00FA40A0" w:rsidRPr="00A05C22" w:rsidRDefault="00FA40A0" w:rsidP="00A05C22">
      <w:pPr>
        <w:rPr>
          <w:rFonts w:cs="Gill Sans MT"/>
          <w:sz w:val="26"/>
          <w:szCs w:val="26"/>
        </w:rPr>
      </w:pPr>
      <w:r w:rsidRPr="00A05C22">
        <w:rPr>
          <w:rFonts w:cs="Gill Sans MT"/>
          <w:sz w:val="26"/>
          <w:szCs w:val="26"/>
        </w:rPr>
        <w:t>The members serving on the Forensic Science Improvement Task Force that represent the District Attorneys Council, the Oklahoma Sheriffs Association, and the Oklahoma Association of Chiefs of Police, serve as consumers of forensic science services in the state and provide additional perspective in achieving the overall goals of the Task Force. Anecdotal information from these representatives indicates that significant improvements were made, and have been maintained, in the timeliness of forensic analysis of evidence, thereby reducing or</w:t>
      </w:r>
      <w:r w:rsidR="00E669BC">
        <w:rPr>
          <w:rFonts w:cs="Gill Sans MT"/>
          <w:sz w:val="26"/>
          <w:szCs w:val="26"/>
        </w:rPr>
        <w:t xml:space="preserve"> eliminating any court delays. </w:t>
      </w:r>
      <w:r w:rsidRPr="00A05C22">
        <w:rPr>
          <w:rFonts w:cs="Gill Sans MT"/>
          <w:sz w:val="26"/>
          <w:szCs w:val="26"/>
        </w:rPr>
        <w:t>This also allows justice to be administered more fairly and quickly, and may help to ease the overcrowded condition of jails in parts of the State.</w:t>
      </w:r>
    </w:p>
    <w:p w:rsidR="00FA40A0" w:rsidRDefault="00FA40A0" w:rsidP="00A05C22">
      <w:pPr>
        <w:rPr>
          <w:rFonts w:cs="Gill Sans MT"/>
          <w:sz w:val="26"/>
          <w:szCs w:val="26"/>
        </w:rPr>
      </w:pPr>
    </w:p>
    <w:p w:rsidR="00FA40A0" w:rsidRPr="0048477C" w:rsidRDefault="00FA40A0" w:rsidP="00A05C22">
      <w:pPr>
        <w:rPr>
          <w:rFonts w:cs="Gill Sans MT"/>
          <w:b/>
          <w:caps/>
          <w:sz w:val="25"/>
          <w:szCs w:val="25"/>
        </w:rPr>
      </w:pPr>
      <w:r w:rsidRPr="0048477C">
        <w:rPr>
          <w:rFonts w:cs="Gill Sans MT"/>
          <w:b/>
          <w:caps/>
          <w:sz w:val="25"/>
          <w:szCs w:val="25"/>
        </w:rPr>
        <w:t>National academy of sciences (NAS) report recommendations</w:t>
      </w:r>
    </w:p>
    <w:p w:rsidR="00FA40A0" w:rsidRPr="0048477C" w:rsidRDefault="00FA40A0" w:rsidP="00A05C22">
      <w:pPr>
        <w:rPr>
          <w:sz w:val="26"/>
          <w:szCs w:val="26"/>
        </w:rPr>
      </w:pPr>
      <w:r w:rsidRPr="0048477C">
        <w:rPr>
          <w:sz w:val="26"/>
          <w:szCs w:val="26"/>
        </w:rPr>
        <w:t>The NAS report included thirteen recommendations for improvements in Forensic Science.  Those recommendations are listed below followed by Oklahoma’s position on each recommendation:</w:t>
      </w:r>
    </w:p>
    <w:p w:rsidR="00FA40A0" w:rsidRPr="00A05C22" w:rsidRDefault="00FA40A0" w:rsidP="00A05C22">
      <w:pPr>
        <w:rPr>
          <w:sz w:val="26"/>
          <w:szCs w:val="26"/>
          <w:u w:val="single"/>
        </w:rPr>
      </w:pPr>
    </w:p>
    <w:p w:rsidR="00FA40A0" w:rsidRPr="0048477C" w:rsidRDefault="00FA40A0" w:rsidP="00A05C22">
      <w:pPr>
        <w:rPr>
          <w:b/>
          <w:sz w:val="26"/>
          <w:szCs w:val="26"/>
        </w:rPr>
      </w:pPr>
      <w:r w:rsidRPr="0048477C">
        <w:rPr>
          <w:b/>
          <w:sz w:val="26"/>
          <w:szCs w:val="26"/>
        </w:rPr>
        <w:t>Recommendation 1:</w:t>
      </w:r>
    </w:p>
    <w:p w:rsidR="00451ABB" w:rsidRDefault="00FA40A0" w:rsidP="00A05C22">
      <w:pPr>
        <w:rPr>
          <w:sz w:val="26"/>
          <w:szCs w:val="26"/>
        </w:rPr>
      </w:pPr>
      <w:r w:rsidRPr="0048477C">
        <w:rPr>
          <w:sz w:val="26"/>
          <w:szCs w:val="26"/>
        </w:rPr>
        <w:t>To promote the development of forensic science into a mature field of multidisciplinary research and practice, founded on the systematic collection and analysis of relevant data, Congress should establish and appropriate funds for an independent federal entity, the National Institu</w:t>
      </w:r>
      <w:r w:rsidR="00E669BC">
        <w:rPr>
          <w:sz w:val="26"/>
          <w:szCs w:val="26"/>
        </w:rPr>
        <w:t xml:space="preserve">te of Forensic Science (NIFS). </w:t>
      </w:r>
      <w:r w:rsidRPr="0048477C">
        <w:rPr>
          <w:sz w:val="26"/>
          <w:szCs w:val="26"/>
        </w:rPr>
        <w:t xml:space="preserve">NIFS should have a full-time administrator and an advisory board with expertise in research and education, the forensic science disciplines, physical and life sciences, forensic pathology, engineering, information, technology, </w:t>
      </w:r>
    </w:p>
    <w:p w:rsidR="00FA40A0" w:rsidRPr="0048477C" w:rsidRDefault="00FA40A0" w:rsidP="00A05C22">
      <w:pPr>
        <w:rPr>
          <w:sz w:val="26"/>
          <w:szCs w:val="26"/>
        </w:rPr>
      </w:pPr>
      <w:proofErr w:type="gramStart"/>
      <w:r w:rsidRPr="0048477C">
        <w:rPr>
          <w:sz w:val="26"/>
          <w:szCs w:val="26"/>
        </w:rPr>
        <w:t>measurements</w:t>
      </w:r>
      <w:proofErr w:type="gramEnd"/>
      <w:r w:rsidRPr="0048477C">
        <w:rPr>
          <w:sz w:val="26"/>
          <w:szCs w:val="26"/>
        </w:rPr>
        <w:t xml:space="preserve"> and standards, testing and evaluation, law, national security, and public policy….</w:t>
      </w:r>
    </w:p>
    <w:p w:rsidR="00FA40A0" w:rsidRPr="0048477C" w:rsidRDefault="00FA40A0" w:rsidP="00A05C22">
      <w:pPr>
        <w:pStyle w:val="ListParagraph"/>
        <w:rPr>
          <w:sz w:val="26"/>
          <w:szCs w:val="26"/>
        </w:rPr>
      </w:pPr>
    </w:p>
    <w:p w:rsidR="009B56D5" w:rsidRPr="00001A4A" w:rsidRDefault="00FA40A0" w:rsidP="00992713">
      <w:pPr>
        <w:pStyle w:val="ListParagraph"/>
        <w:rPr>
          <w:i/>
          <w:sz w:val="26"/>
          <w:szCs w:val="26"/>
        </w:rPr>
      </w:pPr>
      <w:r w:rsidRPr="00001A4A">
        <w:rPr>
          <w:i/>
          <w:sz w:val="26"/>
          <w:szCs w:val="26"/>
        </w:rPr>
        <w:t>The Task Force concurs with this recommendation, provided the entity is properly funded.</w:t>
      </w:r>
    </w:p>
    <w:p w:rsidR="00FA40A0" w:rsidRPr="00A05C22" w:rsidRDefault="00FA40A0" w:rsidP="00A05C22">
      <w:pPr>
        <w:rPr>
          <w:sz w:val="26"/>
          <w:szCs w:val="26"/>
          <w:u w:val="single"/>
        </w:rPr>
      </w:pPr>
    </w:p>
    <w:p w:rsidR="00FA40A0" w:rsidRPr="0048477C" w:rsidRDefault="00FA40A0" w:rsidP="00A05C22">
      <w:pPr>
        <w:rPr>
          <w:b/>
          <w:sz w:val="26"/>
          <w:szCs w:val="26"/>
        </w:rPr>
      </w:pPr>
      <w:r w:rsidRPr="0048477C">
        <w:rPr>
          <w:b/>
          <w:sz w:val="26"/>
          <w:szCs w:val="26"/>
        </w:rPr>
        <w:t>Recommendation 2:</w:t>
      </w:r>
    </w:p>
    <w:p w:rsidR="00FA40A0" w:rsidRPr="0048477C" w:rsidRDefault="00FA40A0" w:rsidP="00A05C22">
      <w:pPr>
        <w:rPr>
          <w:sz w:val="26"/>
          <w:szCs w:val="26"/>
        </w:rPr>
      </w:pPr>
      <w:r w:rsidRPr="0048477C">
        <w:rPr>
          <w:sz w:val="26"/>
          <w:szCs w:val="26"/>
        </w:rPr>
        <w:t>The National Institute of Forensic Science (NIFS), after reviewing established standards such as ISO 17025, and in consultation with its advisory board, should establish standard terminology to be used in reporting on and testifying about the results of fo</w:t>
      </w:r>
      <w:r w:rsidR="00E669BC">
        <w:rPr>
          <w:sz w:val="26"/>
          <w:szCs w:val="26"/>
        </w:rPr>
        <w:t xml:space="preserve">rensic science investigations. </w:t>
      </w:r>
      <w:r w:rsidRPr="0048477C">
        <w:rPr>
          <w:sz w:val="26"/>
          <w:szCs w:val="26"/>
        </w:rPr>
        <w:t>Similarly, it should establish model laboratory reports for different forensic science disciplines and specify the minimum information that should be included. As part of the accreditation and certification processes, laboratories and forensic scientists should be required to utilize model laboratory reports when summarizing the results of their analyses.</w:t>
      </w:r>
    </w:p>
    <w:p w:rsidR="00FA40A0" w:rsidRPr="0048477C" w:rsidRDefault="00FA40A0" w:rsidP="00A05C22">
      <w:pPr>
        <w:rPr>
          <w:sz w:val="26"/>
          <w:szCs w:val="26"/>
        </w:rPr>
      </w:pPr>
    </w:p>
    <w:p w:rsidR="00FA40A0" w:rsidRPr="00001A4A" w:rsidRDefault="00FA40A0" w:rsidP="000775D6">
      <w:pPr>
        <w:ind w:left="720"/>
        <w:rPr>
          <w:i/>
          <w:sz w:val="26"/>
          <w:szCs w:val="26"/>
        </w:rPr>
      </w:pPr>
      <w:r w:rsidRPr="00001A4A">
        <w:rPr>
          <w:i/>
          <w:sz w:val="26"/>
          <w:szCs w:val="26"/>
        </w:rPr>
        <w:t xml:space="preserve">The Task Force </w:t>
      </w:r>
      <w:r w:rsidR="00E669BC">
        <w:rPr>
          <w:i/>
          <w:sz w:val="26"/>
          <w:szCs w:val="26"/>
        </w:rPr>
        <w:t>supports the development of any standards for model laborat</w:t>
      </w:r>
      <w:r w:rsidR="00AD38CA">
        <w:rPr>
          <w:i/>
          <w:sz w:val="26"/>
          <w:szCs w:val="26"/>
        </w:rPr>
        <w:t>ory reports and standard termin</w:t>
      </w:r>
      <w:r w:rsidR="00E669BC">
        <w:rPr>
          <w:i/>
          <w:sz w:val="26"/>
          <w:szCs w:val="26"/>
        </w:rPr>
        <w:t>ology</w:t>
      </w:r>
      <w:r w:rsidR="00AD38CA">
        <w:rPr>
          <w:i/>
          <w:sz w:val="26"/>
          <w:szCs w:val="26"/>
        </w:rPr>
        <w:t xml:space="preserve"> which may be developed and promulgated by the NIFS</w:t>
      </w:r>
      <w:r w:rsidRPr="00001A4A">
        <w:rPr>
          <w:i/>
          <w:sz w:val="26"/>
          <w:szCs w:val="26"/>
        </w:rPr>
        <w:t xml:space="preserve">. </w:t>
      </w:r>
    </w:p>
    <w:p w:rsidR="00FA40A0" w:rsidRPr="0048477C" w:rsidRDefault="00FA40A0" w:rsidP="000775D6">
      <w:pPr>
        <w:ind w:left="720"/>
        <w:rPr>
          <w:sz w:val="26"/>
          <w:szCs w:val="26"/>
        </w:rPr>
      </w:pPr>
    </w:p>
    <w:p w:rsidR="00FA40A0" w:rsidRPr="0048477C" w:rsidRDefault="00FA40A0" w:rsidP="00A05C22">
      <w:pPr>
        <w:rPr>
          <w:b/>
          <w:sz w:val="26"/>
          <w:szCs w:val="26"/>
        </w:rPr>
      </w:pPr>
      <w:r w:rsidRPr="0048477C">
        <w:rPr>
          <w:b/>
          <w:sz w:val="26"/>
          <w:szCs w:val="26"/>
        </w:rPr>
        <w:t>Recommendation 3:</w:t>
      </w:r>
    </w:p>
    <w:p w:rsidR="00FA40A0" w:rsidRPr="0048477C" w:rsidRDefault="00FA40A0" w:rsidP="00A05C22">
      <w:pPr>
        <w:rPr>
          <w:sz w:val="26"/>
          <w:szCs w:val="26"/>
        </w:rPr>
      </w:pPr>
      <w:r w:rsidRPr="0048477C">
        <w:rPr>
          <w:sz w:val="26"/>
          <w:szCs w:val="26"/>
        </w:rPr>
        <w:t>Research is needed to address issues of accuracy, reliability, and the validity in the</w:t>
      </w:r>
      <w:r w:rsidR="00E669BC">
        <w:rPr>
          <w:sz w:val="26"/>
          <w:szCs w:val="26"/>
        </w:rPr>
        <w:t xml:space="preserve"> forensic science disciplines. </w:t>
      </w:r>
      <w:r w:rsidRPr="0048477C">
        <w:rPr>
          <w:sz w:val="26"/>
          <w:szCs w:val="26"/>
        </w:rPr>
        <w:t>The National Institute of Forensic Science (NIFS) should competitively fund peer-reviewed research in the following areas:</w:t>
      </w:r>
    </w:p>
    <w:p w:rsidR="00FA40A0" w:rsidRPr="0048477C" w:rsidRDefault="00FA40A0" w:rsidP="00A05C22">
      <w:pPr>
        <w:rPr>
          <w:sz w:val="26"/>
          <w:szCs w:val="26"/>
        </w:rPr>
      </w:pP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Studies establishing the scientific bases demonstrating the validity of forensic methods.</w:t>
      </w: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 xml:space="preserve">The development and establishment of quantifiable measures of the reliability and </w:t>
      </w:r>
      <w:r w:rsidR="00E669BC">
        <w:rPr>
          <w:sz w:val="26"/>
          <w:szCs w:val="26"/>
        </w:rPr>
        <w:t xml:space="preserve">accuracy of forensic analyses. </w:t>
      </w:r>
      <w:r w:rsidRPr="0048477C">
        <w:rPr>
          <w:sz w:val="26"/>
          <w:szCs w:val="26"/>
        </w:rPr>
        <w:t>Studies of the reliability and accuracy of forensic techniques should reflect actual practice on realistic case scenarios, averaged across a representative sample of forensi</w:t>
      </w:r>
      <w:r w:rsidR="00E669BC">
        <w:rPr>
          <w:sz w:val="26"/>
          <w:szCs w:val="26"/>
        </w:rPr>
        <w:t xml:space="preserve">c scientists and laboratories. </w:t>
      </w:r>
      <w:r w:rsidRPr="0048477C">
        <w:rPr>
          <w:sz w:val="26"/>
          <w:szCs w:val="26"/>
        </w:rPr>
        <w:t>Studies also should establish the limits of reliability and accuracy that analytic methods can be expected to achieve as the conditi</w:t>
      </w:r>
      <w:r w:rsidR="00E669BC">
        <w:rPr>
          <w:sz w:val="26"/>
          <w:szCs w:val="26"/>
        </w:rPr>
        <w:t xml:space="preserve">ons of forensic evidence vary. </w:t>
      </w:r>
      <w:r w:rsidRPr="0048477C">
        <w:rPr>
          <w:sz w:val="26"/>
          <w:szCs w:val="26"/>
        </w:rPr>
        <w:t>The research by which measures of reliability and accuracy are determined should be peer reviewed and published in respected scientific journals.</w:t>
      </w: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The development of quantifiable measures of uncertainty in the conclusions of forensic analysis.</w:t>
      </w:r>
    </w:p>
    <w:p w:rsidR="00FA40A0" w:rsidRPr="0048477C" w:rsidRDefault="00FA40A0" w:rsidP="00A05C22">
      <w:pPr>
        <w:pStyle w:val="ListParagraph"/>
        <w:widowControl/>
        <w:numPr>
          <w:ilvl w:val="0"/>
          <w:numId w:val="19"/>
        </w:numPr>
        <w:autoSpaceDE/>
        <w:autoSpaceDN/>
        <w:adjustRightInd/>
        <w:spacing w:after="200" w:line="276" w:lineRule="auto"/>
        <w:rPr>
          <w:sz w:val="26"/>
          <w:szCs w:val="26"/>
        </w:rPr>
      </w:pPr>
      <w:r w:rsidRPr="0048477C">
        <w:rPr>
          <w:sz w:val="26"/>
          <w:szCs w:val="26"/>
        </w:rPr>
        <w:t>Automated techniques capable of enhancing forensic technologies.</w:t>
      </w:r>
    </w:p>
    <w:p w:rsidR="006B0AFA" w:rsidRDefault="006B0AFA" w:rsidP="00A05C22">
      <w:pPr>
        <w:pStyle w:val="ListParagraph"/>
        <w:rPr>
          <w:sz w:val="26"/>
          <w:szCs w:val="26"/>
        </w:rPr>
      </w:pPr>
    </w:p>
    <w:p w:rsidR="00FA40A0" w:rsidRPr="00001A4A" w:rsidRDefault="00FA40A0" w:rsidP="00A05C22">
      <w:pPr>
        <w:pStyle w:val="ListParagraph"/>
        <w:rPr>
          <w:i/>
          <w:sz w:val="26"/>
          <w:szCs w:val="26"/>
        </w:rPr>
      </w:pPr>
      <w:r w:rsidRPr="00001A4A">
        <w:rPr>
          <w:i/>
          <w:sz w:val="26"/>
          <w:szCs w:val="26"/>
        </w:rPr>
        <w:t>The Task Force concur</w:t>
      </w:r>
      <w:r w:rsidR="006E0D5D" w:rsidRPr="00001A4A">
        <w:rPr>
          <w:i/>
          <w:sz w:val="26"/>
          <w:szCs w:val="26"/>
        </w:rPr>
        <w:t>s with this recommendation</w:t>
      </w:r>
      <w:r w:rsidRPr="00001A4A">
        <w:rPr>
          <w:i/>
          <w:sz w:val="26"/>
          <w:szCs w:val="26"/>
        </w:rPr>
        <w:t>. The OSBI aggressively pursues funding from outside agencies (National Institute of Justice, Midwest Forensic Resource Center, etc.) to allow</w:t>
      </w:r>
      <w:r w:rsidR="006E0D5D" w:rsidRPr="00001A4A">
        <w:rPr>
          <w:i/>
          <w:sz w:val="26"/>
          <w:szCs w:val="26"/>
        </w:rPr>
        <w:t xml:space="preserve"> the agency </w:t>
      </w:r>
      <w:r w:rsidRPr="00001A4A">
        <w:rPr>
          <w:i/>
          <w:sz w:val="26"/>
          <w:szCs w:val="26"/>
        </w:rPr>
        <w:t xml:space="preserve">to perform research. In addition, the OSBI has partnered with the Forensic Science Institute at the University </w:t>
      </w:r>
      <w:proofErr w:type="gramStart"/>
      <w:r w:rsidRPr="00001A4A">
        <w:rPr>
          <w:i/>
          <w:sz w:val="26"/>
          <w:szCs w:val="26"/>
        </w:rPr>
        <w:t>of</w:t>
      </w:r>
      <w:proofErr w:type="gramEnd"/>
      <w:r w:rsidRPr="00001A4A">
        <w:rPr>
          <w:i/>
          <w:sz w:val="26"/>
          <w:szCs w:val="26"/>
        </w:rPr>
        <w:t xml:space="preserve"> Central Oklahoma (UC</w:t>
      </w:r>
      <w:r w:rsidR="00AD38CA">
        <w:rPr>
          <w:i/>
          <w:sz w:val="26"/>
          <w:szCs w:val="26"/>
        </w:rPr>
        <w:t xml:space="preserve">O) to further research efforts. </w:t>
      </w:r>
      <w:r w:rsidRPr="00001A4A">
        <w:rPr>
          <w:i/>
          <w:sz w:val="26"/>
          <w:szCs w:val="26"/>
        </w:rPr>
        <w:t xml:space="preserve">The OSBI provides lab space, supplies, and experts to oversee research projects. UCO and Oklahoma State University (OSU) provide students to perform the </w:t>
      </w:r>
      <w:proofErr w:type="spellStart"/>
      <w:r w:rsidRPr="00001A4A">
        <w:rPr>
          <w:i/>
          <w:sz w:val="26"/>
          <w:szCs w:val="26"/>
        </w:rPr>
        <w:t>benchwork</w:t>
      </w:r>
      <w:proofErr w:type="spellEnd"/>
      <w:r w:rsidRPr="00001A4A">
        <w:rPr>
          <w:i/>
          <w:sz w:val="26"/>
          <w:szCs w:val="26"/>
        </w:rPr>
        <w:t xml:space="preserve">/research, supplies, and professors to oversee the projects.  </w:t>
      </w:r>
    </w:p>
    <w:p w:rsidR="007F2E12" w:rsidRDefault="007F2E12" w:rsidP="00A05C22">
      <w:pPr>
        <w:pStyle w:val="ListParagraph"/>
        <w:ind w:left="0"/>
        <w:rPr>
          <w:b/>
          <w:sz w:val="26"/>
          <w:szCs w:val="26"/>
        </w:rPr>
      </w:pPr>
    </w:p>
    <w:p w:rsidR="00FA40A0" w:rsidRPr="0048477C" w:rsidRDefault="00FA40A0" w:rsidP="00A05C22">
      <w:pPr>
        <w:pStyle w:val="ListParagraph"/>
        <w:ind w:left="0"/>
        <w:rPr>
          <w:b/>
          <w:sz w:val="26"/>
          <w:szCs w:val="26"/>
        </w:rPr>
      </w:pPr>
      <w:r w:rsidRPr="0048477C">
        <w:rPr>
          <w:b/>
          <w:sz w:val="26"/>
          <w:szCs w:val="26"/>
        </w:rPr>
        <w:t>Recommendation 4:</w:t>
      </w:r>
    </w:p>
    <w:p w:rsidR="00FA40A0" w:rsidRPr="0048477C" w:rsidRDefault="00FA40A0" w:rsidP="00A05C22">
      <w:pPr>
        <w:pStyle w:val="ListParagraph"/>
        <w:ind w:left="0"/>
        <w:rPr>
          <w:sz w:val="26"/>
          <w:szCs w:val="26"/>
        </w:rPr>
      </w:pPr>
      <w:r w:rsidRPr="0048477C">
        <w:rPr>
          <w:sz w:val="26"/>
          <w:szCs w:val="26"/>
        </w:rPr>
        <w:t>To improve the scientific bases of forensic science examinations and to maximize independence from or autonomy within the law enforcement community, Congress should authorize and appropriate incentive funds to the National Institute of Forensic Science (NIFS) for allocation to state and local jurisdictions for the purpose of removing all public forensic laboratories and facilities from the administrative control of law enforcement agencies or prosecutors’ offices.</w:t>
      </w:r>
    </w:p>
    <w:p w:rsidR="00FA40A0" w:rsidRDefault="00FA40A0" w:rsidP="00A05C22">
      <w:pPr>
        <w:pStyle w:val="ListParagraph"/>
        <w:ind w:left="0"/>
        <w:rPr>
          <w:sz w:val="26"/>
          <w:szCs w:val="26"/>
          <w:u w:val="single"/>
        </w:rPr>
      </w:pPr>
    </w:p>
    <w:p w:rsidR="00FA40A0" w:rsidRPr="00001A4A" w:rsidRDefault="00FA40A0" w:rsidP="005D3036">
      <w:pPr>
        <w:pStyle w:val="ListParagraph"/>
        <w:rPr>
          <w:i/>
          <w:sz w:val="26"/>
          <w:szCs w:val="26"/>
        </w:rPr>
      </w:pPr>
      <w:r w:rsidRPr="00001A4A">
        <w:rPr>
          <w:i/>
          <w:sz w:val="26"/>
          <w:szCs w:val="26"/>
        </w:rPr>
        <w:t xml:space="preserve">The Task Force recognizes the broad </w:t>
      </w:r>
      <w:r w:rsidR="00001A4A">
        <w:rPr>
          <w:i/>
          <w:sz w:val="26"/>
          <w:szCs w:val="26"/>
        </w:rPr>
        <w:t xml:space="preserve">range of political, </w:t>
      </w:r>
      <w:proofErr w:type="spellStart"/>
      <w:r w:rsidR="00001A4A">
        <w:rPr>
          <w:i/>
          <w:sz w:val="26"/>
          <w:szCs w:val="26"/>
        </w:rPr>
        <w:t>economical</w:t>
      </w:r>
      <w:proofErr w:type="spellEnd"/>
      <w:r w:rsidR="00001A4A">
        <w:rPr>
          <w:i/>
          <w:sz w:val="26"/>
          <w:szCs w:val="26"/>
        </w:rPr>
        <w:t xml:space="preserve">, </w:t>
      </w:r>
      <w:r w:rsidRPr="00001A4A">
        <w:rPr>
          <w:i/>
          <w:sz w:val="26"/>
          <w:szCs w:val="26"/>
        </w:rPr>
        <w:t>and historical factors that place forensic labs w</w:t>
      </w:r>
      <w:r w:rsidR="00E669BC">
        <w:rPr>
          <w:i/>
          <w:sz w:val="26"/>
          <w:szCs w:val="26"/>
        </w:rPr>
        <w:t xml:space="preserve">ithin law enforcement control. </w:t>
      </w:r>
      <w:r w:rsidRPr="00001A4A">
        <w:rPr>
          <w:i/>
          <w:sz w:val="26"/>
          <w:szCs w:val="26"/>
        </w:rPr>
        <w:t xml:space="preserve">The Task Force recognizes the validity of the NAS’s recommendation for some degree of independence from the law enforcement community. </w:t>
      </w:r>
    </w:p>
    <w:p w:rsidR="00FA40A0" w:rsidRDefault="00FA40A0" w:rsidP="00A05C22">
      <w:pPr>
        <w:pStyle w:val="ListParagraph"/>
        <w:ind w:left="0"/>
        <w:rPr>
          <w:sz w:val="26"/>
          <w:szCs w:val="26"/>
          <w:u w:val="single"/>
        </w:rPr>
      </w:pPr>
    </w:p>
    <w:p w:rsidR="00FA40A0" w:rsidRPr="0048477C" w:rsidRDefault="00FA40A0" w:rsidP="00A05C22">
      <w:pPr>
        <w:pStyle w:val="ListParagraph"/>
        <w:ind w:left="0"/>
        <w:rPr>
          <w:b/>
          <w:sz w:val="26"/>
          <w:szCs w:val="26"/>
        </w:rPr>
      </w:pPr>
      <w:r w:rsidRPr="0048477C">
        <w:rPr>
          <w:b/>
          <w:sz w:val="26"/>
          <w:szCs w:val="26"/>
        </w:rPr>
        <w:lastRenderedPageBreak/>
        <w:t>Recommendation 5:</w:t>
      </w:r>
    </w:p>
    <w:p w:rsidR="00FA40A0" w:rsidRPr="0048477C" w:rsidRDefault="00FA40A0" w:rsidP="00A05C22">
      <w:pPr>
        <w:pStyle w:val="ListParagraph"/>
        <w:ind w:left="0"/>
        <w:rPr>
          <w:sz w:val="26"/>
          <w:szCs w:val="26"/>
        </w:rPr>
      </w:pPr>
      <w:r w:rsidRPr="0048477C">
        <w:rPr>
          <w:sz w:val="26"/>
          <w:szCs w:val="26"/>
        </w:rPr>
        <w:t>The National Institute of Forensic Science (NIFS) should encourage research programs on human observer bias and sources of human e</w:t>
      </w:r>
      <w:r w:rsidR="00E669BC">
        <w:rPr>
          <w:sz w:val="26"/>
          <w:szCs w:val="26"/>
        </w:rPr>
        <w:t xml:space="preserve">rror in forensic examinations. </w:t>
      </w:r>
      <w:r w:rsidRPr="0048477C">
        <w:rPr>
          <w:sz w:val="26"/>
          <w:szCs w:val="26"/>
        </w:rPr>
        <w:t>Such programs might include studies to determine the effects of contextual bias in forensic practices (e.g., studies to determine whether and to what extent the results of forensic analyses are influenced by knowledge regarding the background of the suspect and the inves</w:t>
      </w:r>
      <w:r w:rsidR="00E669BC">
        <w:rPr>
          <w:sz w:val="26"/>
          <w:szCs w:val="26"/>
        </w:rPr>
        <w:t xml:space="preserve">tigator’s theory of the case). </w:t>
      </w:r>
      <w:r w:rsidRPr="0048477C">
        <w:rPr>
          <w:sz w:val="26"/>
          <w:szCs w:val="26"/>
        </w:rPr>
        <w:t>In addition, research on sources of human error should be closely linked with research conducted to quantify and cha</w:t>
      </w:r>
      <w:r w:rsidR="00E669BC">
        <w:rPr>
          <w:sz w:val="26"/>
          <w:szCs w:val="26"/>
        </w:rPr>
        <w:t xml:space="preserve">racterize the amount of error. </w:t>
      </w:r>
      <w:r w:rsidRPr="0048477C">
        <w:rPr>
          <w:sz w:val="26"/>
          <w:szCs w:val="26"/>
        </w:rPr>
        <w:t>Based on the results of these studies, and in consultation with its advisory board, NIFS should develop standard operations procedures (that will lay the foundation for model protocols) to minimize, to the greatest extent reasonably possible, potential bias and sources of hum</w:t>
      </w:r>
      <w:r w:rsidR="00E669BC">
        <w:rPr>
          <w:sz w:val="26"/>
          <w:szCs w:val="26"/>
        </w:rPr>
        <w:t xml:space="preserve">an error in forensic practice. </w:t>
      </w:r>
      <w:r w:rsidRPr="0048477C">
        <w:rPr>
          <w:sz w:val="26"/>
          <w:szCs w:val="26"/>
        </w:rPr>
        <w:t>These standard operating procedures should apply to all forensic analyses that may be used in litigation.</w:t>
      </w:r>
    </w:p>
    <w:p w:rsidR="00FA40A0" w:rsidRPr="0048477C" w:rsidRDefault="00FA40A0" w:rsidP="00A05C22">
      <w:pPr>
        <w:pStyle w:val="ListParagraph"/>
        <w:ind w:left="0"/>
        <w:rPr>
          <w:sz w:val="26"/>
          <w:szCs w:val="26"/>
        </w:rPr>
      </w:pPr>
    </w:p>
    <w:p w:rsidR="00FA40A0" w:rsidRPr="00001A4A" w:rsidRDefault="00FA40A0" w:rsidP="00A05C22">
      <w:pPr>
        <w:pStyle w:val="ListParagraph"/>
        <w:rPr>
          <w:i/>
          <w:sz w:val="26"/>
          <w:szCs w:val="26"/>
        </w:rPr>
      </w:pPr>
      <w:r w:rsidRPr="00001A4A">
        <w:rPr>
          <w:i/>
          <w:sz w:val="26"/>
          <w:szCs w:val="26"/>
        </w:rPr>
        <w:t xml:space="preserve">It is vital to the Task Force that forensic services </w:t>
      </w:r>
      <w:r w:rsidR="00E669BC">
        <w:rPr>
          <w:i/>
          <w:sz w:val="26"/>
          <w:szCs w:val="26"/>
        </w:rPr>
        <w:t xml:space="preserve">are of the highest quality. </w:t>
      </w:r>
      <w:r w:rsidRPr="00001A4A">
        <w:rPr>
          <w:i/>
          <w:sz w:val="26"/>
          <w:szCs w:val="26"/>
        </w:rPr>
        <w:t xml:space="preserve">The Task Force supports any effort to improve on the accuracy and quality of procedures </w:t>
      </w:r>
      <w:r w:rsidR="00E669BC">
        <w:rPr>
          <w:i/>
          <w:sz w:val="26"/>
          <w:szCs w:val="26"/>
        </w:rPr>
        <w:t xml:space="preserve">performed in forensic science. </w:t>
      </w:r>
      <w:r w:rsidRPr="00001A4A">
        <w:rPr>
          <w:i/>
          <w:sz w:val="26"/>
          <w:szCs w:val="26"/>
        </w:rPr>
        <w:t xml:space="preserve">The Task Force supports the proposal to develop standard practices that would limit human observer bias or sources of human error.  </w:t>
      </w:r>
    </w:p>
    <w:p w:rsidR="00FA40A0" w:rsidRPr="0048477C" w:rsidRDefault="00FA40A0" w:rsidP="00A05C22">
      <w:pPr>
        <w:pStyle w:val="ListParagraph"/>
        <w:ind w:left="0"/>
        <w:rPr>
          <w:sz w:val="26"/>
          <w:szCs w:val="26"/>
        </w:rPr>
      </w:pPr>
    </w:p>
    <w:p w:rsidR="00FA40A0" w:rsidRPr="0048477C" w:rsidRDefault="00FA40A0" w:rsidP="00A05C22">
      <w:pPr>
        <w:pStyle w:val="ListParagraph"/>
        <w:ind w:left="0"/>
        <w:rPr>
          <w:b/>
          <w:sz w:val="26"/>
          <w:szCs w:val="26"/>
        </w:rPr>
      </w:pPr>
      <w:r w:rsidRPr="0048477C">
        <w:rPr>
          <w:b/>
          <w:sz w:val="26"/>
          <w:szCs w:val="26"/>
        </w:rPr>
        <w:t>Recommendation 6:</w:t>
      </w:r>
    </w:p>
    <w:p w:rsidR="00FA40A0" w:rsidRPr="0048477C" w:rsidRDefault="00FA40A0" w:rsidP="00A05C22">
      <w:pPr>
        <w:pStyle w:val="ListParagraph"/>
        <w:ind w:left="0"/>
        <w:rPr>
          <w:sz w:val="26"/>
          <w:szCs w:val="26"/>
        </w:rPr>
      </w:pPr>
      <w:r w:rsidRPr="0048477C">
        <w:rPr>
          <w:sz w:val="26"/>
          <w:szCs w:val="26"/>
        </w:rPr>
        <w:t>To facilitate the work of the National Institute of Forensic Science (NIFS), Congress should authorize and appropriate funds to NIFS to work with the National Institute of Standards and Technology (NIST), in conjunctions with government laboratories, universities, and private laboratories, and in consultation with Scientific Working Groups, to develop tools for advancing measurement, validation, reliability, information sharing, and proficiency testing in forensic science and to establish protocols for forensic examinations, methods, and practices.  Standards should reflect best practices and serve as accreditation tools for laboratories and as guides for the education, training, and certification of professionals</w:t>
      </w:r>
      <w:r w:rsidR="00E669BC">
        <w:rPr>
          <w:sz w:val="26"/>
          <w:szCs w:val="26"/>
        </w:rPr>
        <w:t xml:space="preserve">. </w:t>
      </w:r>
      <w:r w:rsidRPr="0048477C">
        <w:rPr>
          <w:sz w:val="26"/>
          <w:szCs w:val="26"/>
        </w:rPr>
        <w:t>Upon completion of its work, NIST and its partners should report findings and recommendations to the NIFS for further dissemination and implementation.</w:t>
      </w:r>
    </w:p>
    <w:p w:rsidR="00FA40A0" w:rsidRPr="0048477C" w:rsidRDefault="00FA40A0" w:rsidP="00A05C22">
      <w:pPr>
        <w:pStyle w:val="ListParagraph"/>
        <w:ind w:left="0"/>
        <w:rPr>
          <w:sz w:val="26"/>
          <w:szCs w:val="26"/>
        </w:rPr>
      </w:pPr>
    </w:p>
    <w:p w:rsidR="00FA40A0" w:rsidRPr="00001A4A" w:rsidRDefault="00FA40A0" w:rsidP="000775D6">
      <w:pPr>
        <w:pStyle w:val="ListParagraph"/>
        <w:ind w:left="0" w:firstLine="720"/>
        <w:rPr>
          <w:i/>
          <w:sz w:val="26"/>
          <w:szCs w:val="26"/>
        </w:rPr>
      </w:pPr>
      <w:r w:rsidRPr="00001A4A">
        <w:rPr>
          <w:i/>
          <w:sz w:val="26"/>
          <w:szCs w:val="26"/>
        </w:rPr>
        <w:t>The Task Force concurs with this recommendation.</w:t>
      </w:r>
    </w:p>
    <w:p w:rsidR="00D4386C" w:rsidRPr="0048477C" w:rsidRDefault="00D4386C" w:rsidP="000775D6">
      <w:pPr>
        <w:pStyle w:val="ListParagraph"/>
        <w:ind w:left="0" w:firstLine="720"/>
        <w:rPr>
          <w:sz w:val="26"/>
          <w:szCs w:val="26"/>
        </w:rPr>
      </w:pPr>
    </w:p>
    <w:p w:rsidR="00FA40A0" w:rsidRPr="0048477C" w:rsidRDefault="00FA40A0" w:rsidP="00A05C22">
      <w:pPr>
        <w:pStyle w:val="ListParagraph"/>
        <w:ind w:left="0"/>
        <w:rPr>
          <w:b/>
          <w:sz w:val="26"/>
          <w:szCs w:val="26"/>
        </w:rPr>
      </w:pPr>
      <w:r w:rsidRPr="0048477C">
        <w:rPr>
          <w:b/>
          <w:sz w:val="26"/>
          <w:szCs w:val="26"/>
        </w:rPr>
        <w:t>Recommendation 7:</w:t>
      </w:r>
    </w:p>
    <w:p w:rsidR="00FA40A0" w:rsidRPr="0048477C" w:rsidRDefault="00FA40A0" w:rsidP="00A05C22">
      <w:pPr>
        <w:pStyle w:val="ListParagraph"/>
        <w:ind w:left="0"/>
        <w:rPr>
          <w:sz w:val="26"/>
          <w:szCs w:val="26"/>
        </w:rPr>
      </w:pPr>
      <w:r w:rsidRPr="0048477C">
        <w:rPr>
          <w:sz w:val="26"/>
          <w:szCs w:val="26"/>
        </w:rPr>
        <w:t>Laboratory accreditation and individual certification of forensic science professionals should be mandatory, and all forensic science professionals should have access to a certification process.  In determining appropriate standards for accreditation and certification, the National Institute of Forensic Science (NIFS) should take into account established and recognized international standards, such as those published by the International Organizat</w:t>
      </w:r>
      <w:r w:rsidR="00E669BC">
        <w:rPr>
          <w:sz w:val="26"/>
          <w:szCs w:val="26"/>
        </w:rPr>
        <w:t xml:space="preserve">ion for Standardization (ISO). </w:t>
      </w:r>
      <w:r w:rsidRPr="0048477C">
        <w:rPr>
          <w:sz w:val="26"/>
          <w:szCs w:val="26"/>
        </w:rPr>
        <w:t>No person (public or private) should be allowed to practice in a forensic science discipline or testify as a forensic science professional without certification.  Certification requirements should include, at a minimum, written examinations, supervised practice, proficiency testing, continuing education, recertification procedures, adherence to a code of ethics, and effective</w:t>
      </w:r>
      <w:r w:rsidR="00AD38CA">
        <w:rPr>
          <w:sz w:val="26"/>
          <w:szCs w:val="26"/>
        </w:rPr>
        <w:t xml:space="preserve"> disciplinary procedures. </w:t>
      </w:r>
      <w:r w:rsidRPr="0048477C">
        <w:rPr>
          <w:sz w:val="26"/>
          <w:szCs w:val="26"/>
        </w:rPr>
        <w:t xml:space="preserve">All laboratories and facilities (public or private) should be accredited, and all forensic science professionals should be certified, when </w:t>
      </w:r>
      <w:r w:rsidRPr="0048477C">
        <w:rPr>
          <w:sz w:val="26"/>
          <w:szCs w:val="26"/>
        </w:rPr>
        <w:lastRenderedPageBreak/>
        <w:t>eligible, within a time period established by NIFS.</w:t>
      </w:r>
    </w:p>
    <w:p w:rsidR="00FA40A0" w:rsidRPr="0048477C" w:rsidRDefault="00FA40A0" w:rsidP="00A05C22">
      <w:pPr>
        <w:pStyle w:val="ListParagraph"/>
        <w:ind w:left="0"/>
        <w:rPr>
          <w:sz w:val="26"/>
          <w:szCs w:val="26"/>
        </w:rPr>
      </w:pPr>
    </w:p>
    <w:p w:rsidR="00FA40A0" w:rsidRPr="0048477C" w:rsidRDefault="00FA40A0" w:rsidP="00A05C22">
      <w:pPr>
        <w:pStyle w:val="ListParagraph"/>
        <w:rPr>
          <w:sz w:val="26"/>
          <w:szCs w:val="26"/>
        </w:rPr>
      </w:pPr>
      <w:r>
        <w:rPr>
          <w:sz w:val="26"/>
          <w:szCs w:val="26"/>
        </w:rPr>
        <w:t xml:space="preserve">O.S., </w:t>
      </w:r>
      <w:r>
        <w:t>§74-150.37 states that “on or after July 1, 2005, testimony, results, reports, or evidence of forensics analysis produced on behalf of the prosecution in a criminal trial in forensic disciplines accredited by ASCLD/LAB shall be done by an ASCLD/LAB ac</w:t>
      </w:r>
      <w:r w:rsidR="00AD38CA">
        <w:t xml:space="preserve">credited forensic laboratory.” </w:t>
      </w:r>
      <w:r>
        <w:t>Through this statute, t</w:t>
      </w:r>
      <w:r w:rsidRPr="0048477C">
        <w:rPr>
          <w:sz w:val="26"/>
          <w:szCs w:val="26"/>
        </w:rPr>
        <w:t>he State of Oklahoma requires ASCLD/LAB and</w:t>
      </w:r>
      <w:r>
        <w:rPr>
          <w:sz w:val="26"/>
          <w:szCs w:val="26"/>
        </w:rPr>
        <w:t>/or</w:t>
      </w:r>
      <w:r w:rsidRPr="0048477C">
        <w:rPr>
          <w:sz w:val="26"/>
          <w:szCs w:val="26"/>
        </w:rPr>
        <w:t xml:space="preserve"> ABFT accredit</w:t>
      </w:r>
      <w:r w:rsidR="00AD38CA">
        <w:rPr>
          <w:sz w:val="26"/>
          <w:szCs w:val="26"/>
        </w:rPr>
        <w:t xml:space="preserve">ation for public laboratories. </w:t>
      </w:r>
      <w:r w:rsidRPr="0048477C">
        <w:rPr>
          <w:sz w:val="26"/>
          <w:szCs w:val="26"/>
        </w:rPr>
        <w:t>To strengthen the credibility of forensic testimony, the State of Oklahoma should require</w:t>
      </w:r>
      <w:r>
        <w:rPr>
          <w:sz w:val="26"/>
          <w:szCs w:val="26"/>
        </w:rPr>
        <w:t xml:space="preserve"> accreditation for</w:t>
      </w:r>
      <w:r w:rsidRPr="0048477C">
        <w:rPr>
          <w:sz w:val="26"/>
          <w:szCs w:val="26"/>
        </w:rPr>
        <w:t xml:space="preserve"> private laboratories</w:t>
      </w:r>
      <w:r>
        <w:rPr>
          <w:sz w:val="26"/>
          <w:szCs w:val="26"/>
        </w:rPr>
        <w:t xml:space="preserve"> and/or public labs. The requirement for accreditation should extend to public and private labs performing forensic analysis on behalf of the prosecution or the defense</w:t>
      </w:r>
      <w:r w:rsidRPr="0048477C">
        <w:rPr>
          <w:sz w:val="26"/>
          <w:szCs w:val="26"/>
        </w:rPr>
        <w:t>.</w:t>
      </w:r>
    </w:p>
    <w:p w:rsidR="00FA40A0" w:rsidRPr="0048477C" w:rsidRDefault="00FA40A0" w:rsidP="00A05C22">
      <w:pPr>
        <w:pStyle w:val="ListParagraph"/>
        <w:rPr>
          <w:sz w:val="26"/>
          <w:szCs w:val="26"/>
        </w:rPr>
      </w:pPr>
    </w:p>
    <w:p w:rsidR="00FA40A0" w:rsidRPr="00001A4A" w:rsidRDefault="00FA40A0" w:rsidP="00A05C22">
      <w:pPr>
        <w:pStyle w:val="ListParagraph"/>
        <w:rPr>
          <w:i/>
          <w:sz w:val="26"/>
          <w:szCs w:val="26"/>
        </w:rPr>
      </w:pPr>
      <w:r w:rsidRPr="00001A4A">
        <w:rPr>
          <w:i/>
          <w:sz w:val="26"/>
          <w:szCs w:val="26"/>
        </w:rPr>
        <w:t xml:space="preserve">The Task Force recognizes and promotes the value of individual certification(s); however, </w:t>
      </w:r>
      <w:r w:rsidR="006E0D5D" w:rsidRPr="00001A4A">
        <w:rPr>
          <w:i/>
          <w:sz w:val="26"/>
          <w:szCs w:val="26"/>
        </w:rPr>
        <w:t xml:space="preserve">the Task Force does </w:t>
      </w:r>
      <w:r w:rsidRPr="00001A4A">
        <w:rPr>
          <w:i/>
          <w:sz w:val="26"/>
          <w:szCs w:val="26"/>
        </w:rPr>
        <w:t>not feel that it should be mandatory.</w:t>
      </w:r>
      <w:r w:rsidR="005D2503" w:rsidRPr="00001A4A">
        <w:rPr>
          <w:i/>
          <w:sz w:val="26"/>
          <w:szCs w:val="26"/>
        </w:rPr>
        <w:t xml:space="preserve"> </w:t>
      </w:r>
      <w:r w:rsidRPr="00001A4A">
        <w:rPr>
          <w:i/>
          <w:sz w:val="26"/>
          <w:szCs w:val="26"/>
        </w:rPr>
        <w:t>Analysts working in an accredited laboratory must already meet high standa</w:t>
      </w:r>
      <w:r w:rsidR="00AD38CA">
        <w:rPr>
          <w:i/>
          <w:sz w:val="26"/>
          <w:szCs w:val="26"/>
        </w:rPr>
        <w:t xml:space="preserve">rds when performing their work. </w:t>
      </w:r>
      <w:r w:rsidRPr="00001A4A">
        <w:rPr>
          <w:i/>
          <w:sz w:val="26"/>
          <w:szCs w:val="26"/>
        </w:rPr>
        <w:t xml:space="preserve">Through the lab accreditation program, analysts are required to successfully pass written and oral examinations prior to independent casework, successfully complete proficiency tests annually, participate in continuing education, follow all rules established by internal quality standards and adhere </w:t>
      </w:r>
      <w:r w:rsidR="00731DB1" w:rsidRPr="00001A4A">
        <w:rPr>
          <w:i/>
          <w:sz w:val="26"/>
          <w:szCs w:val="26"/>
        </w:rPr>
        <w:t xml:space="preserve">to </w:t>
      </w:r>
      <w:r w:rsidRPr="00001A4A">
        <w:rPr>
          <w:i/>
          <w:sz w:val="26"/>
          <w:szCs w:val="26"/>
        </w:rPr>
        <w:t>a strict code of ethics.</w:t>
      </w:r>
      <w:r w:rsidR="000C5045" w:rsidRPr="00001A4A">
        <w:rPr>
          <w:i/>
          <w:sz w:val="26"/>
          <w:szCs w:val="26"/>
        </w:rPr>
        <w:t xml:space="preserve"> </w:t>
      </w:r>
      <w:r w:rsidRPr="00001A4A">
        <w:rPr>
          <w:i/>
          <w:sz w:val="26"/>
          <w:szCs w:val="26"/>
        </w:rPr>
        <w:t xml:space="preserve">Therefore, the Task Force believes that the additional mandate of individual certification is costly and unnecessary within an accredited </w:t>
      </w:r>
      <w:r w:rsidR="00731DB1" w:rsidRPr="00001A4A">
        <w:rPr>
          <w:i/>
          <w:sz w:val="26"/>
          <w:szCs w:val="26"/>
        </w:rPr>
        <w:t>lab organization</w:t>
      </w:r>
      <w:r w:rsidRPr="00001A4A">
        <w:rPr>
          <w:i/>
          <w:sz w:val="26"/>
          <w:szCs w:val="26"/>
        </w:rPr>
        <w:t xml:space="preserve">.  </w:t>
      </w:r>
    </w:p>
    <w:p w:rsidR="00FA40A0" w:rsidRPr="00A05C22" w:rsidRDefault="00FA40A0" w:rsidP="00A05C22">
      <w:pPr>
        <w:pStyle w:val="ListParagraph"/>
        <w:ind w:left="0"/>
        <w:rPr>
          <w:sz w:val="26"/>
          <w:szCs w:val="26"/>
          <w:u w:val="single"/>
        </w:rPr>
      </w:pPr>
    </w:p>
    <w:p w:rsidR="00FA40A0" w:rsidRPr="0048477C" w:rsidRDefault="00FA40A0" w:rsidP="00A05C22">
      <w:pPr>
        <w:pStyle w:val="ListParagraph"/>
        <w:ind w:left="0"/>
        <w:rPr>
          <w:sz w:val="26"/>
          <w:szCs w:val="26"/>
        </w:rPr>
      </w:pPr>
      <w:r w:rsidRPr="0048477C">
        <w:rPr>
          <w:b/>
          <w:sz w:val="26"/>
          <w:szCs w:val="26"/>
        </w:rPr>
        <w:t>Recommendation 8:</w:t>
      </w:r>
    </w:p>
    <w:p w:rsidR="00FA40A0" w:rsidRPr="0048477C" w:rsidRDefault="00FA40A0" w:rsidP="00A05C22">
      <w:pPr>
        <w:pStyle w:val="ListParagraph"/>
        <w:ind w:left="0"/>
        <w:rPr>
          <w:sz w:val="26"/>
          <w:szCs w:val="26"/>
        </w:rPr>
      </w:pPr>
      <w:r w:rsidRPr="0048477C">
        <w:rPr>
          <w:sz w:val="26"/>
          <w:szCs w:val="26"/>
        </w:rPr>
        <w:t>Forensic laboratories should establish routine quality assurance and quality control procedures to ensure the accuracy of forensic analyses and the w</w:t>
      </w:r>
      <w:r w:rsidR="00AD38CA">
        <w:rPr>
          <w:sz w:val="26"/>
          <w:szCs w:val="26"/>
        </w:rPr>
        <w:t xml:space="preserve">ork of forensic practitioners. </w:t>
      </w:r>
      <w:r w:rsidRPr="0048477C">
        <w:rPr>
          <w:sz w:val="26"/>
          <w:szCs w:val="26"/>
        </w:rPr>
        <w:t>Quality control procedures should be designed to identify mistakes, fraud, and bias; confirm the continued validity and reliability of standard operation procedures and protocols; ensure that best practices are being followed; and correct procedures and protocols that are found to need improvement.</w:t>
      </w:r>
    </w:p>
    <w:p w:rsidR="00FA40A0" w:rsidRPr="0048477C" w:rsidRDefault="00FA40A0" w:rsidP="00A05C22">
      <w:pPr>
        <w:pStyle w:val="ListParagraph"/>
        <w:ind w:left="0"/>
        <w:rPr>
          <w:sz w:val="26"/>
          <w:szCs w:val="26"/>
        </w:rPr>
      </w:pPr>
    </w:p>
    <w:p w:rsidR="00FA40A0" w:rsidRPr="00001A4A" w:rsidRDefault="00FA40A0" w:rsidP="00A05C22">
      <w:pPr>
        <w:pStyle w:val="ListParagraph"/>
        <w:rPr>
          <w:i/>
          <w:sz w:val="26"/>
          <w:szCs w:val="26"/>
        </w:rPr>
      </w:pPr>
      <w:r w:rsidRPr="00001A4A">
        <w:rPr>
          <w:i/>
          <w:sz w:val="26"/>
          <w:szCs w:val="26"/>
        </w:rPr>
        <w:t>Quality in</w:t>
      </w:r>
      <w:r w:rsidR="00AD38CA">
        <w:rPr>
          <w:i/>
          <w:sz w:val="26"/>
          <w:szCs w:val="26"/>
        </w:rPr>
        <w:t xml:space="preserve"> forensic science is paramount. </w:t>
      </w:r>
      <w:r w:rsidRPr="00001A4A">
        <w:rPr>
          <w:i/>
          <w:sz w:val="26"/>
          <w:szCs w:val="26"/>
        </w:rPr>
        <w:t>The Task Force agrees with this recommendation and believes that the accredited public labs in Oklahoma</w:t>
      </w:r>
      <w:r w:rsidR="00AD38CA">
        <w:rPr>
          <w:i/>
          <w:sz w:val="26"/>
          <w:szCs w:val="26"/>
        </w:rPr>
        <w:t xml:space="preserve"> already fall in line with it. </w:t>
      </w:r>
      <w:r w:rsidRPr="00001A4A">
        <w:rPr>
          <w:i/>
          <w:sz w:val="26"/>
          <w:szCs w:val="26"/>
        </w:rPr>
        <w:t>All accredited laboratories concentrate efforts on ensuring that the work performed in their labs is of the highest quality and that the accuracy of o</w:t>
      </w:r>
      <w:r w:rsidR="00AD38CA">
        <w:rPr>
          <w:i/>
          <w:sz w:val="26"/>
          <w:szCs w:val="26"/>
        </w:rPr>
        <w:t xml:space="preserve">ur results is not in question. </w:t>
      </w:r>
      <w:r w:rsidRPr="00001A4A">
        <w:rPr>
          <w:i/>
          <w:sz w:val="26"/>
          <w:szCs w:val="26"/>
        </w:rPr>
        <w:t>The accredited labs continue to maintain ASCLD/LAB accreditation and/or ABFT accreditation for all of its laboratories.  In addition, the public forensic labs in Oklahoma have developed and implemented rigorous internal quality programs to guide the work performed and decisions made by person</w:t>
      </w:r>
      <w:r w:rsidR="00AD38CA">
        <w:rPr>
          <w:i/>
          <w:sz w:val="26"/>
          <w:szCs w:val="26"/>
        </w:rPr>
        <w:t xml:space="preserve">nel. </w:t>
      </w:r>
      <w:r w:rsidRPr="00001A4A">
        <w:rPr>
          <w:i/>
          <w:sz w:val="26"/>
          <w:szCs w:val="26"/>
        </w:rPr>
        <w:t>These quality programs include the development of structured training, peer review of casework, monitoring of testimony given by forensic experts, strict guidelines on evidence handling so that risks of contamination and evidence loss are minimized,</w:t>
      </w:r>
      <w:r>
        <w:rPr>
          <w:sz w:val="26"/>
          <w:szCs w:val="26"/>
        </w:rPr>
        <w:t xml:space="preserve"> </w:t>
      </w:r>
      <w:r w:rsidRPr="00001A4A">
        <w:rPr>
          <w:i/>
          <w:sz w:val="26"/>
          <w:szCs w:val="26"/>
        </w:rPr>
        <w:t>requirements for building security, and guidance on corrective action or remediation plans.</w:t>
      </w:r>
    </w:p>
    <w:p w:rsidR="00FA40A0" w:rsidRPr="00001A4A" w:rsidRDefault="00FA40A0" w:rsidP="00A05C22">
      <w:pPr>
        <w:pStyle w:val="ListParagraph"/>
        <w:rPr>
          <w:i/>
          <w:sz w:val="26"/>
          <w:szCs w:val="26"/>
        </w:rPr>
      </w:pPr>
    </w:p>
    <w:p w:rsidR="00FA40A0" w:rsidRPr="00001A4A" w:rsidRDefault="00FA40A0" w:rsidP="00A05C22">
      <w:pPr>
        <w:pStyle w:val="ListParagraph"/>
        <w:rPr>
          <w:i/>
          <w:sz w:val="26"/>
          <w:szCs w:val="26"/>
          <w:u w:val="single"/>
        </w:rPr>
      </w:pPr>
      <w:r w:rsidRPr="00001A4A">
        <w:rPr>
          <w:i/>
          <w:sz w:val="26"/>
          <w:szCs w:val="26"/>
        </w:rPr>
        <w:t>These quality programs are s</w:t>
      </w:r>
      <w:r w:rsidR="00AD38CA">
        <w:rPr>
          <w:i/>
          <w:sz w:val="26"/>
          <w:szCs w:val="26"/>
        </w:rPr>
        <w:t xml:space="preserve">crutinized on a regular basis. </w:t>
      </w:r>
      <w:r w:rsidRPr="00001A4A">
        <w:rPr>
          <w:i/>
          <w:sz w:val="26"/>
          <w:szCs w:val="26"/>
        </w:rPr>
        <w:t xml:space="preserve">Through the accreditation process, forensic labs are required to undergo internal audits every year and external audits at least once every 5 years. </w:t>
      </w:r>
    </w:p>
    <w:p w:rsidR="00FA40A0" w:rsidRPr="00A05C22" w:rsidRDefault="00FA40A0" w:rsidP="00A05C22">
      <w:pPr>
        <w:pStyle w:val="ListParagraph"/>
        <w:ind w:left="0"/>
        <w:rPr>
          <w:sz w:val="26"/>
          <w:szCs w:val="26"/>
          <w:u w:val="single"/>
        </w:rPr>
      </w:pPr>
    </w:p>
    <w:p w:rsidR="00FA40A0" w:rsidRPr="0048477C" w:rsidRDefault="00FA40A0" w:rsidP="00A05C22">
      <w:pPr>
        <w:pStyle w:val="ListParagraph"/>
        <w:ind w:left="0"/>
        <w:rPr>
          <w:sz w:val="26"/>
          <w:szCs w:val="26"/>
        </w:rPr>
      </w:pPr>
      <w:r w:rsidRPr="0048477C">
        <w:rPr>
          <w:b/>
          <w:sz w:val="26"/>
          <w:szCs w:val="26"/>
        </w:rPr>
        <w:lastRenderedPageBreak/>
        <w:t>Recommendation 9:</w:t>
      </w:r>
    </w:p>
    <w:p w:rsidR="00FA40A0" w:rsidRPr="0048477C" w:rsidRDefault="00FA40A0" w:rsidP="00A05C22">
      <w:pPr>
        <w:pStyle w:val="ListParagraph"/>
        <w:ind w:left="0"/>
        <w:rPr>
          <w:sz w:val="26"/>
          <w:szCs w:val="26"/>
        </w:rPr>
      </w:pPr>
      <w:r w:rsidRPr="0048477C">
        <w:rPr>
          <w:sz w:val="26"/>
          <w:szCs w:val="26"/>
        </w:rPr>
        <w:t>The National Institute of Forensic Science (NIFS), in consultation with its advisory board, should establish a national code of ethics for all forensic science disciplines and encourage individual societies to incorporate this national code as part of thei</w:t>
      </w:r>
      <w:r w:rsidR="00AD38CA">
        <w:rPr>
          <w:sz w:val="26"/>
          <w:szCs w:val="26"/>
        </w:rPr>
        <w:t xml:space="preserve">r professional code of ethics. </w:t>
      </w:r>
      <w:r w:rsidRPr="0048477C">
        <w:rPr>
          <w:sz w:val="26"/>
          <w:szCs w:val="26"/>
        </w:rPr>
        <w:t>Additionally, NIFS should explore mechanisms of enforcement for those forensic scientists who comm</w:t>
      </w:r>
      <w:r w:rsidR="00AD38CA">
        <w:rPr>
          <w:sz w:val="26"/>
          <w:szCs w:val="26"/>
        </w:rPr>
        <w:t xml:space="preserve">it serious ethical violations. </w:t>
      </w:r>
      <w:r w:rsidRPr="0048477C">
        <w:rPr>
          <w:sz w:val="26"/>
          <w:szCs w:val="26"/>
        </w:rPr>
        <w:t>Such a code could be enforced through a certification process for forensic scientists.</w:t>
      </w:r>
    </w:p>
    <w:p w:rsidR="00FA40A0" w:rsidRPr="0048477C" w:rsidRDefault="00FA40A0" w:rsidP="00A05C22">
      <w:pPr>
        <w:pStyle w:val="ListParagraph"/>
        <w:ind w:left="0"/>
        <w:rPr>
          <w:sz w:val="26"/>
          <w:szCs w:val="26"/>
        </w:rPr>
      </w:pPr>
    </w:p>
    <w:p w:rsidR="00FA40A0" w:rsidRPr="00001A4A" w:rsidRDefault="00FA40A0" w:rsidP="008472BE">
      <w:pPr>
        <w:pStyle w:val="ListParagraph"/>
        <w:ind w:left="0" w:firstLine="720"/>
        <w:rPr>
          <w:i/>
          <w:sz w:val="26"/>
          <w:szCs w:val="26"/>
        </w:rPr>
      </w:pPr>
      <w:r w:rsidRPr="00001A4A">
        <w:rPr>
          <w:i/>
          <w:sz w:val="26"/>
          <w:szCs w:val="26"/>
        </w:rPr>
        <w:t>The Task Force encourages the adherence to a professional code of ethics.</w:t>
      </w:r>
    </w:p>
    <w:p w:rsidR="00FA40A0" w:rsidRDefault="00FA40A0" w:rsidP="00A05C22">
      <w:pPr>
        <w:pStyle w:val="ListParagraph"/>
        <w:ind w:left="0"/>
        <w:rPr>
          <w:b/>
          <w:sz w:val="26"/>
          <w:szCs w:val="26"/>
        </w:rPr>
      </w:pPr>
    </w:p>
    <w:p w:rsidR="00FA40A0" w:rsidRPr="0048477C" w:rsidRDefault="00FA40A0" w:rsidP="00A05C22">
      <w:pPr>
        <w:pStyle w:val="ListParagraph"/>
        <w:ind w:left="0"/>
        <w:rPr>
          <w:sz w:val="26"/>
          <w:szCs w:val="26"/>
        </w:rPr>
      </w:pPr>
      <w:r w:rsidRPr="0048477C">
        <w:rPr>
          <w:b/>
          <w:sz w:val="26"/>
          <w:szCs w:val="26"/>
        </w:rPr>
        <w:t>Recommendation 10:</w:t>
      </w:r>
    </w:p>
    <w:p w:rsidR="00FA40A0" w:rsidRPr="0048477C" w:rsidRDefault="00FA40A0" w:rsidP="00A05C22">
      <w:pPr>
        <w:pStyle w:val="ListParagraph"/>
        <w:ind w:left="0"/>
        <w:rPr>
          <w:sz w:val="26"/>
          <w:szCs w:val="26"/>
        </w:rPr>
      </w:pPr>
      <w:r w:rsidRPr="0048477C">
        <w:rPr>
          <w:sz w:val="26"/>
          <w:szCs w:val="26"/>
        </w:rPr>
        <w:t>To attract students in the physical and life sciences to pursue graduate studies in multidisciplinary fields critical to forensic science practice, Congress should authorize and appropriate funds to the National Institute of Forensic Science (NIFS) to work with appropriate organizations and educational institutions to improve and develop graduate education programs designed to cut across organizational, programmatic</w:t>
      </w:r>
      <w:r w:rsidR="00AD38CA">
        <w:rPr>
          <w:sz w:val="26"/>
          <w:szCs w:val="26"/>
        </w:rPr>
        <w:t xml:space="preserve">, and disciplinary boundaries. </w:t>
      </w:r>
      <w:r w:rsidRPr="0048477C">
        <w:rPr>
          <w:sz w:val="26"/>
          <w:szCs w:val="26"/>
        </w:rPr>
        <w:t>To make these programs appealing to potential students, they must include attractive scholar</w:t>
      </w:r>
      <w:r w:rsidR="00001A4A">
        <w:rPr>
          <w:sz w:val="26"/>
          <w:szCs w:val="26"/>
        </w:rPr>
        <w:t xml:space="preserve">ship and fellowship offerings. </w:t>
      </w:r>
      <w:r w:rsidRPr="0048477C">
        <w:rPr>
          <w:sz w:val="26"/>
          <w:szCs w:val="26"/>
        </w:rPr>
        <w:t>Emphasis should be placed on developing and improving research methods and methodologies applicable to forensic science practice and on funding research programs to attract research universities and students in fields</w:t>
      </w:r>
      <w:r w:rsidR="00001A4A">
        <w:rPr>
          <w:sz w:val="26"/>
          <w:szCs w:val="26"/>
        </w:rPr>
        <w:t xml:space="preserve"> relevant to forensic science. </w:t>
      </w:r>
      <w:r w:rsidRPr="0048477C">
        <w:rPr>
          <w:sz w:val="26"/>
          <w:szCs w:val="26"/>
        </w:rPr>
        <w:t>NIFS should also support law school administrators and judicial education organizations in establishing continuing legal education programs for law students, practitioners, and judges.</w:t>
      </w:r>
    </w:p>
    <w:p w:rsidR="00FA40A0" w:rsidRPr="0048477C" w:rsidRDefault="00FA40A0" w:rsidP="00A05C22">
      <w:pPr>
        <w:pStyle w:val="ListParagraph"/>
        <w:ind w:left="0"/>
        <w:rPr>
          <w:sz w:val="26"/>
          <w:szCs w:val="26"/>
        </w:rPr>
      </w:pPr>
    </w:p>
    <w:p w:rsidR="00FA40A0" w:rsidRPr="00001A4A" w:rsidRDefault="00FA40A0" w:rsidP="008472BE">
      <w:pPr>
        <w:pStyle w:val="ListParagraph"/>
        <w:ind w:left="0" w:firstLine="720"/>
        <w:rPr>
          <w:i/>
          <w:sz w:val="26"/>
          <w:szCs w:val="26"/>
        </w:rPr>
      </w:pPr>
      <w:r w:rsidRPr="00001A4A">
        <w:rPr>
          <w:i/>
          <w:sz w:val="26"/>
          <w:szCs w:val="26"/>
        </w:rPr>
        <w:t>The Task Force concurs in this recommendation.</w:t>
      </w:r>
    </w:p>
    <w:p w:rsidR="00FA40A0" w:rsidRPr="00A05C22" w:rsidRDefault="00FA40A0" w:rsidP="00A05C22">
      <w:pPr>
        <w:pStyle w:val="ListParagraph"/>
        <w:ind w:left="0"/>
        <w:rPr>
          <w:sz w:val="26"/>
          <w:szCs w:val="26"/>
          <w:u w:val="single"/>
        </w:rPr>
      </w:pPr>
    </w:p>
    <w:p w:rsidR="00FA40A0" w:rsidRPr="0048477C" w:rsidRDefault="00FA40A0" w:rsidP="00A05C22">
      <w:pPr>
        <w:pStyle w:val="ListParagraph"/>
        <w:ind w:left="0"/>
        <w:rPr>
          <w:sz w:val="26"/>
          <w:szCs w:val="26"/>
        </w:rPr>
      </w:pPr>
      <w:r w:rsidRPr="0048477C">
        <w:rPr>
          <w:b/>
          <w:sz w:val="26"/>
          <w:szCs w:val="26"/>
        </w:rPr>
        <w:t>Recommendation 11:</w:t>
      </w:r>
    </w:p>
    <w:p w:rsidR="00FA40A0" w:rsidRPr="0048477C" w:rsidRDefault="00FA40A0" w:rsidP="00A05C22">
      <w:pPr>
        <w:pStyle w:val="ListParagraph"/>
        <w:ind w:left="0"/>
        <w:rPr>
          <w:sz w:val="26"/>
          <w:szCs w:val="26"/>
        </w:rPr>
      </w:pPr>
      <w:r w:rsidRPr="0048477C">
        <w:rPr>
          <w:sz w:val="26"/>
          <w:szCs w:val="26"/>
        </w:rPr>
        <w:t>To improve medicolegal death investigation:</w:t>
      </w:r>
    </w:p>
    <w:p w:rsidR="00FA40A0" w:rsidRPr="0048477C" w:rsidRDefault="00FA40A0" w:rsidP="00A05C22">
      <w:pPr>
        <w:pStyle w:val="ListParagraph"/>
        <w:ind w:left="0"/>
        <w:rPr>
          <w:sz w:val="26"/>
          <w:szCs w:val="26"/>
        </w:rPr>
      </w:pPr>
    </w:p>
    <w:p w:rsidR="00456B2C" w:rsidRDefault="00FA40A0" w:rsidP="00001A4A">
      <w:pPr>
        <w:pStyle w:val="ListParagraph"/>
        <w:widowControl/>
        <w:numPr>
          <w:ilvl w:val="0"/>
          <w:numId w:val="20"/>
        </w:numPr>
        <w:autoSpaceDE/>
        <w:autoSpaceDN/>
        <w:adjustRightInd/>
        <w:contextualSpacing w:val="0"/>
        <w:rPr>
          <w:sz w:val="26"/>
          <w:szCs w:val="26"/>
        </w:rPr>
      </w:pPr>
      <w:r w:rsidRPr="0048477C">
        <w:rPr>
          <w:sz w:val="26"/>
          <w:szCs w:val="26"/>
        </w:rPr>
        <w:t xml:space="preserve">Congress should authorize and appropriate incentive funds to the National Institute of Forensic Science (NIFS) for allocation to states and jurisdictions to establish medical examiner systems, with the goal of replacing and eventually eliminating existing coroner </w:t>
      </w:r>
      <w:r w:rsidR="00AD38CA">
        <w:rPr>
          <w:sz w:val="26"/>
          <w:szCs w:val="26"/>
        </w:rPr>
        <w:t xml:space="preserve">systems. </w:t>
      </w:r>
      <w:r w:rsidRPr="0048477C">
        <w:rPr>
          <w:sz w:val="26"/>
          <w:szCs w:val="26"/>
        </w:rPr>
        <w:t>Funds are needed to build regional medical examiner offices, secure necessary equipment, improve administration, and ensure the education, training, and staffin</w:t>
      </w:r>
      <w:r w:rsidR="00AD38CA">
        <w:rPr>
          <w:sz w:val="26"/>
          <w:szCs w:val="26"/>
        </w:rPr>
        <w:t xml:space="preserve">g of medical examiner offices. </w:t>
      </w:r>
      <w:r w:rsidRPr="0048477C">
        <w:rPr>
          <w:sz w:val="26"/>
          <w:szCs w:val="26"/>
        </w:rPr>
        <w:t>Funding could also be used to help current medical examiner systems modernize their facilities to meet current Centers for Disease Control and Prevention-recommended autopsy safety requirements.</w:t>
      </w:r>
      <w:r w:rsidR="00375743">
        <w:rPr>
          <w:sz w:val="26"/>
          <w:szCs w:val="26"/>
        </w:rPr>
        <w:t xml:space="preserve"> </w:t>
      </w:r>
    </w:p>
    <w:p w:rsidR="009B56D5" w:rsidRDefault="009B56D5" w:rsidP="00992713">
      <w:pPr>
        <w:pStyle w:val="ListParagraph"/>
        <w:widowControl/>
        <w:autoSpaceDE/>
        <w:autoSpaceDN/>
        <w:adjustRightInd/>
        <w:spacing w:after="200" w:line="276" w:lineRule="auto"/>
        <w:ind w:left="360"/>
        <w:rPr>
          <w:sz w:val="26"/>
          <w:szCs w:val="26"/>
        </w:rPr>
      </w:pPr>
    </w:p>
    <w:p w:rsidR="009B56D5" w:rsidRPr="00001A4A" w:rsidRDefault="00375743" w:rsidP="00001A4A">
      <w:pPr>
        <w:pStyle w:val="ListParagraph"/>
        <w:widowControl/>
        <w:autoSpaceDE/>
        <w:autoSpaceDN/>
        <w:adjustRightInd/>
        <w:rPr>
          <w:i/>
          <w:sz w:val="26"/>
          <w:szCs w:val="26"/>
        </w:rPr>
      </w:pPr>
      <w:r w:rsidRPr="00001A4A">
        <w:rPr>
          <w:i/>
          <w:sz w:val="26"/>
          <w:szCs w:val="26"/>
        </w:rPr>
        <w:t xml:space="preserve">The Task Force concurs. In addition, funds should be included for the National Association of Medical Examiners as the organization. </w:t>
      </w:r>
    </w:p>
    <w:p w:rsidR="00451ABB" w:rsidRPr="00864160" w:rsidRDefault="00451ABB" w:rsidP="00451ABB">
      <w:pPr>
        <w:pStyle w:val="ListParagraph"/>
        <w:widowControl/>
        <w:autoSpaceDE/>
        <w:autoSpaceDN/>
        <w:adjustRightInd/>
        <w:spacing w:after="200" w:line="276" w:lineRule="auto"/>
        <w:rPr>
          <w:sz w:val="26"/>
          <w:szCs w:val="26"/>
        </w:rPr>
      </w:pPr>
    </w:p>
    <w:p w:rsidR="00456B2C" w:rsidRDefault="00FA40A0" w:rsidP="00001A4A">
      <w:pPr>
        <w:pStyle w:val="ListParagraph"/>
        <w:widowControl/>
        <w:numPr>
          <w:ilvl w:val="0"/>
          <w:numId w:val="20"/>
        </w:numPr>
        <w:tabs>
          <w:tab w:val="left" w:pos="720"/>
        </w:tabs>
        <w:autoSpaceDE/>
        <w:autoSpaceDN/>
        <w:adjustRightInd/>
        <w:ind w:left="720" w:hanging="720"/>
        <w:rPr>
          <w:sz w:val="26"/>
          <w:szCs w:val="26"/>
        </w:rPr>
      </w:pPr>
      <w:r w:rsidRPr="0048477C">
        <w:rPr>
          <w:sz w:val="26"/>
          <w:szCs w:val="26"/>
        </w:rPr>
        <w:t>Congress should appropriate resources to the National Institutes of Health (NIH) and NIFS, jointly, to support research, education, and t</w:t>
      </w:r>
      <w:r w:rsidR="00AD38CA">
        <w:rPr>
          <w:sz w:val="26"/>
          <w:szCs w:val="26"/>
        </w:rPr>
        <w:t xml:space="preserve">raining in forensic pathology. </w:t>
      </w:r>
      <w:r w:rsidRPr="0048477C">
        <w:rPr>
          <w:sz w:val="26"/>
          <w:szCs w:val="26"/>
        </w:rPr>
        <w:t xml:space="preserve">NIH, with NIFS participation, or NIFS in collaboration with content experts, should establish </w:t>
      </w:r>
      <w:r w:rsidRPr="0048477C">
        <w:rPr>
          <w:sz w:val="26"/>
          <w:szCs w:val="26"/>
        </w:rPr>
        <w:lastRenderedPageBreak/>
        <w:t>a study section to establish goals, to review and evaluate proposals in these areas, and to allocate funding for collaborative research to be conducted by medical examiner off</w:t>
      </w:r>
      <w:r w:rsidR="00AD38CA">
        <w:rPr>
          <w:sz w:val="26"/>
          <w:szCs w:val="26"/>
        </w:rPr>
        <w:t xml:space="preserve">ices and medical universities. </w:t>
      </w:r>
      <w:r w:rsidRPr="0048477C">
        <w:rPr>
          <w:sz w:val="26"/>
          <w:szCs w:val="26"/>
        </w:rPr>
        <w:t>In addition, funding, in the form of medical student loan forgiveness and/or fellowship support, should be made available to pathology residents who choose forensic pathology as their specialty.</w:t>
      </w:r>
      <w:r w:rsidR="00456B2C">
        <w:rPr>
          <w:sz w:val="26"/>
          <w:szCs w:val="26"/>
        </w:rPr>
        <w:t xml:space="preserve"> </w:t>
      </w:r>
    </w:p>
    <w:p w:rsidR="009B56D5" w:rsidRDefault="009B56D5" w:rsidP="00001A4A">
      <w:pPr>
        <w:pStyle w:val="ListParagraph"/>
        <w:widowControl/>
        <w:autoSpaceDE/>
        <w:autoSpaceDN/>
        <w:adjustRightInd/>
        <w:ind w:left="0"/>
        <w:rPr>
          <w:sz w:val="26"/>
          <w:szCs w:val="26"/>
        </w:rPr>
      </w:pPr>
    </w:p>
    <w:p w:rsidR="009B56D5" w:rsidRPr="00001A4A" w:rsidRDefault="00456B2C" w:rsidP="00001A4A">
      <w:pPr>
        <w:pStyle w:val="ListParagraph"/>
        <w:widowControl/>
        <w:autoSpaceDE/>
        <w:autoSpaceDN/>
        <w:adjustRightInd/>
        <w:rPr>
          <w:i/>
          <w:sz w:val="26"/>
          <w:szCs w:val="26"/>
        </w:rPr>
      </w:pPr>
      <w:r w:rsidRPr="00001A4A">
        <w:rPr>
          <w:i/>
          <w:sz w:val="26"/>
          <w:szCs w:val="26"/>
        </w:rPr>
        <w:t xml:space="preserve">The Task Force </w:t>
      </w:r>
      <w:r w:rsidR="006E0D5D" w:rsidRPr="00001A4A">
        <w:rPr>
          <w:i/>
          <w:sz w:val="26"/>
          <w:szCs w:val="26"/>
        </w:rPr>
        <w:t>concurs;</w:t>
      </w:r>
      <w:r w:rsidRPr="00001A4A">
        <w:rPr>
          <w:i/>
          <w:sz w:val="26"/>
          <w:szCs w:val="26"/>
        </w:rPr>
        <w:t xml:space="preserve"> however, there are some questions about the most appropriate agency to work through.</w:t>
      </w:r>
    </w:p>
    <w:p w:rsidR="009B56D5" w:rsidRDefault="009B56D5" w:rsidP="00992713">
      <w:pPr>
        <w:pStyle w:val="ListParagraph"/>
        <w:widowControl/>
        <w:autoSpaceDE/>
        <w:autoSpaceDN/>
        <w:adjustRightInd/>
        <w:spacing w:after="200" w:line="276" w:lineRule="auto"/>
        <w:ind w:left="360"/>
        <w:rPr>
          <w:sz w:val="26"/>
          <w:szCs w:val="26"/>
        </w:rPr>
      </w:pPr>
    </w:p>
    <w:p w:rsidR="00FA40A0" w:rsidRDefault="00FA40A0" w:rsidP="00507067">
      <w:pPr>
        <w:pStyle w:val="ListParagraph"/>
        <w:widowControl/>
        <w:numPr>
          <w:ilvl w:val="0"/>
          <w:numId w:val="20"/>
        </w:numPr>
        <w:autoSpaceDE/>
        <w:autoSpaceDN/>
        <w:adjustRightInd/>
        <w:ind w:left="720" w:hanging="720"/>
        <w:rPr>
          <w:sz w:val="26"/>
          <w:szCs w:val="26"/>
        </w:rPr>
      </w:pPr>
      <w:r w:rsidRPr="0048477C">
        <w:rPr>
          <w:sz w:val="26"/>
          <w:szCs w:val="26"/>
        </w:rPr>
        <w:t>NIFS, in collaboration with NIH, the National Association of Medical Examiners, the American Board of Medicolegal Death Investigators, and other appropriate professional organizations, should establish a Scientific Working Group (SWG) for forensic pathology and me</w:t>
      </w:r>
      <w:r w:rsidR="00001A4A">
        <w:rPr>
          <w:sz w:val="26"/>
          <w:szCs w:val="26"/>
        </w:rPr>
        <w:t xml:space="preserve">dicolegal death investigation. </w:t>
      </w:r>
      <w:r w:rsidRPr="0048477C">
        <w:rPr>
          <w:sz w:val="26"/>
          <w:szCs w:val="26"/>
        </w:rPr>
        <w:t>The SWG should develop and promote standards for best practices, administration, staffing, education, training, and continuing education for competent death scene investigatio</w:t>
      </w:r>
      <w:r w:rsidR="00001A4A">
        <w:rPr>
          <w:sz w:val="26"/>
          <w:szCs w:val="26"/>
        </w:rPr>
        <w:t xml:space="preserve">n and postmortem examinations. </w:t>
      </w:r>
      <w:r w:rsidRPr="0048477C">
        <w:rPr>
          <w:sz w:val="26"/>
          <w:szCs w:val="26"/>
        </w:rPr>
        <w:t>Best practices should include the utilization of new technologies such as laboratory testing for the molecular basis of diseases and the implementation of specialized imaging techniques.</w:t>
      </w:r>
    </w:p>
    <w:p w:rsidR="009B56D5" w:rsidRDefault="009B56D5" w:rsidP="00507067">
      <w:pPr>
        <w:pStyle w:val="ListParagraph"/>
        <w:widowControl/>
        <w:autoSpaceDE/>
        <w:autoSpaceDN/>
        <w:adjustRightInd/>
        <w:ind w:hanging="720"/>
        <w:rPr>
          <w:sz w:val="26"/>
          <w:szCs w:val="26"/>
        </w:rPr>
      </w:pPr>
    </w:p>
    <w:p w:rsidR="009B56D5" w:rsidRDefault="007B503D" w:rsidP="00507067">
      <w:pPr>
        <w:pStyle w:val="ListParagraph"/>
        <w:widowControl/>
        <w:autoSpaceDE/>
        <w:autoSpaceDN/>
        <w:adjustRightInd/>
        <w:rPr>
          <w:sz w:val="26"/>
          <w:szCs w:val="26"/>
        </w:rPr>
      </w:pPr>
      <w:r>
        <w:rPr>
          <w:sz w:val="26"/>
          <w:szCs w:val="26"/>
        </w:rPr>
        <w:t>A Scientific Working G</w:t>
      </w:r>
      <w:r w:rsidR="00456B2C" w:rsidRPr="00864160">
        <w:rPr>
          <w:sz w:val="26"/>
          <w:szCs w:val="26"/>
        </w:rPr>
        <w:t>roup has already been established</w:t>
      </w:r>
      <w:r w:rsidR="00451ABB">
        <w:rPr>
          <w:sz w:val="26"/>
          <w:szCs w:val="26"/>
        </w:rPr>
        <w:t>. I</w:t>
      </w:r>
      <w:r w:rsidR="00456B2C" w:rsidRPr="00864160">
        <w:rPr>
          <w:sz w:val="26"/>
          <w:szCs w:val="26"/>
        </w:rPr>
        <w:t>t should be noted that best practices often become the only acceptable practices, and is no</w:t>
      </w:r>
      <w:r w:rsidR="00001A4A">
        <w:rPr>
          <w:sz w:val="26"/>
          <w:szCs w:val="26"/>
        </w:rPr>
        <w:t xml:space="preserve">t necessary in all situations. </w:t>
      </w:r>
      <w:r w:rsidR="00456B2C" w:rsidRPr="00864160">
        <w:rPr>
          <w:sz w:val="26"/>
          <w:szCs w:val="26"/>
        </w:rPr>
        <w:t>Specialized imaging techniques would be desirable in a very small number of cases, but are unnecessary in the vast majority of cases.</w:t>
      </w:r>
    </w:p>
    <w:p w:rsidR="009B56D5" w:rsidRDefault="009B56D5" w:rsidP="00507067">
      <w:pPr>
        <w:pStyle w:val="ListParagraph"/>
        <w:widowControl/>
        <w:autoSpaceDE/>
        <w:autoSpaceDN/>
        <w:adjustRightInd/>
        <w:ind w:hanging="720"/>
        <w:rPr>
          <w:sz w:val="26"/>
          <w:szCs w:val="26"/>
        </w:rPr>
      </w:pPr>
    </w:p>
    <w:p w:rsidR="00001A4A" w:rsidRDefault="00456B2C" w:rsidP="00507067">
      <w:pPr>
        <w:pStyle w:val="ListParagraph"/>
        <w:widowControl/>
        <w:autoSpaceDE/>
        <w:autoSpaceDN/>
        <w:adjustRightInd/>
        <w:rPr>
          <w:sz w:val="26"/>
          <w:szCs w:val="26"/>
        </w:rPr>
      </w:pPr>
      <w:r w:rsidRPr="00864160">
        <w:rPr>
          <w:sz w:val="26"/>
          <w:szCs w:val="26"/>
        </w:rPr>
        <w:t>The Medical Examiner’s primary charge</w:t>
      </w:r>
      <w:r w:rsidR="00AD38CA">
        <w:rPr>
          <w:sz w:val="26"/>
          <w:szCs w:val="26"/>
        </w:rPr>
        <w:t xml:space="preserve"> is cause and manner of death. </w:t>
      </w:r>
      <w:r w:rsidRPr="00864160">
        <w:rPr>
          <w:sz w:val="26"/>
          <w:szCs w:val="26"/>
        </w:rPr>
        <w:t>The molecular basis of disease provides an explanation for the occurrence of a disease but does</w:t>
      </w:r>
      <w:r w:rsidR="00595102" w:rsidRPr="00864160">
        <w:rPr>
          <w:sz w:val="26"/>
          <w:szCs w:val="26"/>
        </w:rPr>
        <w:t xml:space="preserve"> not change the cause or manner of death but is a p</w:t>
      </w:r>
      <w:r w:rsidR="00001A4A">
        <w:rPr>
          <w:sz w:val="26"/>
          <w:szCs w:val="26"/>
        </w:rPr>
        <w:t xml:space="preserve">ublic health function/service. </w:t>
      </w:r>
      <w:r w:rsidR="00595102" w:rsidRPr="00864160">
        <w:rPr>
          <w:sz w:val="26"/>
          <w:szCs w:val="26"/>
        </w:rPr>
        <w:t xml:space="preserve">The level of integration and definition of roles between Medical Examiners and health departments currently varies by jurisdiction and state.  </w:t>
      </w:r>
    </w:p>
    <w:p w:rsidR="00001A4A" w:rsidRDefault="00001A4A" w:rsidP="00001A4A">
      <w:pPr>
        <w:pStyle w:val="ListParagraph"/>
        <w:widowControl/>
        <w:autoSpaceDE/>
        <w:autoSpaceDN/>
        <w:adjustRightInd/>
        <w:ind w:left="1440"/>
        <w:rPr>
          <w:sz w:val="26"/>
          <w:szCs w:val="26"/>
        </w:rPr>
      </w:pPr>
    </w:p>
    <w:p w:rsidR="009B56D5" w:rsidRPr="00507067" w:rsidRDefault="00595102" w:rsidP="00507067">
      <w:pPr>
        <w:widowControl/>
        <w:autoSpaceDE/>
        <w:autoSpaceDN/>
        <w:adjustRightInd/>
        <w:ind w:left="720"/>
        <w:rPr>
          <w:i/>
          <w:sz w:val="26"/>
          <w:szCs w:val="26"/>
          <w:u w:val="single"/>
        </w:rPr>
      </w:pPr>
      <w:r w:rsidRPr="00507067">
        <w:rPr>
          <w:i/>
          <w:sz w:val="26"/>
          <w:szCs w:val="26"/>
        </w:rPr>
        <w:t>The Task Force believes it should be left up to the citizens and their representatives in each jurisdiction as to how extensive a role the Medical Exam</w:t>
      </w:r>
      <w:r w:rsidR="00AD38CA">
        <w:rPr>
          <w:i/>
          <w:sz w:val="26"/>
          <w:szCs w:val="26"/>
        </w:rPr>
        <w:t xml:space="preserve">iner should play in that area. </w:t>
      </w:r>
      <w:r w:rsidRPr="00507067">
        <w:rPr>
          <w:i/>
          <w:sz w:val="26"/>
          <w:szCs w:val="26"/>
        </w:rPr>
        <w:t xml:space="preserve">There is no compelling reason to mandate a universal approach in terms of public health service but should allow the best system to address the local needs. </w:t>
      </w:r>
    </w:p>
    <w:p w:rsidR="009B56D5" w:rsidRDefault="009B56D5" w:rsidP="00992713">
      <w:pPr>
        <w:pStyle w:val="ListParagraph"/>
        <w:widowControl/>
        <w:autoSpaceDE/>
        <w:autoSpaceDN/>
        <w:adjustRightInd/>
        <w:spacing w:after="200" w:line="276" w:lineRule="auto"/>
        <w:ind w:left="360"/>
        <w:rPr>
          <w:sz w:val="26"/>
          <w:szCs w:val="26"/>
        </w:rPr>
      </w:pPr>
    </w:p>
    <w:p w:rsidR="00FA40A0" w:rsidRPr="00BA3F8F" w:rsidRDefault="00FA40A0" w:rsidP="00001A4A">
      <w:pPr>
        <w:pStyle w:val="ListParagraph"/>
        <w:widowControl/>
        <w:numPr>
          <w:ilvl w:val="0"/>
          <w:numId w:val="20"/>
        </w:numPr>
        <w:autoSpaceDE/>
        <w:autoSpaceDN/>
        <w:adjustRightInd/>
        <w:rPr>
          <w:sz w:val="26"/>
          <w:szCs w:val="26"/>
        </w:rPr>
      </w:pPr>
      <w:r w:rsidRPr="00BA3F8F">
        <w:rPr>
          <w:sz w:val="26"/>
          <w:szCs w:val="26"/>
        </w:rPr>
        <w:t>All medical examiner offices should be accredited pursuant to NIFS-endorsed standards within a timeframe to be established by NIFS.</w:t>
      </w:r>
    </w:p>
    <w:p w:rsidR="009B56D5" w:rsidRDefault="009B56D5" w:rsidP="00992713">
      <w:pPr>
        <w:pStyle w:val="ListParagraph"/>
        <w:widowControl/>
        <w:autoSpaceDE/>
        <w:autoSpaceDN/>
        <w:adjustRightInd/>
        <w:spacing w:after="200" w:line="276" w:lineRule="auto"/>
        <w:ind w:left="360"/>
        <w:rPr>
          <w:sz w:val="26"/>
          <w:szCs w:val="26"/>
        </w:rPr>
      </w:pPr>
    </w:p>
    <w:p w:rsidR="009B56D5" w:rsidRPr="00001A4A" w:rsidRDefault="00BA3F8F" w:rsidP="00001A4A">
      <w:pPr>
        <w:pStyle w:val="ListParagraph"/>
        <w:widowControl/>
        <w:autoSpaceDE/>
        <w:autoSpaceDN/>
        <w:adjustRightInd/>
        <w:rPr>
          <w:i/>
          <w:sz w:val="26"/>
          <w:szCs w:val="26"/>
        </w:rPr>
      </w:pPr>
      <w:r w:rsidRPr="00001A4A">
        <w:rPr>
          <w:i/>
          <w:sz w:val="26"/>
          <w:szCs w:val="26"/>
        </w:rPr>
        <w:t>The Task Force concurs as long as the NIFS works in conjunction with the Scientific Working Group in setting standards and timeframes.</w:t>
      </w:r>
    </w:p>
    <w:p w:rsidR="009B56D5" w:rsidRPr="00992713" w:rsidRDefault="009B56D5" w:rsidP="00992713">
      <w:pPr>
        <w:pStyle w:val="ListParagraph"/>
        <w:widowControl/>
        <w:autoSpaceDE/>
        <w:autoSpaceDN/>
        <w:adjustRightInd/>
        <w:spacing w:after="200" w:line="276" w:lineRule="auto"/>
        <w:ind w:left="360"/>
        <w:rPr>
          <w:i/>
          <w:sz w:val="26"/>
          <w:szCs w:val="26"/>
          <w:u w:val="single"/>
        </w:rPr>
      </w:pPr>
    </w:p>
    <w:p w:rsidR="00FA40A0" w:rsidRDefault="00FA40A0" w:rsidP="00001A4A">
      <w:pPr>
        <w:pStyle w:val="ListParagraph"/>
        <w:widowControl/>
        <w:numPr>
          <w:ilvl w:val="0"/>
          <w:numId w:val="20"/>
        </w:numPr>
        <w:autoSpaceDE/>
        <w:autoSpaceDN/>
        <w:adjustRightInd/>
        <w:rPr>
          <w:sz w:val="26"/>
          <w:szCs w:val="26"/>
        </w:rPr>
      </w:pPr>
      <w:r w:rsidRPr="0048477C">
        <w:rPr>
          <w:sz w:val="26"/>
          <w:szCs w:val="26"/>
        </w:rPr>
        <w:t>All federal funding should be restricted to accredited offices that meet NIFS-endorsed standards or that demonstrates significant and measurable progress in achieving accreditation within prescribed deadlines.</w:t>
      </w:r>
    </w:p>
    <w:p w:rsidR="009B56D5" w:rsidRDefault="009B56D5" w:rsidP="00992713">
      <w:pPr>
        <w:pStyle w:val="ListParagraph"/>
        <w:widowControl/>
        <w:autoSpaceDE/>
        <w:autoSpaceDN/>
        <w:adjustRightInd/>
        <w:spacing w:after="200" w:line="276" w:lineRule="auto"/>
        <w:rPr>
          <w:sz w:val="26"/>
          <w:szCs w:val="26"/>
        </w:rPr>
      </w:pPr>
    </w:p>
    <w:p w:rsidR="009B56D5" w:rsidRPr="00001A4A" w:rsidRDefault="00595102" w:rsidP="00001A4A">
      <w:pPr>
        <w:pStyle w:val="ListParagraph"/>
        <w:widowControl/>
        <w:autoSpaceDE/>
        <w:autoSpaceDN/>
        <w:adjustRightInd/>
        <w:spacing w:after="200"/>
        <w:rPr>
          <w:i/>
          <w:sz w:val="26"/>
          <w:szCs w:val="26"/>
        </w:rPr>
      </w:pPr>
      <w:r w:rsidRPr="00001A4A">
        <w:rPr>
          <w:i/>
          <w:sz w:val="26"/>
          <w:szCs w:val="26"/>
        </w:rPr>
        <w:t xml:space="preserve">The Task Force concurs as long as the mechanism allows for and actively facilitates Offices that are in the process of pursuing accreditation in reasonable time frames. </w:t>
      </w:r>
    </w:p>
    <w:p w:rsidR="009B56D5" w:rsidRDefault="009B56D5" w:rsidP="00001A4A">
      <w:pPr>
        <w:pStyle w:val="ListParagraph"/>
        <w:widowControl/>
        <w:autoSpaceDE/>
        <w:autoSpaceDN/>
        <w:adjustRightInd/>
        <w:spacing w:after="200"/>
        <w:ind w:left="360"/>
        <w:rPr>
          <w:sz w:val="26"/>
          <w:szCs w:val="26"/>
        </w:rPr>
      </w:pPr>
    </w:p>
    <w:p w:rsidR="00FA40A0" w:rsidRPr="00992713" w:rsidRDefault="00FA40A0" w:rsidP="00001A4A">
      <w:pPr>
        <w:pStyle w:val="ListParagraph"/>
        <w:widowControl/>
        <w:numPr>
          <w:ilvl w:val="0"/>
          <w:numId w:val="20"/>
        </w:numPr>
        <w:autoSpaceDE/>
        <w:autoSpaceDN/>
        <w:adjustRightInd/>
        <w:rPr>
          <w:sz w:val="26"/>
          <w:szCs w:val="26"/>
          <w:u w:val="single"/>
        </w:rPr>
      </w:pPr>
      <w:r w:rsidRPr="0048477C">
        <w:rPr>
          <w:sz w:val="26"/>
          <w:szCs w:val="26"/>
        </w:rPr>
        <w:t>All medicolegal autopsies should be performed or supervised by a board certified fo</w:t>
      </w:r>
      <w:r w:rsidR="00001A4A">
        <w:rPr>
          <w:sz w:val="26"/>
          <w:szCs w:val="26"/>
        </w:rPr>
        <w:t xml:space="preserve">rensic pathologist. </w:t>
      </w:r>
      <w:r w:rsidRPr="0048477C">
        <w:rPr>
          <w:sz w:val="26"/>
          <w:szCs w:val="26"/>
        </w:rPr>
        <w:t>This requirement should take effect within a timeframe to be established by NIFS, following consultation with governin</w:t>
      </w:r>
      <w:r>
        <w:rPr>
          <w:sz w:val="26"/>
          <w:szCs w:val="26"/>
        </w:rPr>
        <w:t xml:space="preserve">g </w:t>
      </w:r>
      <w:r w:rsidRPr="000368D1">
        <w:rPr>
          <w:sz w:val="26"/>
          <w:szCs w:val="26"/>
        </w:rPr>
        <w:t>state institutions.</w:t>
      </w:r>
    </w:p>
    <w:p w:rsidR="009B56D5" w:rsidRDefault="009B56D5" w:rsidP="00001A4A">
      <w:pPr>
        <w:pStyle w:val="ListParagraph"/>
        <w:widowControl/>
        <w:autoSpaceDE/>
        <w:autoSpaceDN/>
        <w:adjustRightInd/>
        <w:spacing w:after="200"/>
        <w:ind w:left="1440"/>
        <w:rPr>
          <w:sz w:val="26"/>
          <w:szCs w:val="26"/>
        </w:rPr>
      </w:pPr>
    </w:p>
    <w:p w:rsidR="009B56D5" w:rsidRPr="00001A4A" w:rsidRDefault="003249D4" w:rsidP="00001A4A">
      <w:pPr>
        <w:pStyle w:val="ListParagraph"/>
        <w:widowControl/>
        <w:autoSpaceDE/>
        <w:autoSpaceDN/>
        <w:adjustRightInd/>
        <w:spacing w:after="200"/>
        <w:rPr>
          <w:i/>
          <w:sz w:val="26"/>
          <w:szCs w:val="26"/>
        </w:rPr>
      </w:pPr>
      <w:r w:rsidRPr="00001A4A">
        <w:rPr>
          <w:i/>
          <w:sz w:val="26"/>
          <w:szCs w:val="26"/>
        </w:rPr>
        <w:t>This is somewhat vague and the Task Forces concurrence depends on what is meant by “Supervised</w:t>
      </w:r>
      <w:r w:rsidR="00001A4A">
        <w:rPr>
          <w:i/>
          <w:sz w:val="26"/>
          <w:szCs w:val="26"/>
        </w:rPr>
        <w:t xml:space="preserve">”. </w:t>
      </w:r>
      <w:r w:rsidRPr="00001A4A">
        <w:rPr>
          <w:i/>
          <w:sz w:val="26"/>
          <w:szCs w:val="26"/>
        </w:rPr>
        <w:t xml:space="preserve">Clarification is recommended. </w:t>
      </w:r>
    </w:p>
    <w:p w:rsidR="00FA40A0" w:rsidRPr="0048477C" w:rsidRDefault="00FA40A0" w:rsidP="00001A4A">
      <w:pPr>
        <w:rPr>
          <w:b/>
          <w:sz w:val="26"/>
          <w:szCs w:val="26"/>
        </w:rPr>
      </w:pPr>
      <w:r w:rsidRPr="0048477C">
        <w:rPr>
          <w:b/>
          <w:sz w:val="26"/>
          <w:szCs w:val="26"/>
        </w:rPr>
        <w:t>Recommendation 12:</w:t>
      </w:r>
    </w:p>
    <w:p w:rsidR="00FA40A0" w:rsidRDefault="00FA40A0" w:rsidP="00001A4A">
      <w:pPr>
        <w:rPr>
          <w:sz w:val="26"/>
          <w:szCs w:val="26"/>
        </w:rPr>
      </w:pPr>
      <w:r w:rsidRPr="0048477C">
        <w:rPr>
          <w:sz w:val="26"/>
          <w:szCs w:val="26"/>
        </w:rPr>
        <w:t>Congress should authorize and appropriate funds for the National Institute of Forensic Science (NIFS) to launch a new broad-based effort to achieve nationwide fing</w:t>
      </w:r>
      <w:r w:rsidR="00001A4A">
        <w:rPr>
          <w:sz w:val="26"/>
          <w:szCs w:val="26"/>
        </w:rPr>
        <w:t xml:space="preserve">erprint data interoperability. </w:t>
      </w:r>
      <w:r w:rsidRPr="0048477C">
        <w:rPr>
          <w:sz w:val="26"/>
          <w:szCs w:val="26"/>
        </w:rPr>
        <w:t>To that end, NIFS should convene a task force comprising relevant experts from the National Institute of Standards and Technology and the major law enforcement agencies (including representatives from the local, state, federal, and perhaps, international levels) and industry, as appropriate, to develop:</w:t>
      </w:r>
    </w:p>
    <w:p w:rsidR="00204B77" w:rsidRPr="0048477C" w:rsidRDefault="00204B77" w:rsidP="00001A4A">
      <w:pPr>
        <w:rPr>
          <w:sz w:val="26"/>
          <w:szCs w:val="26"/>
        </w:rPr>
      </w:pPr>
    </w:p>
    <w:p w:rsidR="00FA40A0" w:rsidRDefault="00FA40A0" w:rsidP="00001A4A">
      <w:pPr>
        <w:pStyle w:val="ListParagraph"/>
        <w:widowControl/>
        <w:numPr>
          <w:ilvl w:val="0"/>
          <w:numId w:val="21"/>
        </w:numPr>
        <w:autoSpaceDE/>
        <w:autoSpaceDN/>
        <w:adjustRightInd/>
        <w:spacing w:after="200"/>
        <w:rPr>
          <w:sz w:val="26"/>
          <w:szCs w:val="26"/>
        </w:rPr>
      </w:pPr>
      <w:proofErr w:type="gramStart"/>
      <w:r w:rsidRPr="0048477C">
        <w:rPr>
          <w:sz w:val="26"/>
          <w:szCs w:val="26"/>
        </w:rPr>
        <w:t>standards</w:t>
      </w:r>
      <w:proofErr w:type="gramEnd"/>
      <w:r w:rsidRPr="0048477C">
        <w:rPr>
          <w:sz w:val="26"/>
          <w:szCs w:val="26"/>
        </w:rPr>
        <w:t xml:space="preserve"> for representing and communicating image and minutiae data among Automated Finge</w:t>
      </w:r>
      <w:r w:rsidR="005B34EB">
        <w:rPr>
          <w:sz w:val="26"/>
          <w:szCs w:val="26"/>
        </w:rPr>
        <w:t xml:space="preserve">rprint Identification Systems. </w:t>
      </w:r>
      <w:r w:rsidRPr="0048477C">
        <w:rPr>
          <w:sz w:val="26"/>
          <w:szCs w:val="26"/>
        </w:rPr>
        <w:t>Common data standards would facilitate the sharing of fingerprint data among law enforcement agencies at the local, state, federal, and even international levels, which could result in more solved crimes, fewer wrongful identifications, and greater efficiency with respect to fingerprint searches; and</w:t>
      </w:r>
    </w:p>
    <w:p w:rsidR="005B34EB" w:rsidRPr="0048477C" w:rsidRDefault="005B34EB" w:rsidP="005B34EB">
      <w:pPr>
        <w:pStyle w:val="ListParagraph"/>
        <w:widowControl/>
        <w:autoSpaceDE/>
        <w:autoSpaceDN/>
        <w:adjustRightInd/>
        <w:spacing w:after="200"/>
        <w:rPr>
          <w:sz w:val="26"/>
          <w:szCs w:val="26"/>
        </w:rPr>
      </w:pPr>
    </w:p>
    <w:p w:rsidR="00FA40A0" w:rsidRPr="0048477C" w:rsidRDefault="00FA40A0" w:rsidP="00001A4A">
      <w:pPr>
        <w:pStyle w:val="ListParagraph"/>
        <w:widowControl/>
        <w:numPr>
          <w:ilvl w:val="0"/>
          <w:numId w:val="21"/>
        </w:numPr>
        <w:autoSpaceDE/>
        <w:autoSpaceDN/>
        <w:adjustRightInd/>
        <w:spacing w:after="200"/>
        <w:rPr>
          <w:sz w:val="26"/>
          <w:szCs w:val="26"/>
        </w:rPr>
      </w:pPr>
      <w:r>
        <w:rPr>
          <w:sz w:val="26"/>
          <w:szCs w:val="26"/>
        </w:rPr>
        <w:t xml:space="preserve">baseline standard -- </w:t>
      </w:r>
      <w:r w:rsidRPr="0048477C">
        <w:rPr>
          <w:sz w:val="26"/>
          <w:szCs w:val="26"/>
        </w:rPr>
        <w:t>to b</w:t>
      </w:r>
      <w:r>
        <w:rPr>
          <w:sz w:val="26"/>
          <w:szCs w:val="26"/>
        </w:rPr>
        <w:t xml:space="preserve">e used with computer algorithms -- </w:t>
      </w:r>
      <w:r w:rsidRPr="0048477C">
        <w:rPr>
          <w:sz w:val="26"/>
          <w:szCs w:val="26"/>
        </w:rPr>
        <w:t>to map, record and recognize features in fingerprint images, and a research agenda for the continued improvement, refinement, and characterization of the accuracy of these algorithms (including quantification of error rates).</w:t>
      </w:r>
    </w:p>
    <w:p w:rsidR="00FA40A0" w:rsidRPr="00001A4A" w:rsidRDefault="00FA40A0" w:rsidP="00001A4A">
      <w:pPr>
        <w:widowControl/>
        <w:autoSpaceDE/>
        <w:autoSpaceDN/>
        <w:adjustRightInd/>
        <w:spacing w:after="200"/>
        <w:ind w:left="720"/>
        <w:rPr>
          <w:i/>
          <w:sz w:val="26"/>
          <w:szCs w:val="26"/>
        </w:rPr>
      </w:pPr>
      <w:r w:rsidRPr="00001A4A">
        <w:rPr>
          <w:i/>
          <w:sz w:val="26"/>
          <w:szCs w:val="26"/>
        </w:rPr>
        <w:t>The Task Force concurs with this recommendation.</w:t>
      </w:r>
    </w:p>
    <w:p w:rsidR="00FA40A0" w:rsidRPr="0048477C" w:rsidRDefault="00FA40A0" w:rsidP="00A05C22">
      <w:pPr>
        <w:rPr>
          <w:sz w:val="26"/>
          <w:szCs w:val="26"/>
        </w:rPr>
      </w:pPr>
      <w:r w:rsidRPr="0048477C">
        <w:rPr>
          <w:b/>
          <w:sz w:val="26"/>
          <w:szCs w:val="26"/>
        </w:rPr>
        <w:t>Recommendation 13:</w:t>
      </w:r>
    </w:p>
    <w:p w:rsidR="00FA40A0" w:rsidRPr="0048477C" w:rsidRDefault="00FA40A0" w:rsidP="00A05C22">
      <w:pPr>
        <w:rPr>
          <w:sz w:val="26"/>
          <w:szCs w:val="26"/>
        </w:rPr>
      </w:pPr>
      <w:r w:rsidRPr="0048477C">
        <w:rPr>
          <w:sz w:val="26"/>
          <w:szCs w:val="26"/>
        </w:rPr>
        <w:t>Congress should provide funding to the National Institute of Forensic Science (NIFS) to prepare, in conjunction with the Centers for Disease Control and Prevention and the Federal Bureau of Investigation, forensic scientist and crime scene investigators for their potential roles in managing and analyzing evidence from events that affect homeland security, so that maximum evidentiary value is preserved from these unusual circumstances and the safety of these personnel is guarded.  This preparation also should include planning and preparedness (to include exercises) for the interoperability of local forensic personnel with federal counterterrorism organizations.</w:t>
      </w:r>
    </w:p>
    <w:p w:rsidR="00FA40A0" w:rsidRPr="0048477C" w:rsidRDefault="00FA40A0" w:rsidP="00A05C22">
      <w:pPr>
        <w:rPr>
          <w:sz w:val="26"/>
          <w:szCs w:val="26"/>
        </w:rPr>
      </w:pPr>
    </w:p>
    <w:p w:rsidR="00376A5F" w:rsidRDefault="00FA40A0" w:rsidP="00E03A29">
      <w:pPr>
        <w:ind w:firstLine="720"/>
        <w:rPr>
          <w:sz w:val="26"/>
          <w:szCs w:val="26"/>
        </w:rPr>
      </w:pPr>
      <w:r w:rsidRPr="005B34EB">
        <w:rPr>
          <w:i/>
          <w:sz w:val="26"/>
          <w:szCs w:val="26"/>
        </w:rPr>
        <w:t>The Task Force concurs</w:t>
      </w:r>
      <w:r w:rsidR="006E0D5D" w:rsidRPr="005B34EB">
        <w:rPr>
          <w:i/>
          <w:sz w:val="26"/>
          <w:szCs w:val="26"/>
        </w:rPr>
        <w:t xml:space="preserve"> with this recommendation.</w:t>
      </w:r>
    </w:p>
    <w:sectPr w:rsidR="00376A5F" w:rsidSect="005D3036">
      <w:footerReference w:type="even" r:id="rId16"/>
      <w:footerReference w:type="default" r:id="rId17"/>
      <w:pgSz w:w="12240" w:h="15840" w:code="1"/>
      <w:pgMar w:top="1152" w:right="1152" w:bottom="1080" w:left="1152"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5A9" w:rsidRDefault="00C055A9">
      <w:r>
        <w:separator/>
      </w:r>
    </w:p>
  </w:endnote>
  <w:endnote w:type="continuationSeparator" w:id="0">
    <w:p w:rsidR="00C055A9" w:rsidRDefault="00C0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80000000" w:usb2="00000008"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5A9" w:rsidRDefault="00C055A9" w:rsidP="009E04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C055A9" w:rsidRDefault="00C055A9" w:rsidP="007B31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5A9" w:rsidRDefault="00C055A9" w:rsidP="007C2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4AB3">
      <w:rPr>
        <w:rStyle w:val="PageNumber"/>
        <w:noProof/>
      </w:rPr>
      <w:t>16</w:t>
    </w:r>
    <w:r>
      <w:rPr>
        <w:rStyle w:val="PageNumber"/>
      </w:rPr>
      <w:fldChar w:fldCharType="end"/>
    </w:r>
  </w:p>
  <w:p w:rsidR="00C055A9" w:rsidRDefault="00C055A9" w:rsidP="007B31D2">
    <w:pPr>
      <w:pStyle w:val="Footer"/>
      <w:ind w:right="360"/>
    </w:pPr>
    <w:r>
      <w:t>9/30/10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5A9" w:rsidRDefault="00C055A9">
      <w:r>
        <w:separator/>
      </w:r>
    </w:p>
  </w:footnote>
  <w:footnote w:type="continuationSeparator" w:id="0">
    <w:p w:rsidR="00C055A9" w:rsidRDefault="00C055A9">
      <w:r>
        <w:continuationSeparator/>
      </w:r>
    </w:p>
  </w:footnote>
  <w:footnote w:id="1">
    <w:p w:rsidR="00C055A9" w:rsidRDefault="00C055A9">
      <w:pPr>
        <w:pStyle w:val="FootnoteText"/>
      </w:pPr>
      <w:r>
        <w:rPr>
          <w:rStyle w:val="FootnoteReference"/>
        </w:rPr>
        <w:footnoteRef/>
      </w:r>
      <w:r>
        <w:t xml:space="preserve"> On October 27, 2006, the Task Force reviewed the data from July 2003 through June 2006 and determined that the goals set for Latent Prints, Toxicology, and Trace Evidence needed revision. The goal for case turnaround was increased from 20 to 30 days for Latent Prints and Toxicology and reduced in Trace Evidence from 120 to 90 days.</w:t>
      </w:r>
    </w:p>
    <w:p w:rsidR="00C055A9" w:rsidRDefault="00C055A9">
      <w:pPr>
        <w:pStyle w:val="FootnoteText"/>
      </w:pPr>
    </w:p>
  </w:footnote>
  <w:footnote w:id="2">
    <w:p w:rsidR="00C055A9" w:rsidRDefault="00C055A9" w:rsidP="007F2E12">
      <w:pPr>
        <w:pStyle w:val="FootnoteText"/>
      </w:pPr>
      <w:r>
        <w:rPr>
          <w:rStyle w:val="FootnoteReference"/>
        </w:rPr>
        <w:footnoteRef/>
      </w:r>
      <w:r>
        <w:t xml:space="preserve"> In September 2009 a request for clarification on the definition of a backlogged case was requested from NIJ. According to NIJ, a backlogged case is defined as more than 30 days. As a result, some of the participating labs redefined case backlog resulting in a reduction for some labs but consistent report for all participating labs.</w:t>
      </w:r>
    </w:p>
    <w:p w:rsidR="00C055A9" w:rsidRDefault="00C055A9">
      <w:pPr>
        <w:pStyle w:val="FootnoteText"/>
      </w:pPr>
    </w:p>
  </w:footnote>
  <w:footnote w:id="3">
    <w:p w:rsidR="00C055A9" w:rsidRDefault="00C055A9">
      <w:pPr>
        <w:pStyle w:val="FootnoteText"/>
      </w:pPr>
      <w:r>
        <w:rPr>
          <w:rStyle w:val="FootnoteReference"/>
        </w:rPr>
        <w:footnoteRef/>
      </w:r>
      <w:r>
        <w:t xml:space="preserve"> In December 2009, the Broken Arrow Police Department became </w:t>
      </w:r>
      <w:r w:rsidRPr="00001A4A">
        <w:t>ASCLD/LAB</w:t>
      </w:r>
      <w:r>
        <w:t xml:space="preserve"> accredited in Digital Multimedia Evidence resulting in the addition of this category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1C4FCC2"/>
    <w:lvl w:ilvl="0">
      <w:numFmt w:val="bullet"/>
      <w:lvlText w:val="*"/>
      <w:lvlJc w:val="left"/>
    </w:lvl>
  </w:abstractNum>
  <w:abstractNum w:abstractNumId="1">
    <w:nsid w:val="1AE20E1F"/>
    <w:multiLevelType w:val="hybridMultilevel"/>
    <w:tmpl w:val="CCDA428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3F32AB5"/>
    <w:multiLevelType w:val="singleLevel"/>
    <w:tmpl w:val="1BA4BE90"/>
    <w:lvl w:ilvl="0">
      <w:start w:val="1"/>
      <w:numFmt w:val="decimal"/>
      <w:lvlText w:val="%1."/>
      <w:lvlJc w:val="left"/>
      <w:pPr>
        <w:tabs>
          <w:tab w:val="num" w:pos="630"/>
        </w:tabs>
        <w:ind w:left="270"/>
      </w:pPr>
      <w:rPr>
        <w:rFonts w:cs="Times New Roman" w:hint="default"/>
        <w:b w:val="0"/>
        <w:sz w:val="22"/>
        <w:szCs w:val="22"/>
      </w:rPr>
    </w:lvl>
  </w:abstractNum>
  <w:abstractNum w:abstractNumId="3">
    <w:nsid w:val="49492714"/>
    <w:multiLevelType w:val="hybridMultilevel"/>
    <w:tmpl w:val="AE3A86D0"/>
    <w:lvl w:ilvl="0" w:tplc="1BA4BE90">
      <w:start w:val="1"/>
      <w:numFmt w:val="decimal"/>
      <w:lvlText w:val="%1."/>
      <w:lvlJc w:val="left"/>
      <w:pPr>
        <w:ind w:left="1440" w:hanging="360"/>
      </w:pPr>
      <w:rPr>
        <w:rFonts w:cs="Times New Roman" w:hint="default"/>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B024156"/>
    <w:multiLevelType w:val="hybridMultilevel"/>
    <w:tmpl w:val="A624442E"/>
    <w:lvl w:ilvl="0" w:tplc="0409000F">
      <w:start w:val="1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57C453DD"/>
    <w:multiLevelType w:val="hybridMultilevel"/>
    <w:tmpl w:val="2BFA5AF6"/>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5B9E75BC"/>
    <w:multiLevelType w:val="hybridMultilevel"/>
    <w:tmpl w:val="06203F6A"/>
    <w:lvl w:ilvl="0" w:tplc="37F2CF84">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95E0F61"/>
    <w:multiLevelType w:val="hybridMultilevel"/>
    <w:tmpl w:val="7BF013C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A627144"/>
    <w:multiLevelType w:val="singleLevel"/>
    <w:tmpl w:val="FA3A2092"/>
    <w:lvl w:ilvl="0">
      <w:start w:val="1"/>
      <w:numFmt w:val="decimal"/>
      <w:lvlText w:val="%1"/>
      <w:legacy w:legacy="1" w:legacySpace="0" w:legacyIndent="360"/>
      <w:lvlJc w:val="left"/>
      <w:rPr>
        <w:rFonts w:ascii="Gill Sans MT" w:hAnsi="Gill Sans MT" w:cs="Times New Roman" w:hint="default"/>
      </w:rPr>
    </w:lvl>
  </w:abstractNum>
  <w:abstractNum w:abstractNumId="9">
    <w:nsid w:val="706C2696"/>
    <w:multiLevelType w:val="hybridMultilevel"/>
    <w:tmpl w:val="6EC01E4E"/>
    <w:lvl w:ilvl="0" w:tplc="D5E2DFC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8"/>
  </w:num>
  <w:num w:numId="2">
    <w:abstractNumId w:val="8"/>
    <w:lvlOverride w:ilvl="0">
      <w:lvl w:ilvl="0">
        <w:start w:val="2"/>
        <w:numFmt w:val="decimal"/>
        <w:lvlText w:val="%1"/>
        <w:legacy w:legacy="1" w:legacySpace="0" w:legacyIndent="360"/>
        <w:lvlJc w:val="left"/>
        <w:rPr>
          <w:rFonts w:ascii="Gill Sans MT" w:hAnsi="Gill Sans MT" w:cs="Times New Roman" w:hint="default"/>
        </w:rPr>
      </w:lvl>
    </w:lvlOverride>
  </w:num>
  <w:num w:numId="3">
    <w:abstractNumId w:val="8"/>
    <w:lvlOverride w:ilvl="0">
      <w:lvl w:ilvl="0">
        <w:start w:val="3"/>
        <w:numFmt w:val="decimal"/>
        <w:lvlText w:val="%1"/>
        <w:legacy w:legacy="1" w:legacySpace="0" w:legacyIndent="360"/>
        <w:lvlJc w:val="left"/>
        <w:rPr>
          <w:rFonts w:ascii="Gill Sans MT" w:hAnsi="Gill Sans MT" w:cs="Times New Roman" w:hint="default"/>
        </w:rPr>
      </w:lvl>
    </w:lvlOverride>
  </w:num>
  <w:num w:numId="4">
    <w:abstractNumId w:val="8"/>
    <w:lvlOverride w:ilvl="0">
      <w:lvl w:ilvl="0">
        <w:start w:val="4"/>
        <w:numFmt w:val="decimal"/>
        <w:lvlText w:val="%1"/>
        <w:legacy w:legacy="1" w:legacySpace="0" w:legacyIndent="360"/>
        <w:lvlJc w:val="left"/>
        <w:rPr>
          <w:rFonts w:ascii="Gill Sans MT" w:hAnsi="Gill Sans MT" w:cs="Times New Roman" w:hint="default"/>
        </w:rPr>
      </w:lvl>
    </w:lvlOverride>
  </w:num>
  <w:num w:numId="5">
    <w:abstractNumId w:val="8"/>
    <w:lvlOverride w:ilvl="0">
      <w:lvl w:ilvl="0">
        <w:start w:val="5"/>
        <w:numFmt w:val="decimal"/>
        <w:lvlText w:val="%1"/>
        <w:legacy w:legacy="1" w:legacySpace="0" w:legacyIndent="360"/>
        <w:lvlJc w:val="left"/>
        <w:rPr>
          <w:rFonts w:ascii="Gill Sans MT" w:hAnsi="Gill Sans MT" w:cs="Times New Roman" w:hint="default"/>
        </w:rPr>
      </w:lvl>
    </w:lvlOverride>
  </w:num>
  <w:num w:numId="6">
    <w:abstractNumId w:val="8"/>
    <w:lvlOverride w:ilvl="0">
      <w:lvl w:ilvl="0">
        <w:start w:val="6"/>
        <w:numFmt w:val="decimal"/>
        <w:lvlText w:val="%1"/>
        <w:legacy w:legacy="1" w:legacySpace="0" w:legacyIndent="360"/>
        <w:lvlJc w:val="left"/>
        <w:rPr>
          <w:rFonts w:ascii="Gill Sans MT" w:hAnsi="Gill Sans MT" w:cs="Times New Roman" w:hint="default"/>
        </w:rPr>
      </w:lvl>
    </w:lvlOverride>
  </w:num>
  <w:num w:numId="7">
    <w:abstractNumId w:val="8"/>
    <w:lvlOverride w:ilvl="0">
      <w:lvl w:ilvl="0">
        <w:start w:val="7"/>
        <w:numFmt w:val="decimal"/>
        <w:lvlText w:val="%1"/>
        <w:legacy w:legacy="1" w:legacySpace="0" w:legacyIndent="360"/>
        <w:lvlJc w:val="left"/>
        <w:rPr>
          <w:rFonts w:ascii="Gill Sans MT" w:hAnsi="Gill Sans MT" w:cs="Times New Roman" w:hint="default"/>
        </w:rPr>
      </w:lvl>
    </w:lvlOverride>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2"/>
  </w:num>
  <w:num w:numId="10">
    <w:abstractNumId w:val="2"/>
    <w:lvlOverride w:ilvl="0">
      <w:lvl w:ilvl="0">
        <w:start w:val="2"/>
        <w:numFmt w:val="decimal"/>
        <w:lvlText w:val="%1"/>
        <w:legacy w:legacy="1" w:legacySpace="0" w:legacyIndent="360"/>
        <w:lvlJc w:val="left"/>
        <w:rPr>
          <w:rFonts w:ascii="Gill Sans MT" w:hAnsi="Gill Sans MT" w:cs="Times New Roman" w:hint="default"/>
        </w:rPr>
      </w:lvl>
    </w:lvlOverride>
  </w:num>
  <w:num w:numId="11">
    <w:abstractNumId w:val="2"/>
    <w:lvlOverride w:ilvl="0">
      <w:lvl w:ilvl="0">
        <w:start w:val="3"/>
        <w:numFmt w:val="decimal"/>
        <w:lvlText w:val="%1"/>
        <w:legacy w:legacy="1" w:legacySpace="0" w:legacyIndent="360"/>
        <w:lvlJc w:val="left"/>
        <w:rPr>
          <w:rFonts w:ascii="Gill Sans MT" w:hAnsi="Gill Sans MT" w:cs="Times New Roman" w:hint="default"/>
        </w:rPr>
      </w:lvl>
    </w:lvlOverride>
  </w:num>
  <w:num w:numId="12">
    <w:abstractNumId w:val="2"/>
    <w:lvlOverride w:ilvl="0">
      <w:lvl w:ilvl="0">
        <w:start w:val="4"/>
        <w:numFmt w:val="decimal"/>
        <w:lvlText w:val="%1"/>
        <w:legacy w:legacy="1" w:legacySpace="0" w:legacyIndent="360"/>
        <w:lvlJc w:val="left"/>
        <w:rPr>
          <w:rFonts w:ascii="Gill Sans MT" w:hAnsi="Gill Sans MT" w:cs="Times New Roman" w:hint="default"/>
        </w:rPr>
      </w:lvl>
    </w:lvlOverride>
  </w:num>
  <w:num w:numId="13">
    <w:abstractNumId w:val="2"/>
    <w:lvlOverride w:ilvl="0">
      <w:lvl w:ilvl="0">
        <w:start w:val="5"/>
        <w:numFmt w:val="decimal"/>
        <w:lvlText w:val="%1"/>
        <w:legacy w:legacy="1" w:legacySpace="0" w:legacyIndent="360"/>
        <w:lvlJc w:val="left"/>
        <w:rPr>
          <w:rFonts w:ascii="Gill Sans MT" w:hAnsi="Gill Sans MT" w:cs="Times New Roman" w:hint="default"/>
        </w:rPr>
      </w:lvl>
    </w:lvlOverride>
  </w:num>
  <w:num w:numId="14">
    <w:abstractNumId w:val="2"/>
    <w:lvlOverride w:ilvl="0">
      <w:lvl w:ilvl="0">
        <w:start w:val="6"/>
        <w:numFmt w:val="decimal"/>
        <w:lvlText w:val="%1"/>
        <w:legacy w:legacy="1" w:legacySpace="0" w:legacyIndent="360"/>
        <w:lvlJc w:val="left"/>
        <w:rPr>
          <w:rFonts w:ascii="Gill Sans MT" w:hAnsi="Gill Sans MT" w:cs="Times New Roman" w:hint="default"/>
        </w:rPr>
      </w:lvl>
    </w:lvlOverride>
  </w:num>
  <w:num w:numId="15">
    <w:abstractNumId w:val="2"/>
    <w:lvlOverride w:ilvl="0">
      <w:lvl w:ilvl="0">
        <w:start w:val="7"/>
        <w:numFmt w:val="decimal"/>
        <w:lvlText w:val="%1"/>
        <w:legacy w:legacy="1" w:legacySpace="0" w:legacyIndent="360"/>
        <w:lvlJc w:val="left"/>
        <w:rPr>
          <w:rFonts w:ascii="Gill Sans MT" w:hAnsi="Gill Sans MT" w:cs="Times New Roman" w:hint="default"/>
        </w:rPr>
      </w:lvl>
    </w:lvlOverride>
  </w:num>
  <w:num w:numId="16">
    <w:abstractNumId w:val="9"/>
  </w:num>
  <w:num w:numId="17">
    <w:abstractNumId w:val="4"/>
  </w:num>
  <w:num w:numId="18">
    <w:abstractNumId w:val="6"/>
  </w:num>
  <w:num w:numId="19">
    <w:abstractNumId w:val="7"/>
  </w:num>
  <w:num w:numId="20">
    <w:abstractNumId w:val="5"/>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6C"/>
    <w:rsid w:val="00001A4A"/>
    <w:rsid w:val="0000534F"/>
    <w:rsid w:val="00010847"/>
    <w:rsid w:val="0001141C"/>
    <w:rsid w:val="00011AD9"/>
    <w:rsid w:val="00034903"/>
    <w:rsid w:val="00034969"/>
    <w:rsid w:val="000368D1"/>
    <w:rsid w:val="00045A80"/>
    <w:rsid w:val="00047A62"/>
    <w:rsid w:val="00073762"/>
    <w:rsid w:val="00076726"/>
    <w:rsid w:val="000775D6"/>
    <w:rsid w:val="00090D52"/>
    <w:rsid w:val="0009120F"/>
    <w:rsid w:val="0009535F"/>
    <w:rsid w:val="000A37EC"/>
    <w:rsid w:val="000B25E9"/>
    <w:rsid w:val="000C5045"/>
    <w:rsid w:val="000C7B71"/>
    <w:rsid w:val="000D2EE1"/>
    <w:rsid w:val="000E6CB6"/>
    <w:rsid w:val="000F2F9E"/>
    <w:rsid w:val="000F3802"/>
    <w:rsid w:val="000F7881"/>
    <w:rsid w:val="00100ED3"/>
    <w:rsid w:val="0010442A"/>
    <w:rsid w:val="00106250"/>
    <w:rsid w:val="00115993"/>
    <w:rsid w:val="0013551E"/>
    <w:rsid w:val="0014090A"/>
    <w:rsid w:val="00153016"/>
    <w:rsid w:val="0015637E"/>
    <w:rsid w:val="00171E6E"/>
    <w:rsid w:val="001752D9"/>
    <w:rsid w:val="00180225"/>
    <w:rsid w:val="001A4B99"/>
    <w:rsid w:val="001A4D65"/>
    <w:rsid w:val="001A5AA2"/>
    <w:rsid w:val="001C135C"/>
    <w:rsid w:val="001C7816"/>
    <w:rsid w:val="001E2463"/>
    <w:rsid w:val="001F0B56"/>
    <w:rsid w:val="00200455"/>
    <w:rsid w:val="00204B77"/>
    <w:rsid w:val="00211B17"/>
    <w:rsid w:val="002144AA"/>
    <w:rsid w:val="00216335"/>
    <w:rsid w:val="00216DB3"/>
    <w:rsid w:val="00217162"/>
    <w:rsid w:val="00217E69"/>
    <w:rsid w:val="002211E2"/>
    <w:rsid w:val="00237992"/>
    <w:rsid w:val="0024530E"/>
    <w:rsid w:val="00260FBA"/>
    <w:rsid w:val="002666AF"/>
    <w:rsid w:val="00273A42"/>
    <w:rsid w:val="002832C7"/>
    <w:rsid w:val="00296CFC"/>
    <w:rsid w:val="002A1438"/>
    <w:rsid w:val="002A1AC4"/>
    <w:rsid w:val="002A73DB"/>
    <w:rsid w:val="002B0E2B"/>
    <w:rsid w:val="002B3146"/>
    <w:rsid w:val="002B3FBA"/>
    <w:rsid w:val="002B5B88"/>
    <w:rsid w:val="002C35CC"/>
    <w:rsid w:val="002C4E6F"/>
    <w:rsid w:val="002D099D"/>
    <w:rsid w:val="002D66CE"/>
    <w:rsid w:val="002F0A2C"/>
    <w:rsid w:val="002F5FB1"/>
    <w:rsid w:val="003158A4"/>
    <w:rsid w:val="003241BE"/>
    <w:rsid w:val="003244BD"/>
    <w:rsid w:val="003249D4"/>
    <w:rsid w:val="00324B1C"/>
    <w:rsid w:val="00327479"/>
    <w:rsid w:val="00331F28"/>
    <w:rsid w:val="003365C9"/>
    <w:rsid w:val="0034222C"/>
    <w:rsid w:val="003514E3"/>
    <w:rsid w:val="003562A9"/>
    <w:rsid w:val="0036348F"/>
    <w:rsid w:val="00371A17"/>
    <w:rsid w:val="00371F92"/>
    <w:rsid w:val="00375743"/>
    <w:rsid w:val="00376A5F"/>
    <w:rsid w:val="00383FEE"/>
    <w:rsid w:val="003928EF"/>
    <w:rsid w:val="0039570D"/>
    <w:rsid w:val="003A3D3F"/>
    <w:rsid w:val="003B4A85"/>
    <w:rsid w:val="003B7C2B"/>
    <w:rsid w:val="003C4837"/>
    <w:rsid w:val="003D0377"/>
    <w:rsid w:val="003D72A3"/>
    <w:rsid w:val="003E540F"/>
    <w:rsid w:val="003F04EE"/>
    <w:rsid w:val="00410202"/>
    <w:rsid w:val="004155BD"/>
    <w:rsid w:val="004257CA"/>
    <w:rsid w:val="004261EB"/>
    <w:rsid w:val="004370D7"/>
    <w:rsid w:val="00451ABB"/>
    <w:rsid w:val="00451C87"/>
    <w:rsid w:val="00456B2C"/>
    <w:rsid w:val="004722C1"/>
    <w:rsid w:val="0048477C"/>
    <w:rsid w:val="004959F1"/>
    <w:rsid w:val="004A21A3"/>
    <w:rsid w:val="004A26A6"/>
    <w:rsid w:val="004B0521"/>
    <w:rsid w:val="004B1874"/>
    <w:rsid w:val="004B6C1B"/>
    <w:rsid w:val="004C3823"/>
    <w:rsid w:val="004C3848"/>
    <w:rsid w:val="004D1BB1"/>
    <w:rsid w:val="004D3392"/>
    <w:rsid w:val="004D3A27"/>
    <w:rsid w:val="004D7E64"/>
    <w:rsid w:val="004E567B"/>
    <w:rsid w:val="00507067"/>
    <w:rsid w:val="00521DEB"/>
    <w:rsid w:val="00521EE4"/>
    <w:rsid w:val="00536E96"/>
    <w:rsid w:val="00540D6C"/>
    <w:rsid w:val="00547520"/>
    <w:rsid w:val="0055621D"/>
    <w:rsid w:val="0055645F"/>
    <w:rsid w:val="00563C5B"/>
    <w:rsid w:val="00567244"/>
    <w:rsid w:val="005676DD"/>
    <w:rsid w:val="00574136"/>
    <w:rsid w:val="005775EB"/>
    <w:rsid w:val="00581C8C"/>
    <w:rsid w:val="00582311"/>
    <w:rsid w:val="00591014"/>
    <w:rsid w:val="00595102"/>
    <w:rsid w:val="005951DF"/>
    <w:rsid w:val="00595699"/>
    <w:rsid w:val="005B34EB"/>
    <w:rsid w:val="005C2BE6"/>
    <w:rsid w:val="005D2503"/>
    <w:rsid w:val="005D3036"/>
    <w:rsid w:val="005D6506"/>
    <w:rsid w:val="005E0373"/>
    <w:rsid w:val="005F1F34"/>
    <w:rsid w:val="005F7E9E"/>
    <w:rsid w:val="006065C8"/>
    <w:rsid w:val="00610FA2"/>
    <w:rsid w:val="00614E3A"/>
    <w:rsid w:val="006221EC"/>
    <w:rsid w:val="006234FA"/>
    <w:rsid w:val="006419D1"/>
    <w:rsid w:val="006619FF"/>
    <w:rsid w:val="0066221F"/>
    <w:rsid w:val="00671EFC"/>
    <w:rsid w:val="00672F67"/>
    <w:rsid w:val="006970CC"/>
    <w:rsid w:val="006A6B12"/>
    <w:rsid w:val="006A7FC4"/>
    <w:rsid w:val="006B0AFA"/>
    <w:rsid w:val="006B4D80"/>
    <w:rsid w:val="006C0E5D"/>
    <w:rsid w:val="006D3D17"/>
    <w:rsid w:val="006D6F52"/>
    <w:rsid w:val="006E0D5D"/>
    <w:rsid w:val="006E3AEA"/>
    <w:rsid w:val="006F2267"/>
    <w:rsid w:val="007006C0"/>
    <w:rsid w:val="00705060"/>
    <w:rsid w:val="0071062D"/>
    <w:rsid w:val="00710FCC"/>
    <w:rsid w:val="007119A6"/>
    <w:rsid w:val="00712A3D"/>
    <w:rsid w:val="00716FED"/>
    <w:rsid w:val="007251C8"/>
    <w:rsid w:val="00731DB1"/>
    <w:rsid w:val="00733AB7"/>
    <w:rsid w:val="0073660D"/>
    <w:rsid w:val="0074012F"/>
    <w:rsid w:val="007520D7"/>
    <w:rsid w:val="00754E48"/>
    <w:rsid w:val="00756E9B"/>
    <w:rsid w:val="00760225"/>
    <w:rsid w:val="0076344B"/>
    <w:rsid w:val="0077494E"/>
    <w:rsid w:val="00777F25"/>
    <w:rsid w:val="0078161A"/>
    <w:rsid w:val="00782D30"/>
    <w:rsid w:val="00785485"/>
    <w:rsid w:val="007868CB"/>
    <w:rsid w:val="00791E40"/>
    <w:rsid w:val="007A632C"/>
    <w:rsid w:val="007A7973"/>
    <w:rsid w:val="007B31D2"/>
    <w:rsid w:val="007B503D"/>
    <w:rsid w:val="007C2378"/>
    <w:rsid w:val="007D213C"/>
    <w:rsid w:val="007D21FA"/>
    <w:rsid w:val="007F1968"/>
    <w:rsid w:val="007F2E12"/>
    <w:rsid w:val="008019CE"/>
    <w:rsid w:val="008128D4"/>
    <w:rsid w:val="00825EB7"/>
    <w:rsid w:val="00827AA2"/>
    <w:rsid w:val="008326F5"/>
    <w:rsid w:val="00841FA0"/>
    <w:rsid w:val="008472BE"/>
    <w:rsid w:val="0085776D"/>
    <w:rsid w:val="00857A96"/>
    <w:rsid w:val="00864160"/>
    <w:rsid w:val="00874593"/>
    <w:rsid w:val="00881515"/>
    <w:rsid w:val="00881A73"/>
    <w:rsid w:val="00882874"/>
    <w:rsid w:val="008A6345"/>
    <w:rsid w:val="008C4E05"/>
    <w:rsid w:val="008C6BDE"/>
    <w:rsid w:val="008D006C"/>
    <w:rsid w:val="008D0802"/>
    <w:rsid w:val="008E316A"/>
    <w:rsid w:val="00901D39"/>
    <w:rsid w:val="0090638B"/>
    <w:rsid w:val="00906D5C"/>
    <w:rsid w:val="00911945"/>
    <w:rsid w:val="0091216D"/>
    <w:rsid w:val="00920ECF"/>
    <w:rsid w:val="0093267B"/>
    <w:rsid w:val="00937DF9"/>
    <w:rsid w:val="00944ABC"/>
    <w:rsid w:val="00945B63"/>
    <w:rsid w:val="00947C53"/>
    <w:rsid w:val="00955028"/>
    <w:rsid w:val="0097072C"/>
    <w:rsid w:val="00976DB6"/>
    <w:rsid w:val="00984EEE"/>
    <w:rsid w:val="00992713"/>
    <w:rsid w:val="00992D60"/>
    <w:rsid w:val="0099678E"/>
    <w:rsid w:val="009A1C05"/>
    <w:rsid w:val="009A3263"/>
    <w:rsid w:val="009B56D5"/>
    <w:rsid w:val="009D6AE2"/>
    <w:rsid w:val="009E04AC"/>
    <w:rsid w:val="009F704C"/>
    <w:rsid w:val="00A05C22"/>
    <w:rsid w:val="00A0694D"/>
    <w:rsid w:val="00A24499"/>
    <w:rsid w:val="00A26E8F"/>
    <w:rsid w:val="00A42EC6"/>
    <w:rsid w:val="00A625BA"/>
    <w:rsid w:val="00A80795"/>
    <w:rsid w:val="00A86851"/>
    <w:rsid w:val="00AB4595"/>
    <w:rsid w:val="00AC694C"/>
    <w:rsid w:val="00AD0CDE"/>
    <w:rsid w:val="00AD38CA"/>
    <w:rsid w:val="00AD76CD"/>
    <w:rsid w:val="00AD789A"/>
    <w:rsid w:val="00AE0616"/>
    <w:rsid w:val="00AE6FB9"/>
    <w:rsid w:val="00AF4EE8"/>
    <w:rsid w:val="00B017E6"/>
    <w:rsid w:val="00B06263"/>
    <w:rsid w:val="00B12793"/>
    <w:rsid w:val="00B13486"/>
    <w:rsid w:val="00B24AB3"/>
    <w:rsid w:val="00B4640E"/>
    <w:rsid w:val="00B83879"/>
    <w:rsid w:val="00B96E2A"/>
    <w:rsid w:val="00BA3F8F"/>
    <w:rsid w:val="00BA714E"/>
    <w:rsid w:val="00BB44A4"/>
    <w:rsid w:val="00BC5117"/>
    <w:rsid w:val="00BC78F1"/>
    <w:rsid w:val="00BC7B37"/>
    <w:rsid w:val="00BC7CB3"/>
    <w:rsid w:val="00BE2CC7"/>
    <w:rsid w:val="00BE5244"/>
    <w:rsid w:val="00BE5869"/>
    <w:rsid w:val="00BF33F7"/>
    <w:rsid w:val="00C055A9"/>
    <w:rsid w:val="00C058E7"/>
    <w:rsid w:val="00C43D48"/>
    <w:rsid w:val="00C46CD9"/>
    <w:rsid w:val="00C5133E"/>
    <w:rsid w:val="00C616A9"/>
    <w:rsid w:val="00C77925"/>
    <w:rsid w:val="00C801DB"/>
    <w:rsid w:val="00C82929"/>
    <w:rsid w:val="00C912B3"/>
    <w:rsid w:val="00C97B6F"/>
    <w:rsid w:val="00CA5F2F"/>
    <w:rsid w:val="00CB433A"/>
    <w:rsid w:val="00CB74EA"/>
    <w:rsid w:val="00CC68D1"/>
    <w:rsid w:val="00CD32DA"/>
    <w:rsid w:val="00CE7935"/>
    <w:rsid w:val="00CF25B0"/>
    <w:rsid w:val="00CF7EB5"/>
    <w:rsid w:val="00D03733"/>
    <w:rsid w:val="00D0376C"/>
    <w:rsid w:val="00D03F3B"/>
    <w:rsid w:val="00D042F6"/>
    <w:rsid w:val="00D0457A"/>
    <w:rsid w:val="00D1366A"/>
    <w:rsid w:val="00D14E92"/>
    <w:rsid w:val="00D4386C"/>
    <w:rsid w:val="00D64946"/>
    <w:rsid w:val="00D75A17"/>
    <w:rsid w:val="00D8587E"/>
    <w:rsid w:val="00D8617E"/>
    <w:rsid w:val="00D879F6"/>
    <w:rsid w:val="00DA17E8"/>
    <w:rsid w:val="00DA25D6"/>
    <w:rsid w:val="00DA53BF"/>
    <w:rsid w:val="00DA621A"/>
    <w:rsid w:val="00DB687C"/>
    <w:rsid w:val="00DC065A"/>
    <w:rsid w:val="00DC40BF"/>
    <w:rsid w:val="00DC57EF"/>
    <w:rsid w:val="00DC7F27"/>
    <w:rsid w:val="00DD02CF"/>
    <w:rsid w:val="00DF2BC3"/>
    <w:rsid w:val="00E03A29"/>
    <w:rsid w:val="00E153F9"/>
    <w:rsid w:val="00E35F1C"/>
    <w:rsid w:val="00E37AC3"/>
    <w:rsid w:val="00E45425"/>
    <w:rsid w:val="00E53379"/>
    <w:rsid w:val="00E669BC"/>
    <w:rsid w:val="00E73004"/>
    <w:rsid w:val="00E7592D"/>
    <w:rsid w:val="00E82F3A"/>
    <w:rsid w:val="00E86561"/>
    <w:rsid w:val="00E95A0C"/>
    <w:rsid w:val="00E962FD"/>
    <w:rsid w:val="00EA1517"/>
    <w:rsid w:val="00EA3873"/>
    <w:rsid w:val="00EA5D33"/>
    <w:rsid w:val="00F0074A"/>
    <w:rsid w:val="00F05C7D"/>
    <w:rsid w:val="00F10B5E"/>
    <w:rsid w:val="00F12A57"/>
    <w:rsid w:val="00F12FDE"/>
    <w:rsid w:val="00F20921"/>
    <w:rsid w:val="00F22E61"/>
    <w:rsid w:val="00F44285"/>
    <w:rsid w:val="00F5090B"/>
    <w:rsid w:val="00F538EE"/>
    <w:rsid w:val="00F54277"/>
    <w:rsid w:val="00F57A1D"/>
    <w:rsid w:val="00F70B56"/>
    <w:rsid w:val="00F73F36"/>
    <w:rsid w:val="00F761D0"/>
    <w:rsid w:val="00FA39D8"/>
    <w:rsid w:val="00FA40A0"/>
    <w:rsid w:val="00FB30DD"/>
    <w:rsid w:val="00FB42F4"/>
    <w:rsid w:val="00FC2695"/>
    <w:rsid w:val="00FD3A7C"/>
    <w:rsid w:val="00FD540D"/>
    <w:rsid w:val="00FD639D"/>
    <w:rsid w:val="00FF123E"/>
    <w:rsid w:val="00FF146C"/>
    <w:rsid w:val="00FF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D0"/>
    <w:pPr>
      <w:widowControl w:val="0"/>
      <w:autoSpaceDE w:val="0"/>
      <w:autoSpaceDN w:val="0"/>
      <w:adjustRightInd w:val="0"/>
    </w:pPr>
    <w:rPr>
      <w:rFonts w:ascii="Gill Sans MT" w:hAnsi="Gill Sans MT"/>
      <w:sz w:val="24"/>
      <w:szCs w:val="24"/>
    </w:rPr>
  </w:style>
  <w:style w:type="paragraph" w:styleId="Heading1">
    <w:name w:val="heading 1"/>
    <w:basedOn w:val="Normal"/>
    <w:next w:val="Normal"/>
    <w:link w:val="Heading1Char"/>
    <w:uiPriority w:val="99"/>
    <w:qFormat/>
    <w:rsid w:val="00F761D0"/>
    <w:pPr>
      <w:outlineLvl w:val="0"/>
    </w:pPr>
  </w:style>
  <w:style w:type="paragraph" w:styleId="Heading2">
    <w:name w:val="heading 2"/>
    <w:basedOn w:val="Normal"/>
    <w:next w:val="Normal"/>
    <w:link w:val="Heading2Char"/>
    <w:uiPriority w:val="99"/>
    <w:qFormat/>
    <w:rsid w:val="00F761D0"/>
    <w:pPr>
      <w:outlineLvl w:val="1"/>
    </w:pPr>
  </w:style>
  <w:style w:type="paragraph" w:styleId="Heading3">
    <w:name w:val="heading 3"/>
    <w:basedOn w:val="Normal"/>
    <w:next w:val="Normal"/>
    <w:link w:val="Heading3Char"/>
    <w:uiPriority w:val="99"/>
    <w:qFormat/>
    <w:rsid w:val="00F761D0"/>
    <w:pPr>
      <w:outlineLvl w:val="2"/>
    </w:pPr>
  </w:style>
  <w:style w:type="paragraph" w:styleId="Heading4">
    <w:name w:val="heading 4"/>
    <w:basedOn w:val="Normal"/>
    <w:next w:val="Normal"/>
    <w:link w:val="Heading4Char"/>
    <w:uiPriority w:val="99"/>
    <w:qFormat/>
    <w:rsid w:val="00F761D0"/>
    <w:pPr>
      <w:outlineLvl w:val="3"/>
    </w:pPr>
  </w:style>
  <w:style w:type="paragraph" w:styleId="Heading5">
    <w:name w:val="heading 5"/>
    <w:basedOn w:val="Normal"/>
    <w:next w:val="Normal"/>
    <w:link w:val="Heading5Char"/>
    <w:uiPriority w:val="99"/>
    <w:qFormat/>
    <w:rsid w:val="00F761D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61D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61D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61D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61D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5C22"/>
    <w:rPr>
      <w:rFonts w:ascii="Gill Sans MT" w:hAnsi="Gill Sans MT" w:cs="Times New Roman"/>
      <w:sz w:val="24"/>
      <w:szCs w:val="24"/>
      <w:lang w:val="en-US" w:eastAsia="en-US" w:bidi="ar-SA"/>
    </w:rPr>
  </w:style>
  <w:style w:type="paragraph" w:styleId="NormalWeb">
    <w:name w:val="Normal (Web)"/>
    <w:basedOn w:val="Normal"/>
    <w:uiPriority w:val="99"/>
    <w:rsid w:val="004261EB"/>
    <w:pPr>
      <w:widowControl/>
      <w:autoSpaceDE/>
      <w:autoSpaceDN/>
      <w:adjustRightInd/>
      <w:spacing w:before="100" w:beforeAutospacing="1" w:after="100" w:afterAutospacing="1"/>
    </w:pPr>
    <w:rPr>
      <w:rFonts w:ascii="Times New Roman" w:hAnsi="Times New Roman"/>
      <w:color w:val="293152"/>
    </w:rPr>
  </w:style>
  <w:style w:type="paragraph" w:styleId="Header">
    <w:name w:val="header"/>
    <w:basedOn w:val="Normal"/>
    <w:link w:val="HeaderChar"/>
    <w:uiPriority w:val="99"/>
    <w:rsid w:val="00595699"/>
    <w:pPr>
      <w:tabs>
        <w:tab w:val="center" w:pos="4320"/>
        <w:tab w:val="right" w:pos="8640"/>
      </w:tabs>
    </w:pPr>
  </w:style>
  <w:style w:type="character" w:customStyle="1" w:styleId="HeaderChar">
    <w:name w:val="Header Char"/>
    <w:basedOn w:val="DefaultParagraphFont"/>
    <w:link w:val="Header"/>
    <w:uiPriority w:val="99"/>
    <w:semiHidden/>
    <w:locked/>
    <w:rsid w:val="00F761D0"/>
    <w:rPr>
      <w:rFonts w:ascii="Gill Sans MT" w:hAnsi="Gill Sans MT" w:cs="Times New Roman"/>
      <w:sz w:val="24"/>
      <w:szCs w:val="24"/>
    </w:rPr>
  </w:style>
  <w:style w:type="paragraph" w:styleId="Footer">
    <w:name w:val="footer"/>
    <w:basedOn w:val="Normal"/>
    <w:link w:val="FooterChar"/>
    <w:uiPriority w:val="99"/>
    <w:rsid w:val="00595699"/>
    <w:pPr>
      <w:tabs>
        <w:tab w:val="center" w:pos="4320"/>
        <w:tab w:val="right" w:pos="8640"/>
      </w:tabs>
    </w:pPr>
  </w:style>
  <w:style w:type="character" w:customStyle="1" w:styleId="FooterChar">
    <w:name w:val="Footer Char"/>
    <w:basedOn w:val="DefaultParagraphFont"/>
    <w:link w:val="Footer"/>
    <w:uiPriority w:val="99"/>
    <w:semiHidden/>
    <w:locked/>
    <w:rsid w:val="00F761D0"/>
    <w:rPr>
      <w:rFonts w:ascii="Gill Sans MT" w:hAnsi="Gill Sans MT" w:cs="Times New Roman"/>
      <w:sz w:val="24"/>
      <w:szCs w:val="24"/>
    </w:rPr>
  </w:style>
  <w:style w:type="paragraph" w:styleId="FootnoteText">
    <w:name w:val="footnote text"/>
    <w:basedOn w:val="Normal"/>
    <w:link w:val="FootnoteTextChar"/>
    <w:uiPriority w:val="99"/>
    <w:semiHidden/>
    <w:rsid w:val="00595699"/>
    <w:rPr>
      <w:sz w:val="20"/>
      <w:szCs w:val="20"/>
    </w:rPr>
  </w:style>
  <w:style w:type="character" w:customStyle="1" w:styleId="FootnoteTextChar">
    <w:name w:val="Footnote Text Char"/>
    <w:basedOn w:val="DefaultParagraphFont"/>
    <w:link w:val="FootnoteText"/>
    <w:uiPriority w:val="99"/>
    <w:semiHidden/>
    <w:locked/>
    <w:rsid w:val="00F761D0"/>
    <w:rPr>
      <w:rFonts w:ascii="Gill Sans MT" w:hAnsi="Gill Sans MT" w:cs="Times New Roman"/>
      <w:sz w:val="20"/>
      <w:szCs w:val="20"/>
    </w:rPr>
  </w:style>
  <w:style w:type="character" w:styleId="FootnoteReference">
    <w:name w:val="footnote reference"/>
    <w:basedOn w:val="DefaultParagraphFont"/>
    <w:uiPriority w:val="99"/>
    <w:semiHidden/>
    <w:rsid w:val="00595699"/>
    <w:rPr>
      <w:rFonts w:cs="Times New Roman"/>
      <w:vertAlign w:val="superscript"/>
    </w:rPr>
  </w:style>
  <w:style w:type="character" w:styleId="PageNumber">
    <w:name w:val="page number"/>
    <w:basedOn w:val="DefaultParagraphFont"/>
    <w:uiPriority w:val="99"/>
    <w:rsid w:val="007B31D2"/>
    <w:rPr>
      <w:rFonts w:cs="Times New Roman"/>
    </w:rPr>
  </w:style>
  <w:style w:type="table" w:styleId="TableGrid">
    <w:name w:val="Table Grid"/>
    <w:basedOn w:val="TableNormal"/>
    <w:uiPriority w:val="99"/>
    <w:rsid w:val="008D006C"/>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E0373"/>
    <w:pPr>
      <w:ind w:left="720"/>
      <w:contextualSpacing/>
    </w:pPr>
  </w:style>
  <w:style w:type="paragraph" w:styleId="BodyText">
    <w:name w:val="Body Text"/>
    <w:basedOn w:val="Normal"/>
    <w:link w:val="BodyTextChar"/>
    <w:uiPriority w:val="99"/>
    <w:rsid w:val="001E2463"/>
    <w:pPr>
      <w:widowControl/>
      <w:autoSpaceDE/>
      <w:autoSpaceDN/>
      <w:adjustRightInd/>
    </w:pPr>
    <w:rPr>
      <w:rFonts w:ascii="Arial" w:hAnsi="Arial" w:cs="Arial"/>
    </w:rPr>
  </w:style>
  <w:style w:type="character" w:customStyle="1" w:styleId="BodyTextChar">
    <w:name w:val="Body Text Char"/>
    <w:basedOn w:val="DefaultParagraphFont"/>
    <w:link w:val="BodyText"/>
    <w:uiPriority w:val="99"/>
    <w:semiHidden/>
    <w:locked/>
    <w:rsid w:val="00F761D0"/>
    <w:rPr>
      <w:rFonts w:ascii="Gill Sans MT" w:hAnsi="Gill Sans MT" w:cs="Times New Roman"/>
      <w:sz w:val="24"/>
      <w:szCs w:val="24"/>
    </w:rPr>
  </w:style>
  <w:style w:type="paragraph" w:styleId="BalloonText">
    <w:name w:val="Balloon Text"/>
    <w:basedOn w:val="Normal"/>
    <w:link w:val="BalloonTextChar"/>
    <w:uiPriority w:val="99"/>
    <w:semiHidden/>
    <w:rsid w:val="004C38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1D0"/>
    <w:rPr>
      <w:rFonts w:ascii="Tahoma" w:hAnsi="Tahoma" w:cs="Tahoma"/>
      <w:sz w:val="16"/>
      <w:szCs w:val="16"/>
    </w:rPr>
  </w:style>
  <w:style w:type="paragraph" w:styleId="Caption">
    <w:name w:val="caption"/>
    <w:basedOn w:val="Normal"/>
    <w:next w:val="Normal"/>
    <w:uiPriority w:val="99"/>
    <w:qFormat/>
    <w:rsid w:val="003244BD"/>
    <w:rPr>
      <w:b/>
      <w:bCs/>
      <w:sz w:val="20"/>
      <w:szCs w:val="20"/>
    </w:rPr>
  </w:style>
  <w:style w:type="paragraph" w:styleId="EndnoteText">
    <w:name w:val="endnote text"/>
    <w:basedOn w:val="Normal"/>
    <w:link w:val="EndnoteTextChar"/>
    <w:uiPriority w:val="99"/>
    <w:semiHidden/>
    <w:unhideWhenUsed/>
    <w:rsid w:val="007F2E12"/>
    <w:rPr>
      <w:sz w:val="20"/>
      <w:szCs w:val="20"/>
    </w:rPr>
  </w:style>
  <w:style w:type="character" w:customStyle="1" w:styleId="EndnoteTextChar">
    <w:name w:val="Endnote Text Char"/>
    <w:basedOn w:val="DefaultParagraphFont"/>
    <w:link w:val="EndnoteText"/>
    <w:uiPriority w:val="99"/>
    <w:semiHidden/>
    <w:rsid w:val="007F2E12"/>
    <w:rPr>
      <w:rFonts w:ascii="Gill Sans MT" w:hAnsi="Gill Sans MT"/>
      <w:sz w:val="20"/>
      <w:szCs w:val="20"/>
    </w:rPr>
  </w:style>
  <w:style w:type="character" w:styleId="EndnoteReference">
    <w:name w:val="endnote reference"/>
    <w:basedOn w:val="DefaultParagraphFont"/>
    <w:uiPriority w:val="99"/>
    <w:semiHidden/>
    <w:unhideWhenUsed/>
    <w:rsid w:val="007F2E1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D0"/>
    <w:pPr>
      <w:widowControl w:val="0"/>
      <w:autoSpaceDE w:val="0"/>
      <w:autoSpaceDN w:val="0"/>
      <w:adjustRightInd w:val="0"/>
    </w:pPr>
    <w:rPr>
      <w:rFonts w:ascii="Gill Sans MT" w:hAnsi="Gill Sans MT"/>
      <w:sz w:val="24"/>
      <w:szCs w:val="24"/>
    </w:rPr>
  </w:style>
  <w:style w:type="paragraph" w:styleId="Heading1">
    <w:name w:val="heading 1"/>
    <w:basedOn w:val="Normal"/>
    <w:next w:val="Normal"/>
    <w:link w:val="Heading1Char"/>
    <w:uiPriority w:val="99"/>
    <w:qFormat/>
    <w:rsid w:val="00F761D0"/>
    <w:pPr>
      <w:outlineLvl w:val="0"/>
    </w:pPr>
  </w:style>
  <w:style w:type="paragraph" w:styleId="Heading2">
    <w:name w:val="heading 2"/>
    <w:basedOn w:val="Normal"/>
    <w:next w:val="Normal"/>
    <w:link w:val="Heading2Char"/>
    <w:uiPriority w:val="99"/>
    <w:qFormat/>
    <w:rsid w:val="00F761D0"/>
    <w:pPr>
      <w:outlineLvl w:val="1"/>
    </w:pPr>
  </w:style>
  <w:style w:type="paragraph" w:styleId="Heading3">
    <w:name w:val="heading 3"/>
    <w:basedOn w:val="Normal"/>
    <w:next w:val="Normal"/>
    <w:link w:val="Heading3Char"/>
    <w:uiPriority w:val="99"/>
    <w:qFormat/>
    <w:rsid w:val="00F761D0"/>
    <w:pPr>
      <w:outlineLvl w:val="2"/>
    </w:pPr>
  </w:style>
  <w:style w:type="paragraph" w:styleId="Heading4">
    <w:name w:val="heading 4"/>
    <w:basedOn w:val="Normal"/>
    <w:next w:val="Normal"/>
    <w:link w:val="Heading4Char"/>
    <w:uiPriority w:val="99"/>
    <w:qFormat/>
    <w:rsid w:val="00F761D0"/>
    <w:pPr>
      <w:outlineLvl w:val="3"/>
    </w:pPr>
  </w:style>
  <w:style w:type="paragraph" w:styleId="Heading5">
    <w:name w:val="heading 5"/>
    <w:basedOn w:val="Normal"/>
    <w:next w:val="Normal"/>
    <w:link w:val="Heading5Char"/>
    <w:uiPriority w:val="99"/>
    <w:qFormat/>
    <w:rsid w:val="00F761D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61D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61D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61D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61D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5C22"/>
    <w:rPr>
      <w:rFonts w:ascii="Gill Sans MT" w:hAnsi="Gill Sans MT" w:cs="Times New Roman"/>
      <w:sz w:val="24"/>
      <w:szCs w:val="24"/>
      <w:lang w:val="en-US" w:eastAsia="en-US" w:bidi="ar-SA"/>
    </w:rPr>
  </w:style>
  <w:style w:type="paragraph" w:styleId="NormalWeb">
    <w:name w:val="Normal (Web)"/>
    <w:basedOn w:val="Normal"/>
    <w:uiPriority w:val="99"/>
    <w:rsid w:val="004261EB"/>
    <w:pPr>
      <w:widowControl/>
      <w:autoSpaceDE/>
      <w:autoSpaceDN/>
      <w:adjustRightInd/>
      <w:spacing w:before="100" w:beforeAutospacing="1" w:after="100" w:afterAutospacing="1"/>
    </w:pPr>
    <w:rPr>
      <w:rFonts w:ascii="Times New Roman" w:hAnsi="Times New Roman"/>
      <w:color w:val="293152"/>
    </w:rPr>
  </w:style>
  <w:style w:type="paragraph" w:styleId="Header">
    <w:name w:val="header"/>
    <w:basedOn w:val="Normal"/>
    <w:link w:val="HeaderChar"/>
    <w:uiPriority w:val="99"/>
    <w:rsid w:val="00595699"/>
    <w:pPr>
      <w:tabs>
        <w:tab w:val="center" w:pos="4320"/>
        <w:tab w:val="right" w:pos="8640"/>
      </w:tabs>
    </w:pPr>
  </w:style>
  <w:style w:type="character" w:customStyle="1" w:styleId="HeaderChar">
    <w:name w:val="Header Char"/>
    <w:basedOn w:val="DefaultParagraphFont"/>
    <w:link w:val="Header"/>
    <w:uiPriority w:val="99"/>
    <w:semiHidden/>
    <w:locked/>
    <w:rsid w:val="00F761D0"/>
    <w:rPr>
      <w:rFonts w:ascii="Gill Sans MT" w:hAnsi="Gill Sans MT" w:cs="Times New Roman"/>
      <w:sz w:val="24"/>
      <w:szCs w:val="24"/>
    </w:rPr>
  </w:style>
  <w:style w:type="paragraph" w:styleId="Footer">
    <w:name w:val="footer"/>
    <w:basedOn w:val="Normal"/>
    <w:link w:val="FooterChar"/>
    <w:uiPriority w:val="99"/>
    <w:rsid w:val="00595699"/>
    <w:pPr>
      <w:tabs>
        <w:tab w:val="center" w:pos="4320"/>
        <w:tab w:val="right" w:pos="8640"/>
      </w:tabs>
    </w:pPr>
  </w:style>
  <w:style w:type="character" w:customStyle="1" w:styleId="FooterChar">
    <w:name w:val="Footer Char"/>
    <w:basedOn w:val="DefaultParagraphFont"/>
    <w:link w:val="Footer"/>
    <w:uiPriority w:val="99"/>
    <w:semiHidden/>
    <w:locked/>
    <w:rsid w:val="00F761D0"/>
    <w:rPr>
      <w:rFonts w:ascii="Gill Sans MT" w:hAnsi="Gill Sans MT" w:cs="Times New Roman"/>
      <w:sz w:val="24"/>
      <w:szCs w:val="24"/>
    </w:rPr>
  </w:style>
  <w:style w:type="paragraph" w:styleId="FootnoteText">
    <w:name w:val="footnote text"/>
    <w:basedOn w:val="Normal"/>
    <w:link w:val="FootnoteTextChar"/>
    <w:uiPriority w:val="99"/>
    <w:semiHidden/>
    <w:rsid w:val="00595699"/>
    <w:rPr>
      <w:sz w:val="20"/>
      <w:szCs w:val="20"/>
    </w:rPr>
  </w:style>
  <w:style w:type="character" w:customStyle="1" w:styleId="FootnoteTextChar">
    <w:name w:val="Footnote Text Char"/>
    <w:basedOn w:val="DefaultParagraphFont"/>
    <w:link w:val="FootnoteText"/>
    <w:uiPriority w:val="99"/>
    <w:semiHidden/>
    <w:locked/>
    <w:rsid w:val="00F761D0"/>
    <w:rPr>
      <w:rFonts w:ascii="Gill Sans MT" w:hAnsi="Gill Sans MT" w:cs="Times New Roman"/>
      <w:sz w:val="20"/>
      <w:szCs w:val="20"/>
    </w:rPr>
  </w:style>
  <w:style w:type="character" w:styleId="FootnoteReference">
    <w:name w:val="footnote reference"/>
    <w:basedOn w:val="DefaultParagraphFont"/>
    <w:uiPriority w:val="99"/>
    <w:semiHidden/>
    <w:rsid w:val="00595699"/>
    <w:rPr>
      <w:rFonts w:cs="Times New Roman"/>
      <w:vertAlign w:val="superscript"/>
    </w:rPr>
  </w:style>
  <w:style w:type="character" w:styleId="PageNumber">
    <w:name w:val="page number"/>
    <w:basedOn w:val="DefaultParagraphFont"/>
    <w:uiPriority w:val="99"/>
    <w:rsid w:val="007B31D2"/>
    <w:rPr>
      <w:rFonts w:cs="Times New Roman"/>
    </w:rPr>
  </w:style>
  <w:style w:type="table" w:styleId="TableGrid">
    <w:name w:val="Table Grid"/>
    <w:basedOn w:val="TableNormal"/>
    <w:uiPriority w:val="99"/>
    <w:rsid w:val="008D006C"/>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E0373"/>
    <w:pPr>
      <w:ind w:left="720"/>
      <w:contextualSpacing/>
    </w:pPr>
  </w:style>
  <w:style w:type="paragraph" w:styleId="BodyText">
    <w:name w:val="Body Text"/>
    <w:basedOn w:val="Normal"/>
    <w:link w:val="BodyTextChar"/>
    <w:uiPriority w:val="99"/>
    <w:rsid w:val="001E2463"/>
    <w:pPr>
      <w:widowControl/>
      <w:autoSpaceDE/>
      <w:autoSpaceDN/>
      <w:adjustRightInd/>
    </w:pPr>
    <w:rPr>
      <w:rFonts w:ascii="Arial" w:hAnsi="Arial" w:cs="Arial"/>
    </w:rPr>
  </w:style>
  <w:style w:type="character" w:customStyle="1" w:styleId="BodyTextChar">
    <w:name w:val="Body Text Char"/>
    <w:basedOn w:val="DefaultParagraphFont"/>
    <w:link w:val="BodyText"/>
    <w:uiPriority w:val="99"/>
    <w:semiHidden/>
    <w:locked/>
    <w:rsid w:val="00F761D0"/>
    <w:rPr>
      <w:rFonts w:ascii="Gill Sans MT" w:hAnsi="Gill Sans MT" w:cs="Times New Roman"/>
      <w:sz w:val="24"/>
      <w:szCs w:val="24"/>
    </w:rPr>
  </w:style>
  <w:style w:type="paragraph" w:styleId="BalloonText">
    <w:name w:val="Balloon Text"/>
    <w:basedOn w:val="Normal"/>
    <w:link w:val="BalloonTextChar"/>
    <w:uiPriority w:val="99"/>
    <w:semiHidden/>
    <w:rsid w:val="004C38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1D0"/>
    <w:rPr>
      <w:rFonts w:ascii="Tahoma" w:hAnsi="Tahoma" w:cs="Tahoma"/>
      <w:sz w:val="16"/>
      <w:szCs w:val="16"/>
    </w:rPr>
  </w:style>
  <w:style w:type="paragraph" w:styleId="Caption">
    <w:name w:val="caption"/>
    <w:basedOn w:val="Normal"/>
    <w:next w:val="Normal"/>
    <w:uiPriority w:val="99"/>
    <w:qFormat/>
    <w:rsid w:val="003244BD"/>
    <w:rPr>
      <w:b/>
      <w:bCs/>
      <w:sz w:val="20"/>
      <w:szCs w:val="20"/>
    </w:rPr>
  </w:style>
  <w:style w:type="paragraph" w:styleId="EndnoteText">
    <w:name w:val="endnote text"/>
    <w:basedOn w:val="Normal"/>
    <w:link w:val="EndnoteTextChar"/>
    <w:uiPriority w:val="99"/>
    <w:semiHidden/>
    <w:unhideWhenUsed/>
    <w:rsid w:val="007F2E12"/>
    <w:rPr>
      <w:sz w:val="20"/>
      <w:szCs w:val="20"/>
    </w:rPr>
  </w:style>
  <w:style w:type="character" w:customStyle="1" w:styleId="EndnoteTextChar">
    <w:name w:val="Endnote Text Char"/>
    <w:basedOn w:val="DefaultParagraphFont"/>
    <w:link w:val="EndnoteText"/>
    <w:uiPriority w:val="99"/>
    <w:semiHidden/>
    <w:rsid w:val="007F2E12"/>
    <w:rPr>
      <w:rFonts w:ascii="Gill Sans MT" w:hAnsi="Gill Sans MT"/>
      <w:sz w:val="20"/>
      <w:szCs w:val="20"/>
    </w:rPr>
  </w:style>
  <w:style w:type="character" w:styleId="EndnoteReference">
    <w:name w:val="endnote reference"/>
    <w:basedOn w:val="DefaultParagraphFont"/>
    <w:uiPriority w:val="99"/>
    <w:semiHidden/>
    <w:unhideWhenUsed/>
    <w:rsid w:val="007F2E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8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floor>
    <c:sideWall>
      <c:thickness val="0"/>
    </c:sideWall>
    <c:backWall>
      <c:thickness val="0"/>
    </c:backWall>
    <c:plotArea>
      <c:layout>
        <c:manualLayout>
          <c:layoutTarget val="inner"/>
          <c:xMode val="edge"/>
          <c:yMode val="edge"/>
          <c:x val="8.5271317829457349E-2"/>
          <c:y val="4.6012269938650381E-2"/>
          <c:w val="0.89922480620155065"/>
          <c:h val="0.84662576687116564"/>
        </c:manualLayout>
      </c:layout>
      <c:bar3DChart>
        <c:barDir val="col"/>
        <c:grouping val="clustered"/>
        <c:varyColors val="0"/>
        <c:ser>
          <c:idx val="0"/>
          <c:order val="0"/>
          <c:tx>
            <c:strRef>
              <c:f>Sheet1!$A$2</c:f>
              <c:strCache>
                <c:ptCount val="1"/>
                <c:pt idx="0">
                  <c:v>Award Amount</c:v>
                </c:pt>
              </c:strCache>
            </c:strRef>
          </c:tx>
          <c:invertIfNegative val="0"/>
          <c:dLbls>
            <c:dLbl>
              <c:idx val="0"/>
              <c:layout>
                <c:manualLayout>
                  <c:x val="1.0152166389339117E-2"/>
                  <c:y val="-3.3737860845282144E-2"/>
                </c:manualLayout>
              </c:layout>
              <c:showLegendKey val="0"/>
              <c:showVal val="1"/>
              <c:showCatName val="0"/>
              <c:showSerName val="0"/>
              <c:showPercent val="0"/>
              <c:showBubbleSize val="0"/>
            </c:dLbl>
            <c:dLbl>
              <c:idx val="1"/>
              <c:layout>
                <c:manualLayout>
                  <c:x val="7.3525769506935183E-3"/>
                  <c:y val="-3.2552610915993846E-2"/>
                </c:manualLayout>
              </c:layout>
              <c:showLegendKey val="0"/>
              <c:showVal val="1"/>
              <c:showCatName val="0"/>
              <c:showSerName val="0"/>
              <c:showPercent val="0"/>
              <c:showBubbleSize val="0"/>
            </c:dLbl>
            <c:dLbl>
              <c:idx val="2"/>
              <c:layout>
                <c:manualLayout>
                  <c:x val="-2.2691395763585688E-3"/>
                  <c:y val="-2.8049071630006472E-2"/>
                </c:manualLayout>
              </c:layout>
              <c:showLegendKey val="0"/>
              <c:showVal val="1"/>
              <c:showCatName val="0"/>
              <c:showSerName val="0"/>
              <c:showPercent val="0"/>
              <c:showBubbleSize val="0"/>
            </c:dLbl>
            <c:dLbl>
              <c:idx val="3"/>
              <c:layout>
                <c:manualLayout>
                  <c:x val="-2.8324382323470742E-2"/>
                  <c:y val="2.3107058801097371E-18"/>
                </c:manualLayout>
              </c:layout>
              <c:showLegendKey val="0"/>
              <c:showVal val="1"/>
              <c:showCatName val="0"/>
              <c:showSerName val="0"/>
              <c:showPercent val="0"/>
              <c:showBubbleSize val="0"/>
            </c:dLbl>
            <c:dLbl>
              <c:idx val="4"/>
              <c:layout>
                <c:manualLayout>
                  <c:x val="2.0545838285544794E-3"/>
                  <c:y val="-4.2203251251872492E-2"/>
                </c:manualLayout>
              </c:layout>
              <c:showLegendKey val="0"/>
              <c:showVal val="1"/>
              <c:showCatName val="0"/>
              <c:showSerName val="0"/>
              <c:showPercent val="0"/>
              <c:showBubbleSize val="0"/>
            </c:dLbl>
            <c:dLbl>
              <c:idx val="5"/>
              <c:layout>
                <c:manualLayout>
                  <c:x val="-1.3654216658787065E-3"/>
                  <c:y val="-4.2290040697894174E-2"/>
                </c:manualLayout>
              </c:layout>
              <c:showLegendKey val="0"/>
              <c:showVal val="1"/>
              <c:showCatName val="0"/>
              <c:showSerName val="0"/>
              <c:showPercent val="0"/>
              <c:showBubbleSize val="0"/>
            </c:dLbl>
            <c:dLbl>
              <c:idx val="6"/>
              <c:layout>
                <c:manualLayout>
                  <c:x val="4.86151686173245E-4"/>
                  <c:y val="-2.8860668783264008E-2"/>
                </c:manualLayout>
              </c:layout>
              <c:showLegendKey val="0"/>
              <c:showVal val="1"/>
              <c:showCatName val="0"/>
              <c:showSerName val="0"/>
              <c:showPercent val="0"/>
              <c:showBubbleSize val="0"/>
            </c:dLbl>
            <c:dLbl>
              <c:idx val="7"/>
              <c:layout>
                <c:manualLayout>
                  <c:x val="2.3377250382249754E-3"/>
                  <c:y val="-9.2611043611615165E-3"/>
                </c:manualLayout>
              </c:layout>
              <c:showLegendKey val="0"/>
              <c:showVal val="1"/>
              <c:showCatName val="0"/>
              <c:showSerName val="0"/>
              <c:showPercent val="0"/>
              <c:showBubbleSize val="0"/>
            </c:dLbl>
            <c:dLbl>
              <c:idx val="8"/>
              <c:layout>
                <c:manualLayout>
                  <c:x val="1.0390848777873435E-2"/>
                  <c:y val="-6.6489953546290587E-2"/>
                </c:manualLayout>
              </c:layout>
              <c:showLegendKey val="0"/>
              <c:showVal val="1"/>
              <c:showCatName val="0"/>
              <c:showSerName val="0"/>
              <c:showPercent val="0"/>
              <c:showBubbleSize val="0"/>
            </c:dLbl>
            <c:dLbl>
              <c:idx val="9"/>
              <c:layout>
                <c:manualLayout>
                  <c:x val="1.3897089516306603E-3"/>
                  <c:y val="-5.8329563093616393E-2"/>
                </c:manualLayout>
              </c:layout>
              <c:showLegendKey val="0"/>
              <c:showVal val="1"/>
              <c:showCatName val="0"/>
              <c:showSerName val="0"/>
              <c:showPercent val="0"/>
              <c:showBubbleSize val="0"/>
            </c:dLbl>
            <c:txPr>
              <a:bodyPr rot="-2640000" vert="horz"/>
              <a:lstStyle/>
              <a:p>
                <a:pPr>
                  <a:defRPr/>
                </a:pPr>
                <a:endParaRPr lang="en-US"/>
              </a:p>
            </c:txPr>
            <c:showLegendKey val="0"/>
            <c:showVal val="1"/>
            <c:showCatName val="0"/>
            <c:showSerName val="0"/>
            <c:showPercent val="0"/>
            <c:showBubbleSize val="0"/>
            <c:showLeaderLines val="0"/>
          </c:dLbls>
          <c:cat>
            <c:numRef>
              <c:f>Sheet1!$B$1:$K$1</c:f>
              <c:numCache>
                <c:formatCode>General</c:formatCode>
                <c:ptCount val="10"/>
                <c:pt idx="0">
                  <c:v>2002</c:v>
                </c:pt>
                <c:pt idx="1">
                  <c:v>2002</c:v>
                </c:pt>
                <c:pt idx="2">
                  <c:v>2003</c:v>
                </c:pt>
                <c:pt idx="3">
                  <c:v>2003</c:v>
                </c:pt>
                <c:pt idx="4">
                  <c:v>2004</c:v>
                </c:pt>
                <c:pt idx="5">
                  <c:v>2005</c:v>
                </c:pt>
                <c:pt idx="6">
                  <c:v>2006</c:v>
                </c:pt>
                <c:pt idx="7">
                  <c:v>2007</c:v>
                </c:pt>
                <c:pt idx="8">
                  <c:v>2008</c:v>
                </c:pt>
                <c:pt idx="9">
                  <c:v>2009</c:v>
                </c:pt>
              </c:numCache>
            </c:numRef>
          </c:cat>
          <c:val>
            <c:numRef>
              <c:f>Sheet1!$B$2:$K$2</c:f>
              <c:numCache>
                <c:formatCode>"$"#,##0_);[Red]\("$"#,##0\)</c:formatCode>
                <c:ptCount val="10"/>
                <c:pt idx="0">
                  <c:v>39276</c:v>
                </c:pt>
                <c:pt idx="1">
                  <c:v>42484</c:v>
                </c:pt>
                <c:pt idx="2">
                  <c:v>107312</c:v>
                </c:pt>
                <c:pt idx="3">
                  <c:v>240104</c:v>
                </c:pt>
                <c:pt idx="4">
                  <c:v>80239</c:v>
                </c:pt>
                <c:pt idx="5">
                  <c:v>114282</c:v>
                </c:pt>
                <c:pt idx="6">
                  <c:v>216005</c:v>
                </c:pt>
                <c:pt idx="7">
                  <c:v>230584</c:v>
                </c:pt>
                <c:pt idx="8">
                  <c:v>134281</c:v>
                </c:pt>
                <c:pt idx="9">
                  <c:v>189852</c:v>
                </c:pt>
              </c:numCache>
            </c:numRef>
          </c:val>
        </c:ser>
        <c:dLbls>
          <c:showLegendKey val="0"/>
          <c:showVal val="1"/>
          <c:showCatName val="0"/>
          <c:showSerName val="0"/>
          <c:showPercent val="0"/>
          <c:showBubbleSize val="0"/>
        </c:dLbls>
        <c:gapWidth val="150"/>
        <c:gapDepth val="0"/>
        <c:shape val="box"/>
        <c:axId val="176884352"/>
        <c:axId val="176897408"/>
        <c:axId val="0"/>
      </c:bar3DChart>
      <c:catAx>
        <c:axId val="176884352"/>
        <c:scaling>
          <c:orientation val="minMax"/>
        </c:scaling>
        <c:delete val="0"/>
        <c:axPos val="b"/>
        <c:numFmt formatCode="General" sourceLinked="1"/>
        <c:majorTickMark val="out"/>
        <c:minorTickMark val="none"/>
        <c:tickLblPos val="low"/>
        <c:txPr>
          <a:bodyPr rot="0" vert="horz"/>
          <a:lstStyle/>
          <a:p>
            <a:pPr>
              <a:defRPr/>
            </a:pPr>
            <a:endParaRPr lang="en-US"/>
          </a:p>
        </c:txPr>
        <c:crossAx val="176897408"/>
        <c:crosses val="autoZero"/>
        <c:auto val="1"/>
        <c:lblAlgn val="ctr"/>
        <c:lblOffset val="100"/>
        <c:tickLblSkip val="1"/>
        <c:tickMarkSkip val="1"/>
        <c:noMultiLvlLbl val="0"/>
      </c:catAx>
      <c:valAx>
        <c:axId val="176897408"/>
        <c:scaling>
          <c:orientation val="minMax"/>
        </c:scaling>
        <c:delete val="0"/>
        <c:axPos val="l"/>
        <c:majorGridlines/>
        <c:numFmt formatCode="\$#,##0" sourceLinked="0"/>
        <c:majorTickMark val="out"/>
        <c:minorTickMark val="none"/>
        <c:tickLblPos val="nextTo"/>
        <c:txPr>
          <a:bodyPr rot="0" vert="horz"/>
          <a:lstStyle/>
          <a:p>
            <a:pPr>
              <a:defRPr/>
            </a:pPr>
            <a:endParaRPr lang="en-US"/>
          </a:p>
        </c:txPr>
        <c:crossAx val="1768843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Coverdell Grant Expenditures by Category 
2002-2009</a:t>
            </a:r>
          </a:p>
        </c:rich>
      </c:tx>
      <c:layout/>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Sheet1!$A$2</c:f>
              <c:strCache>
                <c:ptCount val="1"/>
                <c:pt idx="0">
                  <c:v>East</c:v>
                </c:pt>
              </c:strCache>
            </c:strRef>
          </c:tx>
          <c:dPt>
            <c:idx val="1"/>
            <c:bubble3D val="0"/>
          </c:dPt>
          <c:dPt>
            <c:idx val="2"/>
            <c:bubble3D val="0"/>
          </c:dPt>
          <c:dPt>
            <c:idx val="3"/>
            <c:bubble3D val="0"/>
          </c:dPt>
          <c:dPt>
            <c:idx val="4"/>
            <c:bubble3D val="0"/>
          </c:dPt>
          <c:dPt>
            <c:idx val="5"/>
            <c:bubble3D val="0"/>
          </c:dPt>
          <c:dLbls>
            <c:dLbl>
              <c:idx val="4"/>
              <c:layout>
                <c:manualLayout>
                  <c:x val="-0.13699428648589346"/>
                  <c:y val="-0.2821900595758863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Sheet1!$B$2:$G$2</c:f>
              <c:numCache>
                <c:formatCode>"$"#,##0_);[Red]\("$"#,##0\)</c:formatCode>
                <c:ptCount val="6"/>
                <c:pt idx="0">
                  <c:v>4800</c:v>
                </c:pt>
                <c:pt idx="1">
                  <c:v>54876.850000000013</c:v>
                </c:pt>
                <c:pt idx="2">
                  <c:v>121766.58</c:v>
                </c:pt>
                <c:pt idx="3">
                  <c:v>109840.2</c:v>
                </c:pt>
                <c:pt idx="4">
                  <c:v>488847.06</c:v>
                </c:pt>
                <c:pt idx="5">
                  <c:v>614396.31000000029</c:v>
                </c:pt>
              </c:numCache>
            </c:numRef>
          </c:val>
        </c:ser>
        <c:ser>
          <c:idx val="1"/>
          <c:order val="1"/>
          <c:tx>
            <c:strRef>
              <c:f>Sheet1!$A$3</c:f>
              <c:strCache>
                <c:ptCount val="1"/>
              </c:strCache>
            </c:strRef>
          </c:tx>
          <c:dPt>
            <c:idx val="0"/>
            <c:bubble3D val="0"/>
          </c:dPt>
          <c:dPt>
            <c:idx val="2"/>
            <c:bubble3D val="0"/>
          </c:dPt>
          <c:dPt>
            <c:idx val="3"/>
            <c:bubble3D val="0"/>
          </c:dPt>
          <c:dPt>
            <c:idx val="4"/>
            <c:bubble3D val="0"/>
          </c:dPt>
          <c:dPt>
            <c:idx val="5"/>
            <c:bubble3D val="0"/>
          </c:dPt>
          <c:dLbls>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Sheet1!$B$3:$G$3</c:f>
              <c:numCache>
                <c:formatCode>General</c:formatCode>
                <c:ptCount val="6"/>
              </c:numCache>
            </c:numRef>
          </c:val>
        </c:ser>
        <c:ser>
          <c:idx val="2"/>
          <c:order val="2"/>
          <c:tx>
            <c:strRef>
              <c:f>Sheet1!$A$4</c:f>
              <c:strCache>
                <c:ptCount val="1"/>
              </c:strCache>
            </c:strRef>
          </c:tx>
          <c:dPt>
            <c:idx val="0"/>
            <c:bubble3D val="0"/>
          </c:dPt>
          <c:dPt>
            <c:idx val="1"/>
            <c:bubble3D val="0"/>
          </c:dPt>
          <c:dPt>
            <c:idx val="3"/>
            <c:bubble3D val="0"/>
          </c:dPt>
          <c:dPt>
            <c:idx val="4"/>
            <c:bubble3D val="0"/>
          </c:dPt>
          <c:dPt>
            <c:idx val="5"/>
            <c:bubble3D val="0"/>
          </c:dPt>
          <c:dLbls>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Sheet1!$B$4:$G$4</c:f>
              <c:numCache>
                <c:formatCode>General</c:formatCode>
                <c:ptCount val="6"/>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Participating Labs - Case Submissions 
2003 - 2009</a:t>
            </a:r>
          </a:p>
        </c:rich>
      </c:tx>
      <c:layout>
        <c:manualLayout>
          <c:xMode val="edge"/>
          <c:yMode val="edge"/>
          <c:x val="0.22778669656584191"/>
          <c:y val="1.949860724233984E-2"/>
        </c:manualLayout>
      </c:layout>
      <c:overlay val="0"/>
    </c:title>
    <c:autoTitleDeleted val="0"/>
    <c:plotArea>
      <c:layout>
        <c:manualLayout>
          <c:layoutTarget val="inner"/>
          <c:xMode val="edge"/>
          <c:yMode val="edge"/>
          <c:x val="0.11954765751211632"/>
          <c:y val="0.38440111420612816"/>
          <c:w val="0.70920840064620361"/>
          <c:h val="0.53481894150417864"/>
        </c:manualLayout>
      </c:layout>
      <c:barChart>
        <c:barDir val="col"/>
        <c:grouping val="stacked"/>
        <c:varyColors val="0"/>
        <c:ser>
          <c:idx val="0"/>
          <c:order val="0"/>
          <c:tx>
            <c:strRef>
              <c:f>Sheet1!$A$2</c:f>
              <c:strCache>
                <c:ptCount val="1"/>
                <c:pt idx="0">
                  <c:v>OSBI</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Sheet1!$B$2:$H$2</c:f>
              <c:numCache>
                <c:formatCode>General</c:formatCode>
                <c:ptCount val="7"/>
                <c:pt idx="0">
                  <c:v>17594</c:v>
                </c:pt>
                <c:pt idx="1">
                  <c:v>17928</c:v>
                </c:pt>
                <c:pt idx="2">
                  <c:v>18923</c:v>
                </c:pt>
                <c:pt idx="3">
                  <c:v>20477</c:v>
                </c:pt>
                <c:pt idx="4">
                  <c:v>20526</c:v>
                </c:pt>
                <c:pt idx="5">
                  <c:v>19166</c:v>
                </c:pt>
                <c:pt idx="6">
                  <c:v>19911</c:v>
                </c:pt>
              </c:numCache>
            </c:numRef>
          </c:val>
        </c:ser>
        <c:ser>
          <c:idx val="1"/>
          <c:order val="1"/>
          <c:tx>
            <c:strRef>
              <c:f>Sheet1!$A$3</c:f>
              <c:strCache>
                <c:ptCount val="1"/>
                <c:pt idx="0">
                  <c:v>TPD</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Sheet1!$B$3:$H$3</c:f>
              <c:numCache>
                <c:formatCode>General</c:formatCode>
                <c:ptCount val="7"/>
                <c:pt idx="0">
                  <c:v>1752</c:v>
                </c:pt>
                <c:pt idx="1">
                  <c:v>3463</c:v>
                </c:pt>
                <c:pt idx="2">
                  <c:v>3595</c:v>
                </c:pt>
                <c:pt idx="3">
                  <c:v>4496</c:v>
                </c:pt>
                <c:pt idx="4">
                  <c:v>4071</c:v>
                </c:pt>
                <c:pt idx="5">
                  <c:v>4273</c:v>
                </c:pt>
                <c:pt idx="6">
                  <c:v>3713</c:v>
                </c:pt>
              </c:numCache>
            </c:numRef>
          </c:val>
        </c:ser>
        <c:ser>
          <c:idx val="2"/>
          <c:order val="2"/>
          <c:tx>
            <c:strRef>
              <c:f>Sheet1!$A$4</c:f>
              <c:strCache>
                <c:ptCount val="1"/>
                <c:pt idx="0">
                  <c:v>OCME</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Sheet1!$B$4:$H$4</c:f>
              <c:numCache>
                <c:formatCode>General</c:formatCode>
                <c:ptCount val="7"/>
                <c:pt idx="0">
                  <c:v>3583</c:v>
                </c:pt>
                <c:pt idx="1">
                  <c:v>3770</c:v>
                </c:pt>
                <c:pt idx="2">
                  <c:v>4095</c:v>
                </c:pt>
                <c:pt idx="3">
                  <c:v>4249</c:v>
                </c:pt>
                <c:pt idx="4">
                  <c:v>4315</c:v>
                </c:pt>
                <c:pt idx="5">
                  <c:v>4800</c:v>
                </c:pt>
                <c:pt idx="6">
                  <c:v>4911</c:v>
                </c:pt>
              </c:numCache>
            </c:numRef>
          </c:val>
        </c:ser>
        <c:ser>
          <c:idx val="3"/>
          <c:order val="3"/>
          <c:tx>
            <c:strRef>
              <c:f>Sheet1!$A$5</c:f>
              <c:strCache>
                <c:ptCount val="1"/>
                <c:pt idx="0">
                  <c:v>DA07</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Sheet1!$B$5:$H$5</c:f>
              <c:numCache>
                <c:formatCode>General</c:formatCode>
                <c:ptCount val="7"/>
                <c:pt idx="0">
                  <c:v>80</c:v>
                </c:pt>
                <c:pt idx="1">
                  <c:v>32</c:v>
                </c:pt>
                <c:pt idx="2">
                  <c:v>47</c:v>
                </c:pt>
                <c:pt idx="3">
                  <c:v>25</c:v>
                </c:pt>
                <c:pt idx="4">
                  <c:v>17</c:v>
                </c:pt>
                <c:pt idx="5">
                  <c:v>38</c:v>
                </c:pt>
                <c:pt idx="6">
                  <c:v>49</c:v>
                </c:pt>
              </c:numCache>
            </c:numRef>
          </c:val>
        </c:ser>
        <c:ser>
          <c:idx val="4"/>
          <c:order val="4"/>
          <c:tx>
            <c:strRef>
              <c:f>Sheet1!$A$6</c:f>
              <c:strCache>
                <c:ptCount val="1"/>
                <c:pt idx="0">
                  <c:v>BAPD</c:v>
                </c:pt>
              </c:strCache>
            </c:strRef>
          </c:tx>
          <c:invertIfNegative val="0"/>
          <c:cat>
            <c:numRef>
              <c:f>Sheet1!$B$1:$H$1</c:f>
              <c:numCache>
                <c:formatCode>General</c:formatCode>
                <c:ptCount val="7"/>
                <c:pt idx="0">
                  <c:v>2003</c:v>
                </c:pt>
                <c:pt idx="1">
                  <c:v>2004</c:v>
                </c:pt>
                <c:pt idx="2">
                  <c:v>2005</c:v>
                </c:pt>
                <c:pt idx="3">
                  <c:v>2006</c:v>
                </c:pt>
                <c:pt idx="4">
                  <c:v>2007</c:v>
                </c:pt>
                <c:pt idx="5">
                  <c:v>2008</c:v>
                </c:pt>
                <c:pt idx="6">
                  <c:v>2009</c:v>
                </c:pt>
              </c:numCache>
            </c:numRef>
          </c:cat>
          <c:val>
            <c:numRef>
              <c:f>Sheet1!$B$6:$H$6</c:f>
              <c:numCache>
                <c:formatCode>General</c:formatCode>
                <c:ptCount val="7"/>
                <c:pt idx="0">
                  <c:v>56</c:v>
                </c:pt>
                <c:pt idx="1">
                  <c:v>66</c:v>
                </c:pt>
                <c:pt idx="2">
                  <c:v>79</c:v>
                </c:pt>
                <c:pt idx="3">
                  <c:v>51</c:v>
                </c:pt>
                <c:pt idx="4">
                  <c:v>99</c:v>
                </c:pt>
                <c:pt idx="5">
                  <c:v>91</c:v>
                </c:pt>
                <c:pt idx="6">
                  <c:v>156</c:v>
                </c:pt>
              </c:numCache>
            </c:numRef>
          </c:val>
        </c:ser>
        <c:dLbls>
          <c:showLegendKey val="0"/>
          <c:showVal val="0"/>
          <c:showCatName val="0"/>
          <c:showSerName val="0"/>
          <c:showPercent val="0"/>
          <c:showBubbleSize val="0"/>
        </c:dLbls>
        <c:gapWidth val="150"/>
        <c:overlap val="100"/>
        <c:axId val="170914176"/>
        <c:axId val="170915712"/>
      </c:barChart>
      <c:catAx>
        <c:axId val="170914176"/>
        <c:scaling>
          <c:orientation val="minMax"/>
        </c:scaling>
        <c:delete val="0"/>
        <c:axPos val="t"/>
        <c:numFmt formatCode="General" sourceLinked="1"/>
        <c:majorTickMark val="out"/>
        <c:minorTickMark val="none"/>
        <c:tickLblPos val="nextTo"/>
        <c:txPr>
          <a:bodyPr rot="0" vert="horz"/>
          <a:lstStyle/>
          <a:p>
            <a:pPr>
              <a:defRPr/>
            </a:pPr>
            <a:endParaRPr lang="en-US"/>
          </a:p>
        </c:txPr>
        <c:crossAx val="170915712"/>
        <c:crosses val="max"/>
        <c:auto val="1"/>
        <c:lblAlgn val="ctr"/>
        <c:lblOffset val="100"/>
        <c:tickLblSkip val="1"/>
        <c:tickMarkSkip val="1"/>
        <c:noMultiLvlLbl val="0"/>
      </c:catAx>
      <c:valAx>
        <c:axId val="170915712"/>
        <c:scaling>
          <c:orientation val="minMax"/>
        </c:scaling>
        <c:delete val="0"/>
        <c:axPos val="l"/>
        <c:majorGridlines/>
        <c:numFmt formatCode="General" sourceLinked="0"/>
        <c:majorTickMark val="out"/>
        <c:minorTickMark val="none"/>
        <c:tickLblPos val="nextTo"/>
        <c:txPr>
          <a:bodyPr rot="0" vert="horz"/>
          <a:lstStyle/>
          <a:p>
            <a:pPr>
              <a:defRPr/>
            </a:pPr>
            <a:endParaRPr lang="en-US"/>
          </a:p>
        </c:txPr>
        <c:crossAx val="170914176"/>
        <c:crosses val="autoZero"/>
        <c:crossBetween val="between"/>
        <c:majorUnit val="5000"/>
      </c:valAx>
    </c:plotArea>
    <c:legend>
      <c:legendPos val="r"/>
      <c:layout>
        <c:manualLayout>
          <c:xMode val="edge"/>
          <c:yMode val="edge"/>
          <c:x val="0.84491110941229441"/>
          <c:y val="0.42618384401114207"/>
          <c:w val="0.14862676146064244"/>
          <c:h val="0.44846796657381638"/>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aseline="0"/>
              <a:t>Firearm and Tool Mark Case Turnaround 
2003 - 2009 </a:t>
            </a:r>
          </a:p>
        </c:rich>
      </c:tx>
      <c:overlay val="0"/>
    </c:title>
    <c:autoTitleDeleted val="0"/>
    <c:plotArea>
      <c:layout/>
      <c:lineChart>
        <c:grouping val="standard"/>
        <c:varyColors val="0"/>
        <c:ser>
          <c:idx val="0"/>
          <c:order val="0"/>
          <c:tx>
            <c:strRef>
              <c:f>Sheet1!$A$3</c:f>
              <c:strCache>
                <c:ptCount val="1"/>
                <c:pt idx="0">
                  <c:v>Number of Days</c:v>
                </c:pt>
              </c:strCache>
            </c:strRef>
          </c:tx>
          <c:cat>
            <c:numRef>
              <c:f>Sheet1!$B$1:$N$1</c:f>
              <c:numCache>
                <c:formatCode>[$-409]mmm\-yy;@</c:formatCode>
                <c:ptCount val="13"/>
                <c:pt idx="0">
                  <c:v>37803</c:v>
                </c:pt>
                <c:pt idx="1">
                  <c:v>38169</c:v>
                </c:pt>
                <c:pt idx="2">
                  <c:v>38322</c:v>
                </c:pt>
                <c:pt idx="3">
                  <c:v>38504</c:v>
                </c:pt>
                <c:pt idx="4">
                  <c:v>38687</c:v>
                </c:pt>
                <c:pt idx="5" formatCode="[$-409]mmmm\-yy;@">
                  <c:v>38869</c:v>
                </c:pt>
                <c:pt idx="6" formatCode="[$-409]mmmm\-yy;@">
                  <c:v>39052</c:v>
                </c:pt>
                <c:pt idx="7" formatCode="[$-409]mmmm\-yy;@">
                  <c:v>39264</c:v>
                </c:pt>
                <c:pt idx="8" formatCode="[$-409]mmmm\-yy;@">
                  <c:v>39417</c:v>
                </c:pt>
                <c:pt idx="9" formatCode="[$-409]mmmm\-yy;@">
                  <c:v>39630</c:v>
                </c:pt>
                <c:pt idx="10" formatCode="[$-409]mmmm\-yy;@">
                  <c:v>39783</c:v>
                </c:pt>
                <c:pt idx="11" formatCode="[$-409]mmmm\-yy;@">
                  <c:v>39965</c:v>
                </c:pt>
                <c:pt idx="12" formatCode="[$-409]mmmm\-yy;@">
                  <c:v>40148</c:v>
                </c:pt>
              </c:numCache>
            </c:numRef>
          </c:cat>
          <c:val>
            <c:numRef>
              <c:f>Sheet1!$B$3:$N$3</c:f>
              <c:numCache>
                <c:formatCode>General</c:formatCode>
                <c:ptCount val="13"/>
                <c:pt idx="0">
                  <c:v>75</c:v>
                </c:pt>
                <c:pt idx="1">
                  <c:v>75</c:v>
                </c:pt>
                <c:pt idx="2">
                  <c:v>95</c:v>
                </c:pt>
                <c:pt idx="3">
                  <c:v>119</c:v>
                </c:pt>
                <c:pt idx="4">
                  <c:v>77</c:v>
                </c:pt>
                <c:pt idx="5">
                  <c:v>61</c:v>
                </c:pt>
                <c:pt idx="6">
                  <c:v>48</c:v>
                </c:pt>
                <c:pt idx="7">
                  <c:v>37</c:v>
                </c:pt>
                <c:pt idx="8">
                  <c:v>31</c:v>
                </c:pt>
                <c:pt idx="9">
                  <c:v>46</c:v>
                </c:pt>
                <c:pt idx="10">
                  <c:v>38</c:v>
                </c:pt>
                <c:pt idx="11">
                  <c:v>71</c:v>
                </c:pt>
                <c:pt idx="12">
                  <c:v>31</c:v>
                </c:pt>
              </c:numCache>
            </c:numRef>
          </c:val>
          <c:smooth val="0"/>
        </c:ser>
        <c:ser>
          <c:idx val="1"/>
          <c:order val="1"/>
          <c:tx>
            <c:v>Goal</c:v>
          </c:tx>
          <c:val>
            <c:numRef>
              <c:f>Sheet1!$B$2:$N$2</c:f>
              <c:numCache>
                <c:formatCode>0</c:formatCode>
                <c:ptCount val="13"/>
                <c:pt idx="0">
                  <c:v>30</c:v>
                </c:pt>
                <c:pt idx="1">
                  <c:v>30</c:v>
                </c:pt>
                <c:pt idx="2">
                  <c:v>30</c:v>
                </c:pt>
                <c:pt idx="3">
                  <c:v>30</c:v>
                </c:pt>
                <c:pt idx="4">
                  <c:v>30</c:v>
                </c:pt>
                <c:pt idx="5">
                  <c:v>30</c:v>
                </c:pt>
                <c:pt idx="6">
                  <c:v>30</c:v>
                </c:pt>
                <c:pt idx="7">
                  <c:v>30</c:v>
                </c:pt>
                <c:pt idx="8">
                  <c:v>30</c:v>
                </c:pt>
                <c:pt idx="9">
                  <c:v>30</c:v>
                </c:pt>
                <c:pt idx="10">
                  <c:v>30</c:v>
                </c:pt>
                <c:pt idx="11">
                  <c:v>30</c:v>
                </c:pt>
                <c:pt idx="12">
                  <c:v>30</c:v>
                </c:pt>
              </c:numCache>
            </c:numRef>
          </c:val>
          <c:smooth val="0"/>
        </c:ser>
        <c:dLbls>
          <c:showLegendKey val="0"/>
          <c:showVal val="0"/>
          <c:showCatName val="0"/>
          <c:showSerName val="0"/>
          <c:showPercent val="0"/>
          <c:showBubbleSize val="0"/>
        </c:dLbls>
        <c:marker val="1"/>
        <c:smooth val="0"/>
        <c:axId val="174754816"/>
        <c:axId val="175686400"/>
      </c:lineChart>
      <c:catAx>
        <c:axId val="174754816"/>
        <c:scaling>
          <c:orientation val="minMax"/>
        </c:scaling>
        <c:delete val="0"/>
        <c:axPos val="b"/>
        <c:numFmt formatCode="[$-409]mmm\-yy;@" sourceLinked="0"/>
        <c:majorTickMark val="none"/>
        <c:minorTickMark val="none"/>
        <c:tickLblPos val="nextTo"/>
        <c:txPr>
          <a:bodyPr rot="-2820000" vert="horz"/>
          <a:lstStyle/>
          <a:p>
            <a:pPr>
              <a:defRPr/>
            </a:pPr>
            <a:endParaRPr lang="en-US"/>
          </a:p>
        </c:txPr>
        <c:crossAx val="175686400"/>
        <c:crosses val="autoZero"/>
        <c:auto val="0"/>
        <c:lblAlgn val="ctr"/>
        <c:lblOffset val="100"/>
        <c:tickLblSkip val="1"/>
        <c:tickMarkSkip val="1"/>
        <c:noMultiLvlLbl val="0"/>
      </c:catAx>
      <c:valAx>
        <c:axId val="175686400"/>
        <c:scaling>
          <c:orientation val="minMax"/>
        </c:scaling>
        <c:delete val="0"/>
        <c:axPos val="r"/>
        <c:majorGridlines/>
        <c:numFmt formatCode="General" sourceLinked="1"/>
        <c:majorTickMark val="none"/>
        <c:minorTickMark val="none"/>
        <c:tickLblPos val="nextTo"/>
        <c:txPr>
          <a:bodyPr rot="0" vert="horz"/>
          <a:lstStyle/>
          <a:p>
            <a:pPr>
              <a:defRPr/>
            </a:pPr>
            <a:endParaRPr lang="en-US"/>
          </a:p>
        </c:txPr>
        <c:crossAx val="174754816"/>
        <c:crosses val="max"/>
        <c:crossBetween val="between"/>
        <c:majorUnit val="40"/>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Latent Print Case Turnaround Time
2003 - 2009</a:t>
            </a:r>
          </a:p>
        </c:rich>
      </c:tx>
      <c:layout>
        <c:manualLayout>
          <c:xMode val="edge"/>
          <c:yMode val="edge"/>
          <c:x val="0.29111844772737361"/>
          <c:y val="8.3923986245905302E-2"/>
        </c:manualLayout>
      </c:layout>
      <c:overlay val="0"/>
    </c:title>
    <c:autoTitleDeleted val="0"/>
    <c:plotArea>
      <c:layout>
        <c:manualLayout>
          <c:layoutTarget val="inner"/>
          <c:xMode val="edge"/>
          <c:yMode val="edge"/>
          <c:x val="6.25E-2"/>
          <c:y val="0.43715846994535595"/>
          <c:w val="0.87664473684210653"/>
          <c:h val="0.20765027322404367"/>
        </c:manualLayout>
      </c:layout>
      <c:lineChart>
        <c:grouping val="standard"/>
        <c:varyColors val="0"/>
        <c:ser>
          <c:idx val="0"/>
          <c:order val="0"/>
          <c:tx>
            <c:strRef>
              <c:f>Sheet1!$A$3</c:f>
              <c:strCache>
                <c:ptCount val="1"/>
                <c:pt idx="0">
                  <c:v>Number of Days</c:v>
                </c:pt>
              </c:strCache>
            </c:strRef>
          </c:tx>
          <c:cat>
            <c:numRef>
              <c:f>Sheet1!$B$1:$N$1</c:f>
              <c:numCache>
                <c:formatCode>[$-409]mmmm\-yy;@</c:formatCode>
                <c:ptCount val="13"/>
                <c:pt idx="0">
                  <c:v>37803</c:v>
                </c:pt>
                <c:pt idx="1">
                  <c:v>38169</c:v>
                </c:pt>
                <c:pt idx="2">
                  <c:v>38322</c:v>
                </c:pt>
                <c:pt idx="3">
                  <c:v>38504</c:v>
                </c:pt>
                <c:pt idx="4">
                  <c:v>38687</c:v>
                </c:pt>
                <c:pt idx="5">
                  <c:v>38869</c:v>
                </c:pt>
                <c:pt idx="6">
                  <c:v>39052</c:v>
                </c:pt>
                <c:pt idx="7">
                  <c:v>39264</c:v>
                </c:pt>
                <c:pt idx="8">
                  <c:v>39417</c:v>
                </c:pt>
                <c:pt idx="9">
                  <c:v>39630</c:v>
                </c:pt>
                <c:pt idx="10">
                  <c:v>39783</c:v>
                </c:pt>
                <c:pt idx="11">
                  <c:v>39965</c:v>
                </c:pt>
                <c:pt idx="12">
                  <c:v>40148</c:v>
                </c:pt>
              </c:numCache>
            </c:numRef>
          </c:cat>
          <c:val>
            <c:numRef>
              <c:f>Sheet1!$B$3:$N$3</c:f>
              <c:numCache>
                <c:formatCode>General</c:formatCode>
                <c:ptCount val="13"/>
                <c:pt idx="0">
                  <c:v>41</c:v>
                </c:pt>
                <c:pt idx="1">
                  <c:v>41</c:v>
                </c:pt>
                <c:pt idx="2">
                  <c:v>35</c:v>
                </c:pt>
                <c:pt idx="3">
                  <c:v>16</c:v>
                </c:pt>
                <c:pt idx="4">
                  <c:v>48</c:v>
                </c:pt>
                <c:pt idx="5">
                  <c:v>25</c:v>
                </c:pt>
                <c:pt idx="6">
                  <c:v>34</c:v>
                </c:pt>
                <c:pt idx="7">
                  <c:v>27</c:v>
                </c:pt>
                <c:pt idx="8">
                  <c:v>48</c:v>
                </c:pt>
                <c:pt idx="9">
                  <c:v>61</c:v>
                </c:pt>
                <c:pt idx="10">
                  <c:v>48</c:v>
                </c:pt>
                <c:pt idx="11">
                  <c:v>87</c:v>
                </c:pt>
                <c:pt idx="12">
                  <c:v>40</c:v>
                </c:pt>
              </c:numCache>
            </c:numRef>
          </c:val>
          <c:smooth val="0"/>
        </c:ser>
        <c:ser>
          <c:idx val="1"/>
          <c:order val="1"/>
          <c:tx>
            <c:v>Goal</c:v>
          </c:tx>
          <c:marker>
            <c:symbol val="square"/>
            <c:size val="4"/>
          </c:marker>
          <c:val>
            <c:numRef>
              <c:f>Sheet1!$B$2:$N$2</c:f>
              <c:numCache>
                <c:formatCode>0</c:formatCode>
                <c:ptCount val="13"/>
                <c:pt idx="0">
                  <c:v>30</c:v>
                </c:pt>
                <c:pt idx="1">
                  <c:v>30</c:v>
                </c:pt>
                <c:pt idx="2">
                  <c:v>30</c:v>
                </c:pt>
                <c:pt idx="3">
                  <c:v>30</c:v>
                </c:pt>
                <c:pt idx="4">
                  <c:v>30</c:v>
                </c:pt>
                <c:pt idx="5">
                  <c:v>30</c:v>
                </c:pt>
                <c:pt idx="6">
                  <c:v>30</c:v>
                </c:pt>
                <c:pt idx="7">
                  <c:v>30</c:v>
                </c:pt>
                <c:pt idx="8">
                  <c:v>30</c:v>
                </c:pt>
                <c:pt idx="9">
                  <c:v>30</c:v>
                </c:pt>
                <c:pt idx="10">
                  <c:v>30</c:v>
                </c:pt>
                <c:pt idx="11">
                  <c:v>30</c:v>
                </c:pt>
                <c:pt idx="12">
                  <c:v>30</c:v>
                </c:pt>
              </c:numCache>
            </c:numRef>
          </c:val>
          <c:smooth val="0"/>
        </c:ser>
        <c:dLbls>
          <c:showLegendKey val="0"/>
          <c:showVal val="0"/>
          <c:showCatName val="0"/>
          <c:showSerName val="0"/>
          <c:showPercent val="0"/>
          <c:showBubbleSize val="0"/>
        </c:dLbls>
        <c:marker val="1"/>
        <c:smooth val="0"/>
        <c:axId val="175725184"/>
        <c:axId val="175743360"/>
      </c:lineChart>
      <c:catAx>
        <c:axId val="175725184"/>
        <c:scaling>
          <c:orientation val="minMax"/>
        </c:scaling>
        <c:delete val="0"/>
        <c:axPos val="b"/>
        <c:numFmt formatCode="[$-409]mmm\-yy;@" sourceLinked="0"/>
        <c:majorTickMark val="out"/>
        <c:minorTickMark val="in"/>
        <c:tickLblPos val="nextTo"/>
        <c:txPr>
          <a:bodyPr rot="-2580000" vert="horz"/>
          <a:lstStyle/>
          <a:p>
            <a:pPr>
              <a:defRPr/>
            </a:pPr>
            <a:endParaRPr lang="en-US"/>
          </a:p>
        </c:txPr>
        <c:crossAx val="175743360"/>
        <c:crosses val="autoZero"/>
        <c:auto val="0"/>
        <c:lblAlgn val="ctr"/>
        <c:lblOffset val="100"/>
        <c:tickLblSkip val="1"/>
        <c:tickMarkSkip val="1"/>
        <c:noMultiLvlLbl val="0"/>
      </c:catAx>
      <c:valAx>
        <c:axId val="175743360"/>
        <c:scaling>
          <c:orientation val="minMax"/>
        </c:scaling>
        <c:delete val="0"/>
        <c:axPos val="r"/>
        <c:majorGridlines/>
        <c:numFmt formatCode="General" sourceLinked="1"/>
        <c:majorTickMark val="out"/>
        <c:minorTickMark val="none"/>
        <c:tickLblPos val="nextTo"/>
        <c:txPr>
          <a:bodyPr rot="0" vert="horz"/>
          <a:lstStyle/>
          <a:p>
            <a:pPr>
              <a:defRPr/>
            </a:pPr>
            <a:endParaRPr lang="en-US"/>
          </a:p>
        </c:txPr>
        <c:crossAx val="175725184"/>
        <c:crosses val="max"/>
        <c:crossBetween val="between"/>
        <c:majorUnit val="50"/>
      </c:valAx>
      <c:dTable>
        <c:showHorzBorder val="1"/>
        <c:showVertBorder val="1"/>
        <c:showOutline val="1"/>
        <c:showKeys val="0"/>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Toxicology Case Turnaround 
2003 - 2009 </a:t>
            </a:r>
          </a:p>
        </c:rich>
      </c:tx>
      <c:layout>
        <c:manualLayout>
          <c:xMode val="edge"/>
          <c:yMode val="edge"/>
          <c:x val="0.35965192074988533"/>
          <c:y val="0.10438492485736581"/>
        </c:manualLayout>
      </c:layout>
      <c:overlay val="0"/>
    </c:title>
    <c:autoTitleDeleted val="0"/>
    <c:plotArea>
      <c:layout>
        <c:manualLayout>
          <c:layoutTarget val="inner"/>
          <c:xMode val="edge"/>
          <c:yMode val="edge"/>
          <c:x val="4.2975206611570262E-2"/>
          <c:y val="0.42857142857142855"/>
          <c:w val="0.90578512396694144"/>
          <c:h val="0.25274725274725274"/>
        </c:manualLayout>
      </c:layout>
      <c:lineChart>
        <c:grouping val="standard"/>
        <c:varyColors val="0"/>
        <c:ser>
          <c:idx val="0"/>
          <c:order val="0"/>
          <c:tx>
            <c:v>Goal</c:v>
          </c:tx>
          <c:cat>
            <c:numRef>
              <c:f>Sheet1!$B$1:$N$1</c:f>
              <c:numCache>
                <c:formatCode>[$-409]mmm\-yy;@</c:formatCode>
                <c:ptCount val="13"/>
                <c:pt idx="0">
                  <c:v>37803</c:v>
                </c:pt>
                <c:pt idx="1">
                  <c:v>38169</c:v>
                </c:pt>
                <c:pt idx="2">
                  <c:v>38322</c:v>
                </c:pt>
                <c:pt idx="3">
                  <c:v>38504</c:v>
                </c:pt>
                <c:pt idx="4">
                  <c:v>38687</c:v>
                </c:pt>
                <c:pt idx="5" formatCode="[$-409]mmmm\-yy;@">
                  <c:v>38869</c:v>
                </c:pt>
                <c:pt idx="6" formatCode="[$-409]mmmm\-yy;@">
                  <c:v>39052</c:v>
                </c:pt>
                <c:pt idx="7" formatCode="[$-409]mmmm\-yy;@">
                  <c:v>39264</c:v>
                </c:pt>
                <c:pt idx="8" formatCode="[$-409]mmmm\-yy;@">
                  <c:v>39417</c:v>
                </c:pt>
                <c:pt idx="9" formatCode="[$-409]mmmm\-yy;@">
                  <c:v>39630</c:v>
                </c:pt>
                <c:pt idx="10" formatCode="[$-409]mmmm\-yy;@">
                  <c:v>39783</c:v>
                </c:pt>
                <c:pt idx="11" formatCode="[$-409]mmmm\-yy;@">
                  <c:v>39965</c:v>
                </c:pt>
                <c:pt idx="12" formatCode="[$-409]mmmm\-yy;@">
                  <c:v>40148</c:v>
                </c:pt>
              </c:numCache>
            </c:numRef>
          </c:cat>
          <c:val>
            <c:numRef>
              <c:f>Sheet1!$B$2:$N$2</c:f>
              <c:numCache>
                <c:formatCode>0</c:formatCode>
                <c:ptCount val="13"/>
                <c:pt idx="0">
                  <c:v>30</c:v>
                </c:pt>
                <c:pt idx="1">
                  <c:v>30</c:v>
                </c:pt>
                <c:pt idx="2">
                  <c:v>30</c:v>
                </c:pt>
                <c:pt idx="3">
                  <c:v>30</c:v>
                </c:pt>
                <c:pt idx="4">
                  <c:v>30</c:v>
                </c:pt>
                <c:pt idx="5">
                  <c:v>30</c:v>
                </c:pt>
                <c:pt idx="6">
                  <c:v>30</c:v>
                </c:pt>
                <c:pt idx="7">
                  <c:v>30</c:v>
                </c:pt>
                <c:pt idx="8">
                  <c:v>30</c:v>
                </c:pt>
                <c:pt idx="9">
                  <c:v>30</c:v>
                </c:pt>
                <c:pt idx="10">
                  <c:v>30</c:v>
                </c:pt>
                <c:pt idx="11">
                  <c:v>30</c:v>
                </c:pt>
                <c:pt idx="12">
                  <c:v>30</c:v>
                </c:pt>
              </c:numCache>
            </c:numRef>
          </c:val>
          <c:smooth val="0"/>
        </c:ser>
        <c:ser>
          <c:idx val="2"/>
          <c:order val="1"/>
          <c:tx>
            <c:v>Number of Days</c:v>
          </c:tx>
          <c:spPr>
            <a:ln>
              <a:solidFill>
                <a:srgbClr val="C00000"/>
              </a:solidFill>
            </a:ln>
          </c:spPr>
          <c:marker>
            <c:symbol val="square"/>
            <c:size val="4"/>
            <c:spPr>
              <a:ln>
                <a:solidFill>
                  <a:srgbClr val="FF0000"/>
                </a:solidFill>
              </a:ln>
            </c:spPr>
          </c:marker>
          <c:val>
            <c:numRef>
              <c:f>Sheet1!$B$3:$N$3</c:f>
              <c:numCache>
                <c:formatCode>General</c:formatCode>
                <c:ptCount val="13"/>
                <c:pt idx="0">
                  <c:v>17</c:v>
                </c:pt>
                <c:pt idx="1">
                  <c:v>23</c:v>
                </c:pt>
                <c:pt idx="2">
                  <c:v>40</c:v>
                </c:pt>
                <c:pt idx="3">
                  <c:v>44</c:v>
                </c:pt>
                <c:pt idx="4">
                  <c:v>25</c:v>
                </c:pt>
                <c:pt idx="5">
                  <c:v>30</c:v>
                </c:pt>
                <c:pt idx="6">
                  <c:v>30</c:v>
                </c:pt>
                <c:pt idx="7">
                  <c:v>29</c:v>
                </c:pt>
                <c:pt idx="8">
                  <c:v>32</c:v>
                </c:pt>
                <c:pt idx="9">
                  <c:v>36</c:v>
                </c:pt>
                <c:pt idx="10">
                  <c:v>26</c:v>
                </c:pt>
                <c:pt idx="11">
                  <c:v>46</c:v>
                </c:pt>
                <c:pt idx="12">
                  <c:v>35</c:v>
                </c:pt>
              </c:numCache>
            </c:numRef>
          </c:val>
          <c:smooth val="0"/>
        </c:ser>
        <c:dLbls>
          <c:showLegendKey val="0"/>
          <c:showVal val="0"/>
          <c:showCatName val="0"/>
          <c:showSerName val="0"/>
          <c:showPercent val="0"/>
          <c:showBubbleSize val="0"/>
        </c:dLbls>
        <c:marker val="1"/>
        <c:smooth val="0"/>
        <c:axId val="176039808"/>
        <c:axId val="176050176"/>
      </c:lineChart>
      <c:catAx>
        <c:axId val="176039808"/>
        <c:scaling>
          <c:orientation val="minMax"/>
        </c:scaling>
        <c:delete val="0"/>
        <c:axPos val="b"/>
        <c:numFmt formatCode="[$-409]mmm\-yy;@" sourceLinked="0"/>
        <c:majorTickMark val="out"/>
        <c:minorTickMark val="none"/>
        <c:tickLblPos val="nextTo"/>
        <c:txPr>
          <a:bodyPr rot="-2820000" vert="horz"/>
          <a:lstStyle/>
          <a:p>
            <a:pPr>
              <a:defRPr/>
            </a:pPr>
            <a:endParaRPr lang="en-US"/>
          </a:p>
        </c:txPr>
        <c:crossAx val="176050176"/>
        <c:crosses val="autoZero"/>
        <c:auto val="0"/>
        <c:lblAlgn val="ctr"/>
        <c:lblOffset val="100"/>
        <c:tickLblSkip val="1"/>
        <c:tickMarkSkip val="1"/>
        <c:noMultiLvlLbl val="0"/>
      </c:catAx>
      <c:valAx>
        <c:axId val="176050176"/>
        <c:scaling>
          <c:orientation val="minMax"/>
        </c:scaling>
        <c:delete val="0"/>
        <c:axPos val="r"/>
        <c:majorGridlines/>
        <c:numFmt formatCode="0" sourceLinked="1"/>
        <c:majorTickMark val="out"/>
        <c:minorTickMark val="none"/>
        <c:tickLblPos val="nextTo"/>
        <c:txPr>
          <a:bodyPr rot="0" vert="horz"/>
          <a:lstStyle/>
          <a:p>
            <a:pPr>
              <a:defRPr/>
            </a:pPr>
            <a:endParaRPr lang="en-US"/>
          </a:p>
        </c:txPr>
        <c:crossAx val="176039808"/>
        <c:crosses val="max"/>
        <c:crossBetween val="between"/>
        <c:majorUnit val="40"/>
      </c:valAx>
      <c:dTable>
        <c:showHorzBorder val="1"/>
        <c:showVertBorder val="1"/>
        <c:showOutline val="1"/>
        <c:showKeys val="0"/>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0EF32-B214-497E-8308-04B2DCB6D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27</Pages>
  <Words>9347</Words>
  <Characters>53132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Kornegay, Veronica</dc:creator>
  <cp:keywords/>
  <dc:description/>
  <cp:lastModifiedBy>Roberson, Tara</cp:lastModifiedBy>
  <cp:revision>36</cp:revision>
  <cp:lastPrinted>2011-01-11T21:31:00Z</cp:lastPrinted>
  <dcterms:created xsi:type="dcterms:W3CDTF">2010-09-23T18:57:00Z</dcterms:created>
  <dcterms:modified xsi:type="dcterms:W3CDTF">2011-03-09T18:53:00Z</dcterms:modified>
</cp:coreProperties>
</file>