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3C76" w14:textId="77777777" w:rsidR="00E41592" w:rsidRDefault="00C40689">
      <w:pPr>
        <w:jc w:val="center"/>
      </w:pPr>
      <w:r>
        <w:rPr>
          <w:b/>
        </w:rPr>
        <w:t>2026 Edward Byrne Memorial Justice Assistance Grant (JAG) Program</w:t>
      </w:r>
      <w:r>
        <w:rPr>
          <w:b/>
        </w:rPr>
        <w:br/>
        <w:t>Oklahoma District Attorneys Council</w:t>
      </w:r>
      <w:r>
        <w:rPr>
          <w:b/>
        </w:rPr>
        <w:br/>
        <w:t>Proposal Narrative</w:t>
      </w:r>
    </w:p>
    <w:p w14:paraId="484F3B61" w14:textId="77777777" w:rsidR="00E41592" w:rsidRDefault="00C40689">
      <w:r>
        <w:rPr>
          <w:b/>
        </w:rPr>
        <w:t>DESCRIPTION OF THE NEED</w:t>
      </w:r>
    </w:p>
    <w:p w14:paraId="22A5E124" w14:textId="77777777" w:rsidR="00E41592" w:rsidRDefault="00C40689" w:rsidP="00D73DC4">
      <w:pPr>
        <w:ind w:firstLine="720"/>
      </w:pPr>
      <w:r>
        <w:t>Oklahoma continues to face significant and evolving criminal justice challenges requiring coordinated statewide and local responses. The Oklahoma JAG State Strategic Plan 2026–2030 identifies violent crime, drug-related crime, behavioral health and substance-use treatment gaps, law enforcement workforce needs, technology and data capacity, and access to criminal justice resources as continuing needs.</w:t>
      </w:r>
    </w:p>
    <w:p w14:paraId="50BAE0F1" w14:textId="13BE32F6" w:rsidR="00E41592" w:rsidRDefault="00C40689" w:rsidP="00D73DC4">
      <w:pPr>
        <w:ind w:firstLine="720"/>
      </w:pPr>
      <w:r>
        <w:t xml:space="preserve">Statewide data demonstrates the need for resources addressing violent and drug-related crime. Crimes Against Persons increased 9.4 percent between 2022 and 2024, from 64,220 to 70,254 offenses. In 2024, Oklahoma reported 4,512 forcible sex offenses and 64,371 assault offenses. Although reported murders decreased 6.2 percent from 2022 to 2024, from 257 to 241, violent crime remains a significant concern. Crimes Against Society increased 11 percent from 2022 to 2024. In 2024, Oklahoma reported 28,891 drug/narcotic violations and 5,536 weapon law violations, with drug-related offenses accounting for approximately 78 percent of Crimes Against Society. The Oklahoma Bureau of Narcotics and Dangerous Drugs identifies methamphetamine as a continuing significant threat, while fentanyl and fentanyl analogues, including counterfeit pills, present increasingly complex enforcement and public-safety challenges. Oklahoma also faces challenges associated with illegal marijuana operations, </w:t>
      </w:r>
      <w:r w:rsidR="00562BF9" w:rsidRPr="00562BF9">
        <w:t>kratom</w:t>
      </w:r>
      <w:r w:rsidR="00562BF9">
        <w:t xml:space="preserve">, </w:t>
      </w:r>
      <w:r>
        <w:t>drug trafficking, and limited access to treatment services.</w:t>
      </w:r>
    </w:p>
    <w:p w14:paraId="2C54669A" w14:textId="77777777" w:rsidR="00E41592" w:rsidRDefault="00C40689" w:rsidP="00D73DC4">
      <w:pPr>
        <w:ind w:firstLine="720"/>
      </w:pPr>
      <w:r>
        <w:t xml:space="preserve">The Strategic Plan's statewide stakeholder assessment confirms these challenges across Oklahoma, particularly in rural communities. The assessment received 96 responses from </w:t>
      </w:r>
      <w:r>
        <w:lastRenderedPageBreak/>
        <w:t>agencies serving 57 counties; 61 percent primarily served rural areas. Law enforcement agencies represented 67 percent of respondents, followed by victim services and prosecution. Leading concerns included mental and behavioral health, violent crime, substance-use and treatment gaps, recruitment and retention, and property crime. Respondents also identified needs involving equipment, drug enforcement, training, interoperable communications, prosecution capacity, treatment, officer wellness, crisis intervention, data integration, cybersecurity, and crime analysis.</w:t>
      </w:r>
    </w:p>
    <w:p w14:paraId="3CF0EEBF" w14:textId="77777777" w:rsidR="00E41592" w:rsidRDefault="00C40689" w:rsidP="00D73DC4">
      <w:pPr>
        <w:ind w:firstLine="720"/>
      </w:pPr>
      <w:r>
        <w:t>The assessment also identified access to JAG funding as a continuing need. Thirty-two respondents had not received JAG funding during the preceding five years, and lack of awareness was the most common reason identified by non-recipients. Respondents identified technical assistance needs related to eligible activities, grant application development, grant management and compliance, data and evaluation, program design, and partnership. These findings support the Strategic Plan's emphasis on outreach, technical assistance, transparent review, and equitable access regardless of agency size, population, or geography.</w:t>
      </w:r>
    </w:p>
    <w:p w14:paraId="0203F633" w14:textId="77777777" w:rsidR="00E41592" w:rsidRDefault="00C40689" w:rsidP="00957B2C">
      <w:pPr>
        <w:ind w:firstLine="720"/>
      </w:pPr>
      <w:r>
        <w:t>Previous JAG funding demonstrates measurable results while highlighting the need for sustained resources. During the 2021–2023 and 2023–2025 funding cycles, JAG-supported Drug and Violent Crime Task Forces reported 24,198 assists, 2,836 arrests, 2,123 search warrants, 1,978 non-drug arrests, and 2,171 criminal cases worked. Drug enforcement activities resulted in 3,645 drug possession or distribution arrests across the two cycles. Since 2021, DAC has awarded 309 local law enforcement agencies approximately $2.35 million for critical equipment through JAG-LLE. The Strategic Plan recognizes that the $10,000 maximum award has lost purchasing power and emphasizes critical equipment and demonstrated need.</w:t>
      </w:r>
    </w:p>
    <w:p w14:paraId="6D08A9B6" w14:textId="77777777" w:rsidR="00E41592" w:rsidRDefault="00C40689" w:rsidP="00957B2C">
      <w:pPr>
        <w:ind w:firstLine="720"/>
      </w:pPr>
      <w:r>
        <w:lastRenderedPageBreak/>
        <w:t>DAC also identified challenges in administering previous JAG funding cycles. Demand has exceeded available resources; during the most recent competitive process, approximately $4.98 million was available while applications requested approximately $8.26 million, and approximately 93.57 percent of 2025–2027 subaward funding supported continuing projects. DAC therefore requires a clear and consistently applied funding strategy that sustains successful programs while providing opportunities to address emerging needs and expand access. The 2026–2030 Strategic Plan responds through focused priorities while preserving flexibility across JAG statutory purpose areas, including Drug and Violent Crime Task Forces, Gang and Violent Crime Prosecution Units, critical law enforcement equipment, substance-use and mental health treatment, officer wellness, crisis intervention and alternatives to incarceration, data and technology capacity, and program access, administration, and collaboration.</w:t>
      </w:r>
    </w:p>
    <w:p w14:paraId="0063AB40" w14:textId="77777777" w:rsidR="00E41592" w:rsidRDefault="00C40689">
      <w:r>
        <w:rPr>
          <w:b/>
        </w:rPr>
        <w:t>PROJECT DESIGN AND IMPLEMENTATION</w:t>
      </w:r>
    </w:p>
    <w:p w14:paraId="0AAD71AC" w14:textId="77777777" w:rsidR="00E41592" w:rsidRDefault="00C40689" w:rsidP="00957B2C">
      <w:pPr>
        <w:ind w:firstLine="720"/>
      </w:pPr>
      <w:r>
        <w:t>DAC will implement FY2026 JAG through a statewide, needs-based approach connecting the 2026–2030 Strategic Plan to JAG statutory purpose areas. The approach sustains core investigative and prosecutorial capacity while allowing qualified applicants to address documented needs in law enforcement, courts, prevention, corrections, treatment, victim and witness services, mental health, crisis intervention, and data and technology.</w:t>
      </w:r>
    </w:p>
    <w:p w14:paraId="736AD29D" w14:textId="77777777" w:rsidR="00957B2C" w:rsidRDefault="00C40689" w:rsidP="00957B2C">
      <w:r w:rsidRPr="00957B2C">
        <w:rPr>
          <w:u w:val="single"/>
        </w:rPr>
        <w:t>Stakeholder Engagement and Coordination</w:t>
      </w:r>
      <w:r>
        <w:t xml:space="preserve">. </w:t>
      </w:r>
    </w:p>
    <w:p w14:paraId="3AEE8889" w14:textId="08FD2B17" w:rsidR="00E41592" w:rsidRDefault="00C40689" w:rsidP="00957B2C">
      <w:pPr>
        <w:ind w:firstLine="720"/>
      </w:pPr>
      <w:r>
        <w:t xml:space="preserve">The JAG Board provides statewide oversight and includes representatives from DAC, the Governor/Department of Public Safety, district attorneys, Office of Juvenile Affairs, OSBI, Department of Corrections, Office of the Attorney General, Oklahoma Bureau of Narcotics and Dangerous Drugs, Oklahoma Department of Mental Health and Substance Abuse Services, Oklahoma Office of Homeland Security, Oklahoma Sheriffs’ Association, and Oklahoma </w:t>
      </w:r>
      <w:r>
        <w:lastRenderedPageBreak/>
        <w:t>Association of Chiefs of Police. Federal representatives participate as non-voting members. This structure supports coordination across state, local, tribal, and federal justice partners.</w:t>
      </w:r>
    </w:p>
    <w:p w14:paraId="6BF8C8B3" w14:textId="77777777" w:rsidR="00E41592" w:rsidRDefault="00C40689">
      <w:r>
        <w:t>The Strategic Plan assessment demonstrated collaboration among law enforcement, prosecution, courts, mental health and treatment providers, victim services, schools, tribal partners, and other organizations. Consistent with Goal 8, subgrantees will identify at least one objective that improves community, state, federal, or tribal collaboration. DAC will coordinate JAG with Byrne SCIP, RSAT, PSN, NCHIP, NARIP, Coverdell, and other available resources to leverage funding and reduce duplication.</w:t>
      </w:r>
    </w:p>
    <w:p w14:paraId="6960F696" w14:textId="77777777" w:rsidR="00957B2C" w:rsidRDefault="00C40689">
      <w:pPr>
        <w:rPr>
          <w:u w:val="single"/>
        </w:rPr>
      </w:pPr>
      <w:r w:rsidRPr="00957B2C">
        <w:rPr>
          <w:u w:val="single"/>
        </w:rPr>
        <w:t>State and Local Implementation</w:t>
      </w:r>
    </w:p>
    <w:p w14:paraId="42385CE2" w14:textId="1626FA69" w:rsidR="00E41592" w:rsidRDefault="00C40689" w:rsidP="00957B2C">
      <w:pPr>
        <w:ind w:firstLine="720"/>
      </w:pPr>
      <w:r>
        <w:t>DAC will combine statewide priorities with locally documented needs and apply consistent review standards regardless of agency size, population, or geography. Outreach and technical assistance will increase awareness among first-time and lapsed applicants. Applications will be reviewed for demonstrated need, alignment with JAG priorities and the Strategic Plan, proposed activities and outcomes, organizational capacity, budget reasonableness, and the extent to which the project addresses documented needs.</w:t>
      </w:r>
    </w:p>
    <w:p w14:paraId="4AF556D2" w14:textId="45D228B2" w:rsidR="008A212F" w:rsidRPr="008A212F" w:rsidRDefault="00C40689">
      <w:pPr>
        <w:rPr>
          <w:u w:val="single"/>
        </w:rPr>
      </w:pPr>
      <w:r w:rsidRPr="008A212F">
        <w:rPr>
          <w:u w:val="single"/>
        </w:rPr>
        <w:t>Funding Prioritie</w:t>
      </w:r>
      <w:r w:rsidR="008A212F" w:rsidRPr="008A212F">
        <w:rPr>
          <w:u w:val="single"/>
        </w:rPr>
        <w:t>s</w:t>
      </w:r>
      <w:r w:rsidRPr="008A212F">
        <w:rPr>
          <w:u w:val="single"/>
        </w:rPr>
        <w:t xml:space="preserve"> </w:t>
      </w:r>
    </w:p>
    <w:p w14:paraId="07502CA3" w14:textId="3476C1CB" w:rsidR="00E41592" w:rsidRDefault="00C40689">
      <w:r>
        <w:t xml:space="preserve">The JAG Board will use the Strategic Plan and stakeholder-identified needs to establish funding priorities. Goal 1.1 establishes continued funding of Drug and Violent Crime Task Forces as the Board’s top funding priority, with no less than 70 percent of available subaward funding targeted to these activities in each two-year cycle, subject to available funding and qualified applications. Goal 1.2 establishes a target of no less than 10 percent for Gang and Violent Crime Prosecution Units. Goals 2.1 and 2.2 support JAG-LLE equipment reimbursements, emphasizing critical equipment and demonstrated need. Goal 3 prioritizes, as funding and qualified applications </w:t>
      </w:r>
      <w:r>
        <w:lastRenderedPageBreak/>
        <w:t>allow, co-occurring substance-use and mental-health treatment, residential or inpatient treatment, methamphetamine- and opioid-specific treatment, and officer wellness. Goal 5 supports CIT training, co-responder programs, mental-health and specialty courts, and diversion. Goal 6 supports data integration, cybersecurity, records-management technology, and data and program evaluation where feasible. Goal 7 supports technical assistance, outreach, consistent and transparent review, and annual Strategic Plan review. Goal 8 encourages collaboration among community, state, federal, and tribal partners.</w:t>
      </w:r>
    </w:p>
    <w:p w14:paraId="282B5990" w14:textId="01E080CA" w:rsidR="008A212F" w:rsidRPr="008A212F" w:rsidRDefault="00C40689">
      <w:pPr>
        <w:rPr>
          <w:u w:val="single"/>
        </w:rPr>
      </w:pPr>
      <w:r w:rsidRPr="008A212F">
        <w:rPr>
          <w:u w:val="single"/>
        </w:rPr>
        <w:t>Subaward Process and Four-Year Timeline</w:t>
      </w:r>
    </w:p>
    <w:p w14:paraId="29CD1739" w14:textId="2A70103A" w:rsidR="00E41592" w:rsidRDefault="00C40689">
      <w:r>
        <w:t>DAC will issue application guidance identifying eligible activities, priorities, requirements, documentation, and performance obligations. Following review and JAG Board approval, DAC will execute subawards, establish approved budgets and performance requirements, and monitor projects through risk-based oversight. Subrecipients will submit required financial and performance information, including semiannual narrative reports and PMT information, as applicable. DAC will review performance against approved objectives and may place a draw hold when required reporting is not submitted.</w:t>
      </w:r>
    </w:p>
    <w:p w14:paraId="3C00AD6A" w14:textId="77777777" w:rsidR="00E41592" w:rsidRDefault="00C40689">
      <w:r>
        <w:t>Year 1: Months 1–3 confirm the federal award, applicable DOJ requirements, available funding, and Board priorities; months 2–4 conduct outreach and technical assistance; months 3–5 release the application and receive applications; months 5–7 conduct eligibility, programmatic, and budget reviews and Board consideration; months 7–9 finalize recommendations, execute subawards, establish budgets and performance requirements, and initiate activities; and months 9–12 conduct risk assessments, establish monitoring plans, provide grant-management and reporting assistance, and collect baseline performance information.</w:t>
      </w:r>
    </w:p>
    <w:p w14:paraId="01098ED5" w14:textId="77777777" w:rsidR="00E41592" w:rsidRDefault="00C40689">
      <w:r>
        <w:lastRenderedPageBreak/>
        <w:t>Year 2: Months 13–18 continue implementation and review financial and programmatic performance; months 15–20 conduct risk-based monitoring and validate accomplishments; months 18–21 review performance data, expenditures, emerging needs, and stakeholder feedback; and months 21–24 conduct the annual Strategic Plan review and prepare for the next competitive cycle.</w:t>
      </w:r>
    </w:p>
    <w:p w14:paraId="66B93441" w14:textId="77777777" w:rsidR="00E41592" w:rsidRDefault="00C40689">
      <w:r>
        <w:t>Year 3: Months 25–27 conduct statewide outreach and technical assistance, particularly for agencies that have not previously applied; months 27–30 release the next competitive application and conduct eligibility, programmatic, and budget reviews; months 30–32 present applications and recommendations to the Board and finalize awards; and months 32–36 execute subawards, begin or continue activities, complete risk assessments, and establish monitoring plans.</w:t>
      </w:r>
    </w:p>
    <w:p w14:paraId="6A168844" w14:textId="77777777" w:rsidR="00E41592" w:rsidRDefault="00C40689">
      <w:r>
        <w:t>Year 4: Months 37–42 continue implementation, financial oversight, performance reporting, monitoring, and technical assistance; months 40–44 review cumulative performance and progress toward Strategic Plan priorities and approved objectives; months 43–46 conduct final performance and financial reviews and provide closeout assistance; and months 46–48 complete closeout, reconcile expenditures and performance information, document lessons learned and successful practices, and use results for future JAG planning. Throughout all four years, DAC will maintain financial and programmatic oversight, performance review, subrecipient monitoring, technical assistance, and coordination with DOJ and other justice-funding partners and will continue to explore sustainable funding for Drug and Violent Crime Task Forces consistent with Goal 1.3.</w:t>
      </w:r>
    </w:p>
    <w:p w14:paraId="7D767829" w14:textId="77777777" w:rsidR="00E41592" w:rsidRDefault="00C40689">
      <w:r>
        <w:rPr>
          <w:b/>
        </w:rPr>
        <w:t>CAPABILITIES AND COMPETENCIES</w:t>
      </w:r>
    </w:p>
    <w:p w14:paraId="44ECA678" w14:textId="77777777" w:rsidR="00E41592" w:rsidRDefault="00C40689" w:rsidP="00141B90">
      <w:pPr>
        <w:ind w:firstLine="720"/>
      </w:pPr>
      <w:r>
        <w:t xml:space="preserve">The DAC has served as Oklahoma’s State Administering Agency for the Edward Byrne Memorial Justice Grant (JAG) program since 1986, with JAG Board oversight established in </w:t>
      </w:r>
      <w:r>
        <w:lastRenderedPageBreak/>
        <w:t>1987. DAC has established organizational, financial, and programmatic processes to administer federal awards, make subawards, monitor performance and compliance, and coordinate with DOJ.</w:t>
      </w:r>
    </w:p>
    <w:p w14:paraId="45BB20E3" w14:textId="77777777" w:rsidR="00E41592" w:rsidRDefault="00C40689" w:rsidP="00141B90">
      <w:pPr>
        <w:ind w:firstLine="720"/>
      </w:pPr>
      <w:r>
        <w:t>DAC’s Federal Grants Division administers JAG and other federal criminal justice programs; provides programmatic and fiscal oversight; serves as liaison with BJA; manages the subaward process; provides technical assistance; reviews performance and financial information; and coordinates required federal reporting. The division has over fifty-five years and nine months of combined staff experience. DAC’s experience supports the full grant lifecycle, including application and award processes, budget review, subaward management, financial oversight, performance reporting, monitoring, technical assistance, and closeout.</w:t>
      </w:r>
    </w:p>
    <w:p w14:paraId="7B95FC4A" w14:textId="4A859D4B" w:rsidR="00141B90" w:rsidRPr="00141B90" w:rsidRDefault="00C40689" w:rsidP="00141B90">
      <w:pPr>
        <w:rPr>
          <w:u w:val="single"/>
        </w:rPr>
      </w:pPr>
      <w:r w:rsidRPr="00141B90">
        <w:rPr>
          <w:u w:val="single"/>
        </w:rPr>
        <w:t>Performance Measurement and Reporting</w:t>
      </w:r>
    </w:p>
    <w:p w14:paraId="36E96F65" w14:textId="24841E95" w:rsidR="00E41592" w:rsidRDefault="00C40689" w:rsidP="00141B90">
      <w:pPr>
        <w:ind w:firstLine="720"/>
      </w:pPr>
      <w:r>
        <w:t>DAC will use a structured performance-management process linking funded activities to approved objectives and measurable results. Grant Programs Specialists will collect and review subrecipient information with grants leadership oversight. DAC will review numerical and narrative performance data, compile required information for DOJ systems including PMT, as applicable, and use monitoring to validate accomplishments. Incomplete required reporting may result in administrative action, including a draw hold.</w:t>
      </w:r>
    </w:p>
    <w:p w14:paraId="2B5AB274" w14:textId="3DE632FF" w:rsidR="00F51ECC" w:rsidRPr="00F51ECC" w:rsidRDefault="00C40689" w:rsidP="00F51ECC">
      <w:pPr>
        <w:rPr>
          <w:u w:val="single"/>
        </w:rPr>
      </w:pPr>
      <w:r w:rsidRPr="00F51ECC">
        <w:rPr>
          <w:u w:val="single"/>
        </w:rPr>
        <w:t>Subrecipient Monitoring and Compliance</w:t>
      </w:r>
    </w:p>
    <w:p w14:paraId="346341BF" w14:textId="3C1922D9" w:rsidR="00E41592" w:rsidRDefault="00C40689" w:rsidP="00141B90">
      <w:pPr>
        <w:ind w:firstLine="720"/>
      </w:pPr>
      <w:r>
        <w:t xml:space="preserve">DAC uses risk-based subrecipient monitoring. Each JAG subrecipient receives a risk assessment and annual monitoring plan, and a designated Grant Programs Specialist serves as the primary contact and monitor. Monitoring reviews programmatic performance, financial activity, expenditures, supporting documentation, reports, and compliance with subaward terms. Findings </w:t>
      </w:r>
      <w:r>
        <w:lastRenderedPageBreak/>
        <w:t>are used to provide technical assistance, document corrective action when needed, and follow up on identified concerns.</w:t>
      </w:r>
    </w:p>
    <w:p w14:paraId="6B0C737E" w14:textId="375C844C" w:rsidR="00F51ECC" w:rsidRPr="00F51ECC" w:rsidRDefault="00C40689">
      <w:pPr>
        <w:rPr>
          <w:u w:val="single"/>
        </w:rPr>
      </w:pPr>
      <w:r w:rsidRPr="00F51ECC">
        <w:rPr>
          <w:u w:val="single"/>
        </w:rPr>
        <w:t>Strategic Planning and Statewide Coordination</w:t>
      </w:r>
    </w:p>
    <w:p w14:paraId="5EDDFDDF" w14:textId="433F3621" w:rsidR="00E41592" w:rsidRDefault="00C40689" w:rsidP="00F51ECC">
      <w:pPr>
        <w:ind w:firstLine="720"/>
      </w:pPr>
      <w:r>
        <w:t>DAC’s JAG administration is guided by the 2026–2030 Strategic Plan, developed through statewide stakeholder input and an assessment that received 96 responses from agencies serving 57 counties. The plan establishes priorities for investigative and prosecutorial capacity, frontline law enforcement, mental health and substance-use treatment, crisis intervention and alternatives to incarceration, data and technology, program access and administration, and collaboration. DAC will review the Strategic Plan annually using performance information, stakeholder feedback, funding availability, and emerging needs, and will coordinate JAG with Byrne SCIP, RSAT, PSN, NCHIP, NARIP, Coverdell, and other available resources to leverage funding and reduce duplication.</w:t>
      </w:r>
    </w:p>
    <w:p w14:paraId="4DDDF144" w14:textId="2D42291D" w:rsidR="00F51ECC" w:rsidRPr="00F51ECC" w:rsidRDefault="00C40689">
      <w:pPr>
        <w:rPr>
          <w:u w:val="single"/>
        </w:rPr>
      </w:pPr>
      <w:r w:rsidRPr="00F51ECC">
        <w:rPr>
          <w:u w:val="single"/>
        </w:rPr>
        <w:t>Experience and Evidence-Informed Implementation</w:t>
      </w:r>
    </w:p>
    <w:p w14:paraId="05614AC7" w14:textId="734C36C4" w:rsidR="00E41592" w:rsidRDefault="00C40689" w:rsidP="00F51ECC">
      <w:pPr>
        <w:ind w:firstLine="720"/>
      </w:pPr>
      <w:r>
        <w:t>DAC’s strategy is informed by prior results and statewide needs. The 2021–2023 and 2023–2025 task-force results described above inform continued emphasis on Drug and Violent Crime Task Forces. The Strategic Plan also supports mental health and substance-use treatment, crisis intervention, alternatives to incarceration, officer wellness, data integration, and technology. Consistent with Goal 6.2, DAC will encourage subgrantees to incorporate data use and program evaluation where feasible. Where applicants propose established programs or practices with an evidence base or documented prior results, DAC will consider their documented effectiveness and alignment with Oklahoma’s identified needs.</w:t>
      </w:r>
    </w:p>
    <w:p w14:paraId="10B1F15D" w14:textId="77777777" w:rsidR="00F51ECC" w:rsidRDefault="00F51ECC"/>
    <w:p w14:paraId="342B8E66" w14:textId="77777777" w:rsidR="00F51ECC" w:rsidRDefault="00F51ECC"/>
    <w:p w14:paraId="76090F07" w14:textId="2DF84358" w:rsidR="00F51ECC" w:rsidRPr="00F51ECC" w:rsidRDefault="00C40689">
      <w:pPr>
        <w:rPr>
          <w:u w:val="single"/>
        </w:rPr>
      </w:pPr>
      <w:r w:rsidRPr="00F51ECC">
        <w:rPr>
          <w:u w:val="single"/>
        </w:rPr>
        <w:lastRenderedPageBreak/>
        <w:t>Conclusion</w:t>
      </w:r>
    </w:p>
    <w:p w14:paraId="007E63F4" w14:textId="5E3017AC" w:rsidR="00E41592" w:rsidRDefault="00C40689">
      <w:r>
        <w:t>DAC has the organizational structure, grant-management experience, statewide relationships, and monitoring systems necessary to implement the four-year JAG project. The Federal Grants Division will provide day-to-day administration and the JAG Board will provide statewide policy direction and oversight. DAC will maintain responsibility for application review, award administration, financial and programmatic oversight, performance reporting, technical assistance, monitoring, and closeout.</w:t>
      </w:r>
    </w:p>
    <w:p w14:paraId="500E4F6A" w14:textId="77777777" w:rsidR="00D73DC4" w:rsidRDefault="00D73DC4">
      <w:pPr>
        <w:spacing w:after="200" w:line="276" w:lineRule="auto"/>
        <w:rPr>
          <w:b/>
        </w:rPr>
      </w:pPr>
      <w:r>
        <w:rPr>
          <w:b/>
        </w:rPr>
        <w:br w:type="page"/>
      </w:r>
    </w:p>
    <w:p w14:paraId="0BCD28D6" w14:textId="35C48AD1" w:rsidR="00E41592" w:rsidRDefault="00C40689">
      <w:r>
        <w:rPr>
          <w:b/>
        </w:rPr>
        <w:lastRenderedPageBreak/>
        <w:t>Resources</w:t>
      </w:r>
    </w:p>
    <w:p w14:paraId="58A45F20" w14:textId="77777777" w:rsidR="00E41592" w:rsidRDefault="00C40689">
      <w:r>
        <w:t>Oklahoma Attorney General, Domestic Violence Fatality Review Board, “Domestic Violence Homicide in Oklahoma: Annual Report 2025,” 2025.</w:t>
      </w:r>
    </w:p>
    <w:p w14:paraId="34E23B9C" w14:textId="77777777" w:rsidR="00E41592" w:rsidRDefault="00C40689">
      <w:r>
        <w:t>Oklahoma State Bureau of Investigation, Office of Criminal Justice Statistics, “Crime in Oklahoma: 2025,” March 24, 2026.</w:t>
      </w:r>
    </w:p>
    <w:p w14:paraId="66159DE5" w14:textId="77777777" w:rsidR="00E41592" w:rsidRDefault="00C40689">
      <w:r>
        <w:t>Oklahoma State Department of Health, “Drug Overdose Data Dashboard.”</w:t>
      </w:r>
    </w:p>
    <w:p w14:paraId="66574C4E" w14:textId="77777777" w:rsidR="00E41592" w:rsidRDefault="00C40689">
      <w:r>
        <w:t>Violence Policy Center, “When Men Murder Women: An Analysis of 2023 Homicide Data,” September 2025.</w:t>
      </w:r>
    </w:p>
    <w:p w14:paraId="3E173EAD" w14:textId="77777777" w:rsidR="00E41592" w:rsidRDefault="00C40689">
      <w:r>
        <w:t>Oklahoma District Attorneys Council, The State of Oklahoma JAG Strategic Plan 2026 to 2030 Final.</w:t>
      </w:r>
    </w:p>
    <w:sectPr w:rsidR="00E41592"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E5901" w14:textId="77777777" w:rsidR="00E60619" w:rsidRDefault="00E60619">
      <w:pPr>
        <w:spacing w:line="240" w:lineRule="auto"/>
      </w:pPr>
      <w:r>
        <w:separator/>
      </w:r>
    </w:p>
  </w:endnote>
  <w:endnote w:type="continuationSeparator" w:id="0">
    <w:p w14:paraId="76FB9FE4" w14:textId="77777777" w:rsidR="00E60619" w:rsidRDefault="00E60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811468"/>
      <w:docPartObj>
        <w:docPartGallery w:val="Page Numbers (Bottom of Page)"/>
        <w:docPartUnique/>
      </w:docPartObj>
    </w:sdtPr>
    <w:sdtEndPr/>
    <w:sdtContent>
      <w:sdt>
        <w:sdtPr>
          <w:id w:val="-1769616900"/>
          <w:docPartObj>
            <w:docPartGallery w:val="Page Numbers (Top of Page)"/>
            <w:docPartUnique/>
          </w:docPartObj>
        </w:sdtPr>
        <w:sdtEndPr/>
        <w:sdtContent>
          <w:p w14:paraId="0AB96A59" w14:textId="4B8879C1" w:rsidR="00B8479C" w:rsidRPr="00B8479C" w:rsidRDefault="00B8479C">
            <w:pPr>
              <w:pStyle w:val="Footer"/>
              <w:jc w:val="right"/>
            </w:pPr>
            <w:r w:rsidRPr="00B8479C">
              <w:t xml:space="preserve">Page </w:t>
            </w:r>
            <w:r w:rsidRPr="00B8479C">
              <w:rPr>
                <w:szCs w:val="24"/>
              </w:rPr>
              <w:fldChar w:fldCharType="begin"/>
            </w:r>
            <w:r w:rsidRPr="00B8479C">
              <w:instrText xml:space="preserve"> PAGE </w:instrText>
            </w:r>
            <w:r w:rsidRPr="00B8479C">
              <w:rPr>
                <w:szCs w:val="24"/>
              </w:rPr>
              <w:fldChar w:fldCharType="separate"/>
            </w:r>
            <w:r w:rsidRPr="00B8479C">
              <w:rPr>
                <w:noProof/>
              </w:rPr>
              <w:t>2</w:t>
            </w:r>
            <w:r w:rsidRPr="00B8479C">
              <w:rPr>
                <w:szCs w:val="24"/>
              </w:rPr>
              <w:fldChar w:fldCharType="end"/>
            </w:r>
            <w:r w:rsidRPr="00B8479C">
              <w:t xml:space="preserve"> of </w:t>
            </w:r>
            <w:fldSimple w:instr=" NUMPAGES  ">
              <w:r w:rsidRPr="00B8479C">
                <w:rPr>
                  <w:noProof/>
                </w:rPr>
                <w:t>2</w:t>
              </w:r>
            </w:fldSimple>
          </w:p>
        </w:sdtContent>
      </w:sdt>
    </w:sdtContent>
  </w:sdt>
  <w:p w14:paraId="34C04B02" w14:textId="3C75B54F" w:rsidR="00E41592" w:rsidRDefault="00E4159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AD73D" w14:textId="77777777" w:rsidR="00E60619" w:rsidRDefault="00E60619">
      <w:pPr>
        <w:spacing w:line="240" w:lineRule="auto"/>
      </w:pPr>
      <w:r>
        <w:separator/>
      </w:r>
    </w:p>
  </w:footnote>
  <w:footnote w:type="continuationSeparator" w:id="0">
    <w:p w14:paraId="0931A66B" w14:textId="77777777" w:rsidR="00E60619" w:rsidRDefault="00E606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0770905">
    <w:abstractNumId w:val="8"/>
  </w:num>
  <w:num w:numId="2" w16cid:durableId="2129352140">
    <w:abstractNumId w:val="6"/>
  </w:num>
  <w:num w:numId="3" w16cid:durableId="975598563">
    <w:abstractNumId w:val="5"/>
  </w:num>
  <w:num w:numId="4" w16cid:durableId="1557354244">
    <w:abstractNumId w:val="4"/>
  </w:num>
  <w:num w:numId="5" w16cid:durableId="502278935">
    <w:abstractNumId w:val="7"/>
  </w:num>
  <w:num w:numId="6" w16cid:durableId="698622262">
    <w:abstractNumId w:val="3"/>
  </w:num>
  <w:num w:numId="7" w16cid:durableId="1847548493">
    <w:abstractNumId w:val="2"/>
  </w:num>
  <w:num w:numId="8" w16cid:durableId="387731783">
    <w:abstractNumId w:val="1"/>
  </w:num>
  <w:num w:numId="9" w16cid:durableId="43838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B90"/>
    <w:rsid w:val="0015074B"/>
    <w:rsid w:val="0029639D"/>
    <w:rsid w:val="00326F90"/>
    <w:rsid w:val="003C7C89"/>
    <w:rsid w:val="00562BF9"/>
    <w:rsid w:val="0067002E"/>
    <w:rsid w:val="008A212F"/>
    <w:rsid w:val="00957B2C"/>
    <w:rsid w:val="00AA1D8D"/>
    <w:rsid w:val="00B47730"/>
    <w:rsid w:val="00B8479C"/>
    <w:rsid w:val="00C40689"/>
    <w:rsid w:val="00CB0664"/>
    <w:rsid w:val="00D73DC4"/>
    <w:rsid w:val="00E41592"/>
    <w:rsid w:val="00E60619"/>
    <w:rsid w:val="00F51E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18AAAD"/>
  <w14:defaultImageDpi w14:val="300"/>
  <w15:docId w15:val="{FA870C15-60B6-4DB5-8FE8-9E99A8C0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Yancey, Tia</cp:lastModifiedBy>
  <cp:revision>8</cp:revision>
  <dcterms:created xsi:type="dcterms:W3CDTF">2026-09-22T18:28:00Z</dcterms:created>
  <dcterms:modified xsi:type="dcterms:W3CDTF">2026-09-23T20:46:00Z</dcterms:modified>
  <cp:category/>
</cp:coreProperties>
</file>