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2077C3A6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7A5720">
        <w:rPr>
          <w:rFonts w:ascii="Arial" w:hAnsi="Arial" w:cs="Arial"/>
          <w:b/>
          <w:bCs/>
          <w:sz w:val="48"/>
          <w:szCs w:val="48"/>
        </w:rPr>
        <w:t>1</w:t>
      </w:r>
      <w:r w:rsidR="00BF1497">
        <w:rPr>
          <w:rFonts w:ascii="Arial" w:hAnsi="Arial" w:cs="Arial"/>
          <w:b/>
          <w:bCs/>
          <w:sz w:val="48"/>
          <w:szCs w:val="48"/>
        </w:rPr>
        <w:t>4</w:t>
      </w:r>
    </w:p>
    <w:p w14:paraId="054B8272" w14:textId="6A62B4A8" w:rsidR="008120A0" w:rsidRPr="00210A17" w:rsidRDefault="00D036B1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</w:t>
      </w:r>
      <w:r w:rsidR="00BF1497">
        <w:rPr>
          <w:rFonts w:ascii="Arial" w:hAnsi="Arial" w:cs="Arial"/>
          <w:b/>
          <w:bCs/>
          <w:sz w:val="48"/>
          <w:szCs w:val="48"/>
        </w:rPr>
        <w:t>RC WELDING AND OXYFUEL CUTTING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04F1D9AB" w14:textId="6D738E33" w:rsidR="00DE58F1" w:rsidRPr="00EC7735" w:rsidRDefault="00DE58F1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Welding methods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include SMAW, MIG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(GMAW), and TIG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(GTAW). Students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 xml:space="preserve">should </w:t>
      </w:r>
      <w:r w:rsidRPr="00EC7735">
        <w:rPr>
          <w:rFonts w:ascii="Arial" w:hAnsi="Arial" w:cs="Arial"/>
          <w:kern w:val="0"/>
        </w:rPr>
        <w:t>n</w:t>
      </w:r>
      <w:r w:rsidRPr="00EC7735">
        <w:rPr>
          <w:rFonts w:ascii="Arial" w:hAnsi="Arial" w:cs="Arial"/>
          <w:kern w:val="0"/>
        </w:rPr>
        <w:t>ote the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difference in use,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shielding gas, and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electrode or wire.</w:t>
      </w:r>
    </w:p>
    <w:p w14:paraId="316062D3" w14:textId="77777777" w:rsidR="00DE58F1" w:rsidRPr="00DE58F1" w:rsidRDefault="00DE58F1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77B9DF0" w14:textId="287991A3" w:rsidR="00DE58F1" w:rsidRPr="00EC7735" w:rsidRDefault="00DE58F1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Students should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note the differences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in AC, DC, and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AC/DC welders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including their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expense, common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uses, and ease of use.</w:t>
      </w:r>
    </w:p>
    <w:p w14:paraId="36D46C8F" w14:textId="77777777" w:rsidR="00DE58F1" w:rsidRPr="00DE58F1" w:rsidRDefault="00DE58F1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BC0BB1" w14:textId="393FDDF7" w:rsidR="00DE58F1" w:rsidRPr="00EC7735" w:rsidRDefault="00DE58F1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An electrode is a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metal welding rod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that is coated with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flux.</w:t>
      </w:r>
    </w:p>
    <w:p w14:paraId="5F4A417C" w14:textId="77777777" w:rsidR="00DE58F1" w:rsidRPr="00DE58F1" w:rsidRDefault="00DE58F1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6FC3701" w14:textId="5D58B354" w:rsidR="00DE58F1" w:rsidRPr="00EC7735" w:rsidRDefault="00DE58F1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Students should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draw an electrode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with a labeled code.</w:t>
      </w:r>
    </w:p>
    <w:p w14:paraId="0E02ECE3" w14:textId="77777777" w:rsidR="00DE58F1" w:rsidRPr="00DE58F1" w:rsidRDefault="00DE58F1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C5B0BE" w14:textId="7B2C2387" w:rsidR="00DE58F1" w:rsidRPr="00EC7735" w:rsidRDefault="00DE58F1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tapping and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scratching</w:t>
      </w:r>
    </w:p>
    <w:p w14:paraId="4C0D7349" w14:textId="77777777" w:rsidR="00DE58F1" w:rsidRPr="00DE58F1" w:rsidRDefault="00DE58F1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0E9D0F" w14:textId="57F53835" w:rsidR="00DE58F1" w:rsidRPr="00EC7735" w:rsidRDefault="00DE58F1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The steps from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turning on the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machine to turning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off the machine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should be stated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including lowering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the helmet, striking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the arc, holding the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electrode, moving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 xml:space="preserve">the </w:t>
      </w:r>
      <w:r w:rsidRPr="00EC7735">
        <w:rPr>
          <w:rFonts w:ascii="Arial" w:hAnsi="Arial" w:cs="Arial"/>
          <w:kern w:val="0"/>
        </w:rPr>
        <w:t>e</w:t>
      </w:r>
      <w:r w:rsidRPr="00EC7735">
        <w:rPr>
          <w:rFonts w:ascii="Arial" w:hAnsi="Arial" w:cs="Arial"/>
          <w:kern w:val="0"/>
        </w:rPr>
        <w:t>lectrode and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stopping the arc.</w:t>
      </w:r>
    </w:p>
    <w:p w14:paraId="690028A1" w14:textId="77777777" w:rsidR="00DE58F1" w:rsidRDefault="00DE58F1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90F126" w14:textId="51BB6B9A" w:rsidR="00EC7735" w:rsidRP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acetylene hose – red or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black; oxygen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hose – green</w:t>
      </w:r>
    </w:p>
    <w:p w14:paraId="2E1B6F35" w14:textId="77777777" w:rsidR="00EC7735" w:rsidRPr="00EC7735" w:rsidRDefault="00EC7735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3AE136" w14:textId="61D57B17" w:rsidR="00EC7735" w:rsidRP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acetylene, MAPP, propane,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natural gas</w:t>
      </w:r>
    </w:p>
    <w:p w14:paraId="0DEDD0BE" w14:textId="77777777" w:rsidR="00EC7735" w:rsidRPr="00EC7735" w:rsidRDefault="00EC7735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BD990B" w14:textId="77777777" w:rsid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acetylene uses – welding,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cutting, brazing,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smoldering; natural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gas – cutting, brazing,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smoldering</w:t>
      </w:r>
    </w:p>
    <w:p w14:paraId="65A5144F" w14:textId="77777777" w:rsidR="00EC7735" w:rsidRPr="00EC7735" w:rsidRDefault="00EC7735" w:rsidP="00EC7735">
      <w:pPr>
        <w:pStyle w:val="ListParagraph"/>
        <w:rPr>
          <w:rFonts w:ascii="Arial" w:hAnsi="Arial" w:cs="Arial"/>
          <w:kern w:val="0"/>
        </w:rPr>
      </w:pPr>
    </w:p>
    <w:p w14:paraId="2FD6CB7D" w14:textId="0D6960F0" w:rsidR="00EC7735" w:rsidRP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preheating; cutting</w:t>
      </w:r>
    </w:p>
    <w:p w14:paraId="5F2AE525" w14:textId="77777777" w:rsidR="00EC7735" w:rsidRPr="00EC7735" w:rsidRDefault="00EC7735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E6112F5" w14:textId="5BB49554" w:rsidR="00EC7735" w:rsidRP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carburizing flame – small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acetylene feather, light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orange edges; neutral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 xml:space="preserve">flame – nearly </w:t>
      </w:r>
      <w:r w:rsidRPr="00EC7735">
        <w:rPr>
          <w:rFonts w:ascii="Arial" w:hAnsi="Arial" w:cs="Arial"/>
          <w:kern w:val="0"/>
        </w:rPr>
        <w:t>c</w:t>
      </w:r>
      <w:r w:rsidRPr="00EC7735">
        <w:rPr>
          <w:rFonts w:ascii="Arial" w:hAnsi="Arial" w:cs="Arial"/>
          <w:kern w:val="0"/>
        </w:rPr>
        <w:t>olorless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flame, no acetylene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feather; oxidizing flame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– bluish to orange flame,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 xml:space="preserve">nearly </w:t>
      </w:r>
      <w:r w:rsidRPr="00EC7735">
        <w:rPr>
          <w:rFonts w:ascii="Arial" w:hAnsi="Arial" w:cs="Arial"/>
          <w:kern w:val="0"/>
        </w:rPr>
        <w:t>c</w:t>
      </w:r>
      <w:r w:rsidRPr="00EC7735">
        <w:rPr>
          <w:rFonts w:ascii="Arial" w:hAnsi="Arial" w:cs="Arial"/>
          <w:kern w:val="0"/>
        </w:rPr>
        <w:t>olorless edge</w:t>
      </w:r>
    </w:p>
    <w:p w14:paraId="37DEE070" w14:textId="77777777" w:rsidR="00EC7735" w:rsidRPr="00EC7735" w:rsidRDefault="00EC7735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7F2D99F" w14:textId="554BD8C0" w:rsidR="00EC7735" w:rsidRP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Flashback occurs when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the flame burns back into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the torch body.</w:t>
      </w:r>
    </w:p>
    <w:p w14:paraId="47CC576A" w14:textId="77777777" w:rsidR="00EC7735" w:rsidRPr="00EC7735" w:rsidRDefault="00EC7735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116DF74" w14:textId="39586F12" w:rsidR="00DE58F1" w:rsidRPr="00EC7735" w:rsidRDefault="00EC7735" w:rsidP="00EC773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EC7735">
        <w:rPr>
          <w:rFonts w:ascii="Arial" w:hAnsi="Arial" w:cs="Arial"/>
          <w:kern w:val="0"/>
        </w:rPr>
        <w:t>Causes of error include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a travel speed that is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too fast or too slow, and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 xml:space="preserve">incorrect oxygen </w:t>
      </w:r>
      <w:r w:rsidRPr="00EC7735">
        <w:rPr>
          <w:rFonts w:ascii="Arial" w:hAnsi="Arial" w:cs="Arial"/>
          <w:kern w:val="0"/>
        </w:rPr>
        <w:t>p</w:t>
      </w:r>
      <w:r w:rsidRPr="00EC7735">
        <w:rPr>
          <w:rFonts w:ascii="Arial" w:hAnsi="Arial" w:cs="Arial"/>
          <w:kern w:val="0"/>
        </w:rPr>
        <w:t>ressure,</w:t>
      </w:r>
      <w:r w:rsidRPr="00EC7735">
        <w:rPr>
          <w:rFonts w:ascii="Arial" w:hAnsi="Arial" w:cs="Arial"/>
          <w:kern w:val="0"/>
        </w:rPr>
        <w:t xml:space="preserve"> </w:t>
      </w:r>
      <w:r w:rsidRPr="00EC7735">
        <w:rPr>
          <w:rFonts w:ascii="Arial" w:hAnsi="Arial" w:cs="Arial"/>
          <w:kern w:val="0"/>
        </w:rPr>
        <w:t>preheat, and clearance.</w:t>
      </w:r>
    </w:p>
    <w:p w14:paraId="5DDD5593" w14:textId="77777777" w:rsidR="00EC7735" w:rsidRPr="00EC7735" w:rsidRDefault="00EC7735" w:rsidP="00EC7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C7735" w:rsidRPr="00EC7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81CC" w14:textId="77777777" w:rsidR="0011090E" w:rsidRDefault="0011090E" w:rsidP="00F27F62">
      <w:pPr>
        <w:spacing w:after="0" w:line="240" w:lineRule="auto"/>
      </w:pPr>
      <w:r>
        <w:separator/>
      </w:r>
    </w:p>
  </w:endnote>
  <w:endnote w:type="continuationSeparator" w:id="0">
    <w:p w14:paraId="3D1F3B64" w14:textId="77777777" w:rsidR="0011090E" w:rsidRDefault="0011090E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3AEC9635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574272">
      <w:rPr>
        <w:sz w:val="20"/>
        <w:szCs w:val="20"/>
      </w:rPr>
      <w:t>1</w:t>
    </w:r>
    <w:r w:rsidR="00D971F0">
      <w:rPr>
        <w:sz w:val="20"/>
        <w:szCs w:val="20"/>
      </w:rPr>
      <w:t>4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EF86" w14:textId="77777777" w:rsidR="0011090E" w:rsidRDefault="0011090E" w:rsidP="00F27F62">
      <w:pPr>
        <w:spacing w:after="0" w:line="240" w:lineRule="auto"/>
      </w:pPr>
      <w:r>
        <w:separator/>
      </w:r>
    </w:p>
  </w:footnote>
  <w:footnote w:type="continuationSeparator" w:id="0">
    <w:p w14:paraId="36734BCE" w14:textId="77777777" w:rsidR="0011090E" w:rsidRDefault="0011090E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72E"/>
    <w:multiLevelType w:val="hybridMultilevel"/>
    <w:tmpl w:val="A74C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51EE"/>
    <w:multiLevelType w:val="hybridMultilevel"/>
    <w:tmpl w:val="9BAA7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42A2"/>
    <w:multiLevelType w:val="hybridMultilevel"/>
    <w:tmpl w:val="E6BC3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4CBE"/>
    <w:multiLevelType w:val="hybridMultilevel"/>
    <w:tmpl w:val="BB34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23B20"/>
    <w:multiLevelType w:val="hybridMultilevel"/>
    <w:tmpl w:val="DB42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602F"/>
    <w:multiLevelType w:val="hybridMultilevel"/>
    <w:tmpl w:val="5AB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53A78"/>
    <w:multiLevelType w:val="hybridMultilevel"/>
    <w:tmpl w:val="7B28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66EB6"/>
    <w:multiLevelType w:val="hybridMultilevel"/>
    <w:tmpl w:val="F9E2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662D"/>
    <w:multiLevelType w:val="hybridMultilevel"/>
    <w:tmpl w:val="5482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D778D"/>
    <w:multiLevelType w:val="hybridMultilevel"/>
    <w:tmpl w:val="DBE8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141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16"/>
  </w:num>
  <w:num w:numId="2" w16cid:durableId="1172066535">
    <w:abstractNumId w:val="14"/>
  </w:num>
  <w:num w:numId="3" w16cid:durableId="585387530">
    <w:abstractNumId w:val="0"/>
  </w:num>
  <w:num w:numId="4" w16cid:durableId="1963262806">
    <w:abstractNumId w:val="2"/>
  </w:num>
  <w:num w:numId="5" w16cid:durableId="596451343">
    <w:abstractNumId w:val="7"/>
  </w:num>
  <w:num w:numId="6" w16cid:durableId="817575684">
    <w:abstractNumId w:val="10"/>
  </w:num>
  <w:num w:numId="7" w16cid:durableId="1826505102">
    <w:abstractNumId w:val="6"/>
  </w:num>
  <w:num w:numId="8" w16cid:durableId="2067680680">
    <w:abstractNumId w:val="13"/>
  </w:num>
  <w:num w:numId="9" w16cid:durableId="1314026488">
    <w:abstractNumId w:val="8"/>
  </w:num>
  <w:num w:numId="10" w16cid:durableId="1192573283">
    <w:abstractNumId w:val="9"/>
  </w:num>
  <w:num w:numId="11" w16cid:durableId="1242913234">
    <w:abstractNumId w:val="4"/>
  </w:num>
  <w:num w:numId="12" w16cid:durableId="579406119">
    <w:abstractNumId w:val="12"/>
  </w:num>
  <w:num w:numId="13" w16cid:durableId="184172753">
    <w:abstractNumId w:val="11"/>
  </w:num>
  <w:num w:numId="14" w16cid:durableId="2085645890">
    <w:abstractNumId w:val="5"/>
  </w:num>
  <w:num w:numId="15" w16cid:durableId="1881933721">
    <w:abstractNumId w:val="3"/>
  </w:num>
  <w:num w:numId="16" w16cid:durableId="844903300">
    <w:abstractNumId w:val="1"/>
  </w:num>
  <w:num w:numId="17" w16cid:durableId="623342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157C1"/>
    <w:rsid w:val="00026CA8"/>
    <w:rsid w:val="000318BE"/>
    <w:rsid w:val="00056141"/>
    <w:rsid w:val="000C3C9F"/>
    <w:rsid w:val="000F1B30"/>
    <w:rsid w:val="0011090E"/>
    <w:rsid w:val="001140EE"/>
    <w:rsid w:val="00155BAD"/>
    <w:rsid w:val="0016456B"/>
    <w:rsid w:val="00172BA6"/>
    <w:rsid w:val="001F2D40"/>
    <w:rsid w:val="00210A17"/>
    <w:rsid w:val="002527EA"/>
    <w:rsid w:val="00272272"/>
    <w:rsid w:val="0027406F"/>
    <w:rsid w:val="002E6928"/>
    <w:rsid w:val="002E7980"/>
    <w:rsid w:val="00327025"/>
    <w:rsid w:val="0033627A"/>
    <w:rsid w:val="003408DE"/>
    <w:rsid w:val="00361F88"/>
    <w:rsid w:val="00385360"/>
    <w:rsid w:val="003A73FF"/>
    <w:rsid w:val="003D6A04"/>
    <w:rsid w:val="00452F1C"/>
    <w:rsid w:val="0046523B"/>
    <w:rsid w:val="004719B0"/>
    <w:rsid w:val="004934DA"/>
    <w:rsid w:val="004A78DA"/>
    <w:rsid w:val="004F237A"/>
    <w:rsid w:val="00533A20"/>
    <w:rsid w:val="00563C5E"/>
    <w:rsid w:val="00574272"/>
    <w:rsid w:val="0057511B"/>
    <w:rsid w:val="005A40F3"/>
    <w:rsid w:val="005C7F81"/>
    <w:rsid w:val="005D7B1D"/>
    <w:rsid w:val="005F626B"/>
    <w:rsid w:val="0062385B"/>
    <w:rsid w:val="006322CB"/>
    <w:rsid w:val="006364DE"/>
    <w:rsid w:val="00636EC5"/>
    <w:rsid w:val="00646099"/>
    <w:rsid w:val="00676042"/>
    <w:rsid w:val="00685E57"/>
    <w:rsid w:val="006A699C"/>
    <w:rsid w:val="006B0F44"/>
    <w:rsid w:val="007338CE"/>
    <w:rsid w:val="00734320"/>
    <w:rsid w:val="00744CD4"/>
    <w:rsid w:val="0075473F"/>
    <w:rsid w:val="0076041B"/>
    <w:rsid w:val="00784244"/>
    <w:rsid w:val="00787051"/>
    <w:rsid w:val="007A5720"/>
    <w:rsid w:val="007A6D9B"/>
    <w:rsid w:val="007C31C8"/>
    <w:rsid w:val="007E7469"/>
    <w:rsid w:val="008120A0"/>
    <w:rsid w:val="00820310"/>
    <w:rsid w:val="008512FE"/>
    <w:rsid w:val="008546D9"/>
    <w:rsid w:val="008577BA"/>
    <w:rsid w:val="00866DAA"/>
    <w:rsid w:val="008830D7"/>
    <w:rsid w:val="008A0EC1"/>
    <w:rsid w:val="008B1DCD"/>
    <w:rsid w:val="008D4CE7"/>
    <w:rsid w:val="008E392C"/>
    <w:rsid w:val="00925713"/>
    <w:rsid w:val="00964312"/>
    <w:rsid w:val="00986886"/>
    <w:rsid w:val="009A729D"/>
    <w:rsid w:val="00A6186F"/>
    <w:rsid w:val="00A85561"/>
    <w:rsid w:val="00AB5174"/>
    <w:rsid w:val="00AC38A4"/>
    <w:rsid w:val="00AE1107"/>
    <w:rsid w:val="00AF5B8F"/>
    <w:rsid w:val="00AF6702"/>
    <w:rsid w:val="00B0571C"/>
    <w:rsid w:val="00B342DB"/>
    <w:rsid w:val="00BC0562"/>
    <w:rsid w:val="00BD1967"/>
    <w:rsid w:val="00BE33E1"/>
    <w:rsid w:val="00BF1497"/>
    <w:rsid w:val="00BF58CB"/>
    <w:rsid w:val="00C1005D"/>
    <w:rsid w:val="00C104D4"/>
    <w:rsid w:val="00C3228D"/>
    <w:rsid w:val="00C81A0E"/>
    <w:rsid w:val="00C92232"/>
    <w:rsid w:val="00CC1682"/>
    <w:rsid w:val="00CD23C7"/>
    <w:rsid w:val="00CE20CF"/>
    <w:rsid w:val="00D036B1"/>
    <w:rsid w:val="00D051D4"/>
    <w:rsid w:val="00D971F0"/>
    <w:rsid w:val="00DB7328"/>
    <w:rsid w:val="00DC1D74"/>
    <w:rsid w:val="00DE58F1"/>
    <w:rsid w:val="00E0368E"/>
    <w:rsid w:val="00E339F0"/>
    <w:rsid w:val="00E55484"/>
    <w:rsid w:val="00E725F1"/>
    <w:rsid w:val="00E74DB5"/>
    <w:rsid w:val="00E845F9"/>
    <w:rsid w:val="00E93A53"/>
    <w:rsid w:val="00EC7735"/>
    <w:rsid w:val="00EE759F"/>
    <w:rsid w:val="00F1288D"/>
    <w:rsid w:val="00F13245"/>
    <w:rsid w:val="00F27F62"/>
    <w:rsid w:val="00F554C1"/>
    <w:rsid w:val="00F75526"/>
    <w:rsid w:val="00F80954"/>
    <w:rsid w:val="00FA05D8"/>
    <w:rsid w:val="00FA51D3"/>
    <w:rsid w:val="00FA7F1F"/>
    <w:rsid w:val="00FB4C8C"/>
    <w:rsid w:val="00FD2011"/>
    <w:rsid w:val="00FF29B7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CB22A-AB45-4438-884D-22D643723650}"/>
</file>

<file path=customXml/itemProps2.xml><?xml version="1.0" encoding="utf-8"?>
<ds:datastoreItem xmlns:ds="http://schemas.openxmlformats.org/officeDocument/2006/customXml" ds:itemID="{6CE723F8-3A05-468B-8358-511D275DD41C}"/>
</file>

<file path=customXml/itemProps3.xml><?xml version="1.0" encoding="utf-8"?>
<ds:datastoreItem xmlns:ds="http://schemas.openxmlformats.org/officeDocument/2006/customXml" ds:itemID="{06DFFD2C-23EB-4AE9-9576-3A82DE4005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5</cp:revision>
  <dcterms:created xsi:type="dcterms:W3CDTF">2025-05-19T20:40:00Z</dcterms:created>
  <dcterms:modified xsi:type="dcterms:W3CDTF">2025-05-19T20:45:00Z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