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322359"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3058121"/>
            <w:placeholder>
              <w:docPart w:val="333809F1E49543AC92F0915BD49329D1"/>
            </w:placeholder>
          </w:sdtPr>
          <w:sdtEndPr/>
          <w:sdtContent>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322359"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322359"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322359"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7DBC2771" w:rsidR="00B80535" w:rsidRPr="00356A19" w:rsidRDefault="00322359"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FB1983">
                  <w:rPr>
                    <w:i/>
                    <w:color w:val="646464"/>
                    <w:sz w:val="20"/>
                    <w:szCs w:val="20"/>
                  </w:rPr>
                  <w:t>SMI/SED DY2 Q2</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46FFA1F6" w:rsidR="00B80535" w:rsidRPr="00356A19" w:rsidRDefault="00322359" w:rsidP="0411B8B4">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FB1983">
                  <w:rPr>
                    <w:i/>
                    <w:iCs/>
                    <w:color w:val="646464"/>
                    <w:sz w:val="20"/>
                    <w:szCs w:val="20"/>
                  </w:rPr>
                  <w:t>04</w:t>
                </w:r>
                <w:r w:rsidR="007B5D08">
                  <w:rPr>
                    <w:i/>
                    <w:iCs/>
                    <w:color w:val="646464"/>
                    <w:sz w:val="20"/>
                    <w:szCs w:val="20"/>
                  </w:rPr>
                  <w:t>/01</w:t>
                </w:r>
                <w:r w:rsidR="00FB1983">
                  <w:rPr>
                    <w:i/>
                    <w:iCs/>
                    <w:color w:val="646464"/>
                    <w:sz w:val="20"/>
                    <w:szCs w:val="20"/>
                  </w:rPr>
                  <w:t>/2022 - 07</w:t>
                </w:r>
                <w:r w:rsidR="007A0183">
                  <w:rPr>
                    <w:i/>
                    <w:iCs/>
                    <w:color w:val="646464"/>
                    <w:sz w:val="20"/>
                    <w:szCs w:val="20"/>
                  </w:rPr>
                  <w:t>/31</w:t>
                </w:r>
                <w:r w:rsidR="00CF1FB0" w:rsidRPr="0411B8B4">
                  <w:rPr>
                    <w:i/>
                    <w:iCs/>
                    <w:color w:val="646464"/>
                    <w:sz w:val="20"/>
                    <w:szCs w:val="20"/>
                  </w:rPr>
                  <w:t>/202</w:t>
                </w:r>
                <w:r w:rsidR="009F45DC">
                  <w:rPr>
                    <w:i/>
                    <w:iCs/>
                    <w:color w:val="646464"/>
                    <w:sz w:val="20"/>
                    <w:szCs w:val="20"/>
                  </w:rPr>
                  <w:t>2</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w:t>
      </w:r>
      <w:proofErr w:type="gramStart"/>
      <w:r w:rsidRPr="00003934">
        <w:rPr>
          <w:sz w:val="20"/>
          <w:szCs w:val="16"/>
        </w:rPr>
        <w:t>2020</w:t>
      </w:r>
      <w:proofErr w:type="gramEnd"/>
      <w:r w:rsidRPr="00003934">
        <w:rPr>
          <w:sz w:val="20"/>
          <w:szCs w:val="16"/>
        </w:rPr>
        <w:t xml:space="preserve">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proofErr w:type="gramStart"/>
      <w:r w:rsidR="001A2379" w:rsidRPr="00807C60">
        <w:rPr>
          <w:sz w:val="20"/>
          <w:szCs w:val="16"/>
        </w:rPr>
        <w:t>is considered to be</w:t>
      </w:r>
      <w:proofErr w:type="gramEnd"/>
      <w:r w:rsidR="001A2379" w:rsidRPr="00807C60">
        <w:rPr>
          <w:sz w:val="20"/>
          <w:szCs w:val="16"/>
        </w:rPr>
        <w:t xml:space="preserv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60EF31D4" w:rsidR="00DD0848" w:rsidRDefault="00322359"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Pr>
                  <w:rStyle w:val="normaltextrun"/>
                  <w:i/>
                  <w:iCs/>
                  <w:color w:val="646464"/>
                  <w:shd w:val="clear" w:color="auto" w:fill="FFFFFF"/>
                </w:rPr>
                <w:t>The State implement</w:t>
              </w:r>
              <w:r w:rsidR="003E5388">
                <w:rPr>
                  <w:rStyle w:val="normaltextrun"/>
                  <w:i/>
                  <w:iCs/>
                  <w:color w:val="646464"/>
                  <w:shd w:val="clear" w:color="auto" w:fill="FFFFFF"/>
                </w:rPr>
                <w:t>ed</w:t>
              </w:r>
              <w:r w:rsidR="00CF1FB0">
                <w:rPr>
                  <w:rStyle w:val="normaltextrun"/>
                  <w:i/>
                  <w:iCs/>
                  <w:color w:val="646464"/>
                  <w:shd w:val="clear" w:color="auto" w:fill="FFFFFF"/>
                </w:rPr>
                <w:t xml:space="preserve">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D34B7">
                <w:rPr>
                  <w:rStyle w:val="normaltextrun"/>
                  <w:i/>
                  <w:iCs/>
                  <w:color w:val="646464"/>
                </w:rPr>
                <w:t>Medicaid expansion was</w:t>
              </w:r>
              <w:r w:rsidR="009B37CE">
                <w:rPr>
                  <w:rStyle w:val="normaltextrun"/>
                  <w:i/>
                  <w:iCs/>
                  <w:color w:val="646464"/>
                </w:rPr>
                <w:t xml:space="preserve"> implemented</w:t>
              </w:r>
              <w:r w:rsidR="00B34D00">
                <w:rPr>
                  <w:rStyle w:val="normaltextrun"/>
                  <w:i/>
                  <w:iCs/>
                  <w:color w:val="646464"/>
                </w:rPr>
                <w:t xml:space="preserve"> </w:t>
              </w:r>
              <w:r w:rsidR="00CF1FB0">
                <w:rPr>
                  <w:rStyle w:val="normaltextrun"/>
                  <w:i/>
                  <w:iCs/>
                  <w:color w:val="646464"/>
                  <w:shd w:val="clear" w:color="auto" w:fill="FFFFFF"/>
                </w:rPr>
                <w:t xml:space="preserve">in the state on July 1, </w:t>
              </w:r>
              <w:proofErr w:type="gramStart"/>
              <w:r w:rsidR="00CF1FB0">
                <w:rPr>
                  <w:rStyle w:val="normaltextrun"/>
                  <w:i/>
                  <w:iCs/>
                  <w:color w:val="646464"/>
                  <w:shd w:val="clear" w:color="auto" w:fill="FFFFFF"/>
                </w:rPr>
                <w:t>2021</w:t>
              </w:r>
              <w:proofErr w:type="gramEnd"/>
              <w:r w:rsidR="00CF1FB0">
                <w:rPr>
                  <w:rStyle w:val="normaltextrun"/>
                  <w:i/>
                  <w:iCs/>
                  <w:color w:val="646464"/>
                  <w:shd w:val="clear" w:color="auto" w:fill="FFFFFF"/>
                </w:rPr>
                <w:t xml:space="preserve"> </w:t>
              </w:r>
              <w:r w:rsidR="00310DB1">
                <w:rPr>
                  <w:rStyle w:val="normaltextrun"/>
                  <w:i/>
                  <w:iCs/>
                  <w:color w:val="646464"/>
                  <w:shd w:val="clear" w:color="auto" w:fill="FFFFFF"/>
                </w:rPr>
                <w:t xml:space="preserve">and </w:t>
              </w:r>
              <w:r w:rsidR="004D34B7">
                <w:rPr>
                  <w:rStyle w:val="normaltextrun"/>
                  <w:i/>
                  <w:iCs/>
                  <w:color w:val="646464"/>
                  <w:shd w:val="clear" w:color="auto" w:fill="FFFFFF"/>
                </w:rPr>
                <w:t>has</w:t>
              </w:r>
              <w:r w:rsidR="00310DB1">
                <w:rPr>
                  <w:rStyle w:val="normaltextrun"/>
                  <w:i/>
                  <w:iCs/>
                  <w:color w:val="646464"/>
                  <w:shd w:val="clear" w:color="auto" w:fill="FFFFFF"/>
                </w:rPr>
                <w:t xml:space="preserve"> </w:t>
              </w:r>
              <w:r w:rsidR="00CF1FB0">
                <w:rPr>
                  <w:rStyle w:val="normaltextrun"/>
                  <w:i/>
                  <w:iCs/>
                  <w:color w:val="646464"/>
                  <w:shd w:val="clear" w:color="auto" w:fill="FFFFFF"/>
                </w:rPr>
                <w:t>add</w:t>
              </w:r>
              <w:r w:rsidR="004D34B7">
                <w:rPr>
                  <w:rStyle w:val="normaltextrun"/>
                  <w:i/>
                  <w:iCs/>
                  <w:color w:val="646464"/>
                  <w:shd w:val="clear" w:color="auto" w:fill="FFFFFF"/>
                </w:rPr>
                <w:t xml:space="preserve">ed </w:t>
              </w:r>
              <w:r w:rsidR="001659B6">
                <w:rPr>
                  <w:rStyle w:val="normaltextrun"/>
                  <w:i/>
                  <w:iCs/>
                  <w:color w:val="646464"/>
                  <w:shd w:val="clear" w:color="auto" w:fill="FFFFFF"/>
                </w:rPr>
                <w:t>approximately 30</w:t>
              </w:r>
              <w:r w:rsidR="008006F1">
                <w:rPr>
                  <w:rStyle w:val="normaltextrun"/>
                  <w:i/>
                  <w:iCs/>
                  <w:color w:val="646464"/>
                  <w:shd w:val="clear" w:color="auto" w:fill="FFFFFF"/>
                </w:rPr>
                <w:t>0</w:t>
              </w:r>
              <w:r w:rsidR="00CF1FB0">
                <w:rPr>
                  <w:rStyle w:val="normaltextrun"/>
                  <w:i/>
                  <w:iCs/>
                  <w:color w:val="646464"/>
                  <w:shd w:val="clear" w:color="auto" w:fill="FFFFFF"/>
                </w:rPr>
                <w:t>,000 newly eligible adults to the Medicaid</w:t>
              </w:r>
              <w:r w:rsidR="00B34D00">
                <w:rPr>
                  <w:rStyle w:val="normaltextrun"/>
                  <w:i/>
                  <w:iCs/>
                  <w:color w:val="646464"/>
                  <w:shd w:val="clear" w:color="auto" w:fill="FFFFFF"/>
                </w:rPr>
                <w:t xml:space="preserve"> program</w:t>
              </w:r>
              <w:r w:rsidR="004D34B7">
                <w:rPr>
                  <w:rStyle w:val="normaltextrun"/>
                  <w:i/>
                  <w:iCs/>
                  <w:color w:val="646464"/>
                  <w:shd w:val="clear" w:color="auto" w:fill="FFFFFF"/>
                </w:rPr>
                <w:t xml:space="preserve"> as of the end of this reporting quarter</w:t>
              </w:r>
              <w:r w:rsidR="00CF1FB0">
                <w:rPr>
                  <w:rStyle w:val="normaltextrun"/>
                  <w:i/>
                  <w:iCs/>
                  <w:color w:val="646464"/>
                  <w:shd w:val="clear" w:color="auto" w:fill="FFFFFF"/>
                </w:rPr>
                <w:t>. This change allow</w:t>
              </w:r>
              <w:r w:rsidR="00310DB1">
                <w:rPr>
                  <w:rStyle w:val="normaltextrun"/>
                  <w:i/>
                  <w:iCs/>
                  <w:color w:val="646464"/>
                  <w:shd w:val="clear" w:color="auto" w:fill="FFFFFF"/>
                </w:rPr>
                <w:t>s</w:t>
              </w:r>
              <w:r w:rsidR="00505B9A">
                <w:rPr>
                  <w:rStyle w:val="normaltextrun"/>
                  <w:i/>
                  <w:iCs/>
                  <w:color w:val="646464"/>
                  <w:shd w:val="clear" w:color="auto" w:fill="FFFFFF"/>
                </w:rPr>
                <w:t xml:space="preserve"> newly eligible</w:t>
              </w:r>
              <w:r w:rsidR="00CF1FB0">
                <w:rPr>
                  <w:rStyle w:val="normaltextrun"/>
                  <w:i/>
                  <w:iCs/>
                  <w:color w:val="646464"/>
                  <w:shd w:val="clear" w:color="auto" w:fill="FFFFFF"/>
                </w:rPr>
                <w:t xml:space="preserve"> adults access to Medicaid physical and mental health services and providers previously unavailable to them.</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B94B79">
                <w:rPr>
                  <w:rStyle w:val="normaltextrun"/>
                  <w:i/>
                  <w:iCs/>
                  <w:color w:val="646464"/>
                  <w:shd w:val="clear" w:color="auto" w:fill="FFFFFF"/>
                </w:rPr>
                <w:t>SB 1337 was signed into</w:t>
              </w:r>
              <w:r w:rsidR="009C2495">
                <w:rPr>
                  <w:rStyle w:val="normaltextrun"/>
                  <w:i/>
                  <w:iCs/>
                  <w:color w:val="646464"/>
                  <w:shd w:val="clear" w:color="auto" w:fill="FFFFFF"/>
                </w:rPr>
                <w:t xml:space="preserve"> state</w:t>
              </w:r>
              <w:r w:rsidR="00B94B79">
                <w:rPr>
                  <w:rStyle w:val="normaltextrun"/>
                  <w:i/>
                  <w:iCs/>
                  <w:color w:val="646464"/>
                  <w:shd w:val="clear" w:color="auto" w:fill="FFFFFF"/>
                </w:rPr>
                <w:t xml:space="preserve"> law on May 26, 2022. This bill requires implementation of managed care</w:t>
              </w:r>
              <w:r w:rsidR="00987E08">
                <w:rPr>
                  <w:rStyle w:val="normaltextrun"/>
                  <w:i/>
                  <w:iCs/>
                  <w:color w:val="646464"/>
                  <w:shd w:val="clear" w:color="auto" w:fill="FFFFFF"/>
                </w:rPr>
                <w:t xml:space="preserve"> for most Medicaid populations</w:t>
              </w:r>
              <w:r w:rsidR="00B94B79">
                <w:rPr>
                  <w:rStyle w:val="normaltextrun"/>
                  <w:i/>
                  <w:iCs/>
                  <w:color w:val="646464"/>
                  <w:shd w:val="clear" w:color="auto" w:fill="FFFFFF"/>
                </w:rPr>
                <w:t xml:space="preserve"> by October 1, </w:t>
              </w:r>
              <w:proofErr w:type="gramStart"/>
              <w:r w:rsidR="00B94B79">
                <w:rPr>
                  <w:rStyle w:val="normaltextrun"/>
                  <w:i/>
                  <w:iCs/>
                  <w:color w:val="646464"/>
                  <w:shd w:val="clear" w:color="auto" w:fill="FFFFFF"/>
                </w:rPr>
                <w:t>2023</w:t>
              </w:r>
              <w:proofErr w:type="gramEnd"/>
              <w:r w:rsidR="00B94B79">
                <w:rPr>
                  <w:rStyle w:val="normaltextrun"/>
                  <w:i/>
                  <w:iCs/>
                  <w:color w:val="646464"/>
                  <w:shd w:val="clear" w:color="auto" w:fill="FFFFFF"/>
                </w:rPr>
                <w:t xml:space="preserve"> or upon CMS approval.</w:t>
              </w:r>
              <w:r w:rsidR="00987E08">
                <w:rPr>
                  <w:rStyle w:val="normaltextrun"/>
                  <w:i/>
                  <w:iCs/>
                  <w:color w:val="646464"/>
                  <w:shd w:val="clear" w:color="auto" w:fill="FFFFFF"/>
                </w:rPr>
                <w:t xml:space="preserve"> The State is working toward the target date in partnership with CMS.</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23165">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Pr>
                  <w:rStyle w:val="normaltextrun"/>
                  <w:i/>
                  <w:iCs/>
                  <w:color w:val="646464"/>
                  <w:shd w:val="clear" w:color="auto" w:fill="FFFFFF"/>
                </w:rPr>
                <w:t xml:space="preserve"> T</w:t>
              </w:r>
              <w:r w:rsidR="00CF1FB0">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Pr>
                  <w:rStyle w:val="normaltextrun"/>
                  <w:i/>
                  <w:iCs/>
                  <w:color w:val="646464"/>
                  <w:shd w:val="clear" w:color="auto" w:fill="FFFFFF"/>
                </w:rPr>
                <w:t xml:space="preserve">ional 988 </w:t>
              </w:r>
              <w:r w:rsidR="00CB16D6">
                <w:rPr>
                  <w:rStyle w:val="normaltextrun"/>
                  <w:i/>
                  <w:iCs/>
                  <w:color w:val="646464"/>
                  <w:shd w:val="clear" w:color="auto" w:fill="FFFFFF"/>
                </w:rPr>
                <w:t xml:space="preserve">crisis </w:t>
              </w:r>
              <w:r w:rsidR="008006F1">
                <w:rPr>
                  <w:rStyle w:val="normaltextrun"/>
                  <w:i/>
                  <w:iCs/>
                  <w:color w:val="646464"/>
                  <w:shd w:val="clear" w:color="auto" w:fill="FFFFFF"/>
                </w:rPr>
                <w:t>number coming in 2022. Part of this effort includes expansion</w:t>
              </w:r>
              <w:r w:rsidR="00BA77EF">
                <w:rPr>
                  <w:rStyle w:val="normaltextrun"/>
                  <w:i/>
                  <w:iCs/>
                  <w:color w:val="646464"/>
                  <w:shd w:val="clear" w:color="auto" w:fill="FFFFFF"/>
                </w:rPr>
                <w:t xml:space="preserve"> of</w:t>
              </w:r>
              <w:r w:rsidR="00423165">
                <w:rPr>
                  <w:rStyle w:val="normaltextrun"/>
                  <w:i/>
                  <w:iCs/>
                  <w:color w:val="646464"/>
                  <w:shd w:val="clear" w:color="auto" w:fill="FFFFFF"/>
                </w:rPr>
                <w:t xml:space="preserve"> crisis services</w:t>
              </w:r>
              <w:r w:rsidR="00EC4BCB">
                <w:rPr>
                  <w:rStyle w:val="normaltextrun"/>
                  <w:i/>
                  <w:iCs/>
                  <w:color w:val="646464"/>
                  <w:shd w:val="clear" w:color="auto" w:fill="FFFFFF"/>
                </w:rPr>
                <w:t xml:space="preserve"> within</w:t>
              </w:r>
              <w:r w:rsidR="008006F1">
                <w:rPr>
                  <w:rStyle w:val="normaltextrun"/>
                  <w:i/>
                  <w:iCs/>
                  <w:color w:val="646464"/>
                  <w:shd w:val="clear" w:color="auto" w:fill="FFFFFF"/>
                </w:rPr>
                <w:t xml:space="preserve"> Urgent Recovery C</w:t>
              </w:r>
              <w:r w:rsidR="00423165">
                <w:rPr>
                  <w:rStyle w:val="normaltextrun"/>
                  <w:i/>
                  <w:iCs/>
                  <w:color w:val="646464"/>
                  <w:shd w:val="clear" w:color="auto" w:fill="FFFFFF"/>
                </w:rPr>
                <w:t>linics (URCs) in strategic areas of the state.</w:t>
              </w:r>
              <w:r w:rsidR="00B94B79">
                <w:rPr>
                  <w:rStyle w:val="normaltextrun"/>
                  <w:i/>
                  <w:iCs/>
                  <w:color w:val="646464"/>
                  <w:shd w:val="clear" w:color="auto" w:fill="FFFFFF"/>
                </w:rPr>
                <w:br/>
              </w:r>
              <w:r w:rsidR="00B94B79">
                <w:rPr>
                  <w:rStyle w:val="normaltextrun"/>
                  <w:i/>
                  <w:iCs/>
                  <w:color w:val="646464"/>
                  <w:shd w:val="clear" w:color="auto" w:fill="FFFFFF"/>
                </w:rPr>
                <w:br/>
              </w:r>
              <w:r w:rsidR="00E44616">
                <w:rPr>
                  <w:rStyle w:val="normaltextrun"/>
                  <w:i/>
                  <w:iCs/>
                  <w:color w:val="646464"/>
                  <w:shd w:val="clear" w:color="auto" w:fill="FFFFFF"/>
                </w:rPr>
                <w:t>The State has also made progress on QRTP development.</w:t>
              </w:r>
              <w:r w:rsidR="00E44616" w:rsidRPr="00E44616">
                <w:t xml:space="preserve"> </w:t>
              </w:r>
              <w:r w:rsidR="00E44616" w:rsidRPr="00E44616">
                <w:rPr>
                  <w:rStyle w:val="normaltextrun"/>
                  <w:i/>
                  <w:iCs/>
                  <w:color w:val="646464"/>
                  <w:shd w:val="clear" w:color="auto" w:fill="FFFFFF"/>
                </w:rPr>
                <w:t>All QRTP contracts have been signed and implemented.</w:t>
              </w:r>
              <w:r w:rsidR="00E44616">
                <w:rPr>
                  <w:rStyle w:val="normaltextrun"/>
                  <w:i/>
                  <w:iCs/>
                  <w:color w:val="646464"/>
                  <w:shd w:val="clear" w:color="auto" w:fill="FFFFFF"/>
                </w:rPr>
                <w:t xml:space="preserve"> Program reviews are scheduled to begin in August 2022. </w:t>
              </w:r>
              <w:r w:rsidR="00E44616" w:rsidRPr="00E44616">
                <w:rPr>
                  <w:rStyle w:val="normaltextrun"/>
                  <w:i/>
                  <w:iCs/>
                  <w:color w:val="646464"/>
                  <w:shd w:val="clear" w:color="auto" w:fill="FFFFFF"/>
                </w:rPr>
                <w:t xml:space="preserve">The Child and Adolescent Needs and Strengths (CANS) assessment tool has also been finalized and a plan to begin utilizing the CANS to support QRTP placement decisions is being developed and </w:t>
              </w:r>
              <w:r w:rsidR="00E44616">
                <w:rPr>
                  <w:rStyle w:val="normaltextrun"/>
                  <w:i/>
                  <w:iCs/>
                  <w:color w:val="646464"/>
                  <w:shd w:val="clear" w:color="auto" w:fill="FFFFFF"/>
                </w:rPr>
                <w:t>will be implemented in fall 2022.</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43C5E90B">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43C5E90B">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43C5E90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43C5E90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3875A96" w:rsidR="00B54D1C" w:rsidRPr="005A63A3" w:rsidRDefault="00AD1EC2" w:rsidP="009120A1">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2B1B227E" w:rsidR="003C1208" w:rsidRPr="005A63A3" w:rsidRDefault="003C1208" w:rsidP="003C1208">
            <w:pPr>
              <w:ind w:right="-18"/>
              <w:rPr>
                <w:i/>
                <w:color w:val="646464"/>
                <w:sz w:val="20"/>
                <w:szCs w:val="20"/>
              </w:rPr>
            </w:pPr>
          </w:p>
        </w:tc>
      </w:tr>
      <w:tr w:rsidR="005B3A66" w:rsidRPr="005A63A3" w14:paraId="28062E6D"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152675B2" w:rsidR="005B3A66" w:rsidRPr="005A63A3" w:rsidRDefault="00FC68E3" w:rsidP="00B54D1C">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0377DF9D" w:rsidR="005B3A66" w:rsidRPr="0062091A" w:rsidRDefault="005B3A66" w:rsidP="786A78F6">
            <w:pPr>
              <w:ind w:right="-18"/>
              <w:rPr>
                <w:i/>
                <w:iCs/>
                <w:color w:val="646464"/>
                <w:sz w:val="20"/>
                <w:szCs w:val="20"/>
                <w:highlight w:val="yellow"/>
              </w:rPr>
            </w:pPr>
          </w:p>
        </w:tc>
      </w:tr>
      <w:tr w:rsidR="005B3A66" w:rsidRPr="005A63A3" w14:paraId="7F13ADD8"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542FFA28"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203BC02B" w:rsidR="005B3A66" w:rsidRPr="00240946" w:rsidRDefault="00EA3C9E" w:rsidP="003418B3">
            <w:pPr>
              <w:ind w:right="-18"/>
              <w:rPr>
                <w:i/>
                <w:sz w:val="20"/>
                <w:szCs w:val="20"/>
                <w:highlight w:val="yellow"/>
              </w:rPr>
            </w:pPr>
            <w:r w:rsidRPr="00C14F06">
              <w:rPr>
                <w:i/>
                <w:color w:val="767171" w:themeColor="background2" w:themeShade="80"/>
                <w:sz w:val="20"/>
                <w:szCs w:val="20"/>
              </w:rPr>
              <w:t>QRTP contracts have been signed</w:t>
            </w:r>
            <w:r w:rsidR="003418B3" w:rsidRPr="00C14F06">
              <w:rPr>
                <w:i/>
                <w:color w:val="767171" w:themeColor="background2" w:themeShade="80"/>
                <w:sz w:val="20"/>
                <w:szCs w:val="20"/>
              </w:rPr>
              <w:t xml:space="preserve"> and implemented</w:t>
            </w:r>
            <w:r w:rsidRPr="00C14F06">
              <w:rPr>
                <w:i/>
                <w:color w:val="767171" w:themeColor="background2" w:themeShade="80"/>
                <w:sz w:val="20"/>
                <w:szCs w:val="20"/>
              </w:rPr>
              <w:t xml:space="preserve">. </w:t>
            </w:r>
            <w:r w:rsidR="003418B3" w:rsidRPr="00C14F06">
              <w:rPr>
                <w:i/>
                <w:color w:val="767171" w:themeColor="background2" w:themeShade="80"/>
                <w:sz w:val="20"/>
                <w:szCs w:val="20"/>
              </w:rPr>
              <w:t xml:space="preserve">The Child and Adolescent Needs and Strengths (CANS) assessment tool has also been finalized and a plan to begin utilizing the CANS to support QRTP placement decisions is being developed and will be implemented in Fall 2022.  The CANS will be completed for all youth, prior to entering the QRTP and every 6 months while still in the </w:t>
            </w:r>
            <w:proofErr w:type="gramStart"/>
            <w:r w:rsidR="003418B3" w:rsidRPr="00C14F06">
              <w:rPr>
                <w:i/>
                <w:color w:val="767171" w:themeColor="background2" w:themeShade="80"/>
                <w:sz w:val="20"/>
                <w:szCs w:val="20"/>
              </w:rPr>
              <w:t>placement, and</w:t>
            </w:r>
            <w:proofErr w:type="gramEnd"/>
            <w:r w:rsidR="003418B3" w:rsidRPr="00C14F06">
              <w:rPr>
                <w:i/>
                <w:color w:val="767171" w:themeColor="background2" w:themeShade="80"/>
                <w:sz w:val="20"/>
                <w:szCs w:val="20"/>
              </w:rPr>
              <w:t xml:space="preserve"> will support the identification of short and long term treatment goals for the youth.</w:t>
            </w:r>
          </w:p>
        </w:tc>
      </w:tr>
      <w:tr w:rsidR="005B3A66" w:rsidRPr="005A63A3" w14:paraId="06E9D3BD"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4C3E651"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7900AFCD" w:rsidR="005B3A66" w:rsidRPr="0062091A" w:rsidRDefault="005B3A66" w:rsidP="003C1208">
            <w:pPr>
              <w:ind w:right="-18"/>
              <w:rPr>
                <w:i/>
                <w:color w:val="646464"/>
                <w:sz w:val="20"/>
                <w:szCs w:val="20"/>
                <w:highlight w:val="yellow"/>
              </w:rPr>
            </w:pPr>
          </w:p>
        </w:tc>
      </w:tr>
      <w:tr w:rsidR="005B3A66" w:rsidRPr="005A63A3" w14:paraId="50C5B64A"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3B4F74F3" w:rsidR="004E6A5D" w:rsidRPr="005A63A3" w:rsidRDefault="00AD1EC2" w:rsidP="00AD1EC2">
            <w:pPr>
              <w:ind w:right="-18"/>
              <w:rPr>
                <w:i/>
                <w:color w:val="646464"/>
                <w:sz w:val="20"/>
                <w:szCs w:val="20"/>
              </w:rPr>
            </w:pPr>
            <w:r>
              <w:rPr>
                <w:i/>
                <w:color w:val="646464"/>
                <w:sz w:val="20"/>
                <w:szCs w:val="20"/>
              </w:rPr>
              <w:t>Medicaid expansion was</w:t>
            </w:r>
            <w:r w:rsidR="00202FF1">
              <w:rPr>
                <w:i/>
                <w:color w:val="646464"/>
                <w:sz w:val="20"/>
                <w:szCs w:val="20"/>
              </w:rPr>
              <w:t xml:space="preserve"> implemented</w:t>
            </w:r>
            <w:r w:rsidR="0062091A">
              <w:rPr>
                <w:i/>
                <w:color w:val="646464"/>
                <w:sz w:val="20"/>
                <w:szCs w:val="20"/>
              </w:rPr>
              <w:t xml:space="preserve"> on</w:t>
            </w:r>
            <w:r w:rsidR="00202FF1">
              <w:rPr>
                <w:i/>
                <w:color w:val="646464"/>
                <w:sz w:val="20"/>
                <w:szCs w:val="20"/>
              </w:rPr>
              <w:t xml:space="preserve"> July 1, 2021.</w:t>
            </w:r>
          </w:p>
        </w:tc>
      </w:tr>
      <w:tr w:rsidR="004E6A5D" w:rsidRPr="005A63A3" w14:paraId="0EB9C432"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32B77E63"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6D60CA87" w:rsidR="00567FC8" w:rsidRPr="00C14F06" w:rsidRDefault="00C14F06" w:rsidP="00EA3C9E">
            <w:pPr>
              <w:rPr>
                <w:i/>
                <w:color w:val="767171" w:themeColor="background2" w:themeShade="80"/>
                <w:sz w:val="20"/>
                <w:szCs w:val="20"/>
                <w:highlight w:val="blue"/>
              </w:rPr>
            </w:pPr>
            <w:r w:rsidRPr="00C14F06">
              <w:rPr>
                <w:i/>
                <w:color w:val="767171" w:themeColor="background2" w:themeShade="80"/>
                <w:sz w:val="20"/>
                <w:szCs w:val="20"/>
              </w:rPr>
              <w:t xml:space="preserve">All QRTPs are still receiving TA, when identified, and support from their facility liaisons. The QRTPs meet quarterly with the Specialized Partnerships and Placements </w:t>
            </w:r>
            <w:proofErr w:type="gramStart"/>
            <w:r w:rsidRPr="00C14F06">
              <w:rPr>
                <w:i/>
                <w:color w:val="767171" w:themeColor="background2" w:themeShade="80"/>
                <w:sz w:val="20"/>
                <w:szCs w:val="20"/>
              </w:rPr>
              <w:t>Programs  (</w:t>
            </w:r>
            <w:proofErr w:type="gramEnd"/>
            <w:r w:rsidRPr="00C14F06">
              <w:rPr>
                <w:i/>
                <w:color w:val="767171" w:themeColor="background2" w:themeShade="80"/>
                <w:sz w:val="20"/>
                <w:szCs w:val="20"/>
              </w:rPr>
              <w:t>SPPU), at a minimum as it is oftentimes more frequent,  to discuss additional supports related to QRTP implementation, changes to practices or policy, and collaborative efforts.</w:t>
            </w:r>
          </w:p>
        </w:tc>
      </w:tr>
      <w:tr w:rsidR="00AE7AD5" w:rsidRPr="005A63A3" w14:paraId="3212DB96"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2560D154" w:rsidR="00AE7AD5" w:rsidRPr="005A63A3" w:rsidRDefault="00EC235D" w:rsidP="0411B8B4">
            <w:pPr>
              <w:rPr>
                <w:i/>
                <w:iCs/>
                <w:color w:val="646464"/>
                <w:sz w:val="20"/>
                <w:szCs w:val="20"/>
                <w:highlight w:val="yellow"/>
              </w:rPr>
            </w:pPr>
            <w:r w:rsidRPr="00EC235D">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0ED499EA" w:rsidR="00AE7AD5" w:rsidRPr="005A63A3" w:rsidRDefault="00AE7AD5" w:rsidP="005904D9">
            <w:pPr>
              <w:rPr>
                <w:i/>
                <w:iCs/>
                <w:color w:val="646464"/>
                <w:sz w:val="20"/>
                <w:szCs w:val="20"/>
              </w:rPr>
            </w:pPr>
          </w:p>
        </w:tc>
      </w:tr>
      <w:tr w:rsidR="00567FC8" w:rsidRPr="005A63A3" w14:paraId="0501D8FD"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 xml:space="preserve">State requirement that providers use an evidenced-based, </w:t>
            </w:r>
            <w:proofErr w:type="gramStart"/>
            <w:r w:rsidR="00567FC8" w:rsidRPr="005A63A3">
              <w:rPr>
                <w:sz w:val="20"/>
                <w:szCs w:val="20"/>
              </w:rPr>
              <w:t>publicly</w:t>
            </w:r>
            <w:r w:rsidR="00107BE6">
              <w:rPr>
                <w:sz w:val="20"/>
                <w:szCs w:val="20"/>
              </w:rPr>
              <w:t>-</w:t>
            </w:r>
            <w:r w:rsidR="00567FC8" w:rsidRPr="005A63A3">
              <w:rPr>
                <w:sz w:val="20"/>
                <w:szCs w:val="20"/>
              </w:rPr>
              <w:t>available</w:t>
            </w:r>
            <w:proofErr w:type="gramEnd"/>
            <w:r w:rsidR="00567FC8" w:rsidRPr="005A63A3">
              <w:rPr>
                <w:sz w:val="20"/>
                <w:szCs w:val="20"/>
              </w:rPr>
              <w:t xml:space="preserv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lastRenderedPageBreak/>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lastRenderedPageBreak/>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29A1F025" w:rsidR="00567FC8" w:rsidRPr="001738C3" w:rsidRDefault="313D0333" w:rsidP="43C5E90B">
            <w:pPr>
              <w:rPr>
                <w:i/>
                <w:iCs/>
                <w:color w:val="FF0000"/>
                <w:sz w:val="20"/>
                <w:szCs w:val="20"/>
              </w:rPr>
            </w:pPr>
            <w:commentRangeStart w:id="8"/>
            <w:commentRangeStart w:id="9"/>
            <w:r w:rsidRPr="00FB1983">
              <w:rPr>
                <w:i/>
                <w:iCs/>
                <w:sz w:val="20"/>
                <w:szCs w:val="20"/>
              </w:rPr>
              <w:t>The</w:t>
            </w:r>
            <w:commentRangeEnd w:id="8"/>
            <w:r w:rsidRPr="001C1A54">
              <w:rPr>
                <w:rStyle w:val="CommentReference"/>
              </w:rPr>
              <w:commentReference w:id="8"/>
            </w:r>
            <w:commentRangeEnd w:id="9"/>
            <w:r w:rsidRPr="001C1A54">
              <w:rPr>
                <w:rStyle w:val="CommentReference"/>
              </w:rPr>
              <w:commentReference w:id="9"/>
            </w:r>
            <w:r w:rsidRPr="00FB1983">
              <w:rPr>
                <w:i/>
                <w:iCs/>
                <w:sz w:val="20"/>
                <w:szCs w:val="20"/>
              </w:rPr>
              <w:t xml:space="preserve"> State HIE, OKSHINE, will implement an </w:t>
            </w:r>
            <w:proofErr w:type="spellStart"/>
            <w:r w:rsidRPr="00FB1983">
              <w:rPr>
                <w:i/>
                <w:iCs/>
                <w:sz w:val="20"/>
                <w:szCs w:val="20"/>
              </w:rPr>
              <w:t>eCQM</w:t>
            </w:r>
            <w:proofErr w:type="spellEnd"/>
            <w:r w:rsidRPr="00FB1983">
              <w:rPr>
                <w:i/>
                <w:iCs/>
                <w:sz w:val="20"/>
                <w:szCs w:val="20"/>
              </w:rPr>
              <w:t xml:space="preserve"> tool module and dashboard. The implementation will include training documents and a companion guide. This module is projected to be operational in </w:t>
            </w:r>
            <w:r w:rsidR="0D9C3436" w:rsidRPr="00FB1983">
              <w:rPr>
                <w:i/>
                <w:iCs/>
                <w:sz w:val="20"/>
                <w:szCs w:val="20"/>
              </w:rPr>
              <w:t>J</w:t>
            </w:r>
            <w:r w:rsidR="2994D941" w:rsidRPr="00FB1983">
              <w:rPr>
                <w:i/>
                <w:iCs/>
                <w:sz w:val="20"/>
                <w:szCs w:val="20"/>
              </w:rPr>
              <w:t xml:space="preserve">uly </w:t>
            </w:r>
            <w:r w:rsidRPr="00FB1983">
              <w:rPr>
                <w:i/>
                <w:iCs/>
                <w:sz w:val="20"/>
                <w:szCs w:val="20"/>
              </w:rPr>
              <w:t>of 202</w:t>
            </w:r>
            <w:r w:rsidR="0B76D4E4" w:rsidRPr="00FB1983">
              <w:rPr>
                <w:i/>
                <w:iCs/>
                <w:sz w:val="20"/>
                <w:szCs w:val="20"/>
              </w:rPr>
              <w:t>2</w:t>
            </w:r>
            <w:r w:rsidRPr="00FB1983">
              <w:rPr>
                <w:i/>
                <w:iCs/>
                <w:sz w:val="20"/>
                <w:szCs w:val="20"/>
              </w:rPr>
              <w:t>. Operations include continual parsing and analysis of CCD data, performance reporting</w:t>
            </w:r>
            <w:r w:rsidR="31C73315" w:rsidRPr="00FB1983">
              <w:rPr>
                <w:i/>
                <w:iCs/>
                <w:sz w:val="20"/>
                <w:szCs w:val="20"/>
              </w:rPr>
              <w:t>,</w:t>
            </w:r>
            <w:r w:rsidRPr="00FB1983">
              <w:rPr>
                <w:i/>
                <w:iCs/>
                <w:sz w:val="20"/>
                <w:szCs w:val="20"/>
              </w:rPr>
              <w:t xml:space="preserve"> and </w:t>
            </w:r>
            <w:proofErr w:type="spellStart"/>
            <w:r w:rsidRPr="00FB1983">
              <w:rPr>
                <w:i/>
                <w:iCs/>
                <w:sz w:val="20"/>
                <w:szCs w:val="20"/>
              </w:rPr>
              <w:t>eCQM</w:t>
            </w:r>
            <w:proofErr w:type="spellEnd"/>
            <w:r w:rsidRPr="00FB1983">
              <w:rPr>
                <w:i/>
                <w:iCs/>
                <w:sz w:val="20"/>
                <w:szCs w:val="20"/>
              </w:rPr>
              <w:t xml:space="preserve"> support.  </w:t>
            </w:r>
          </w:p>
        </w:tc>
      </w:tr>
      <w:tr w:rsidR="00EA3590" w:rsidRPr="005A63A3" w14:paraId="237B271C"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43C5E90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76B2F931">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3C0D360F" w:rsidR="00DC6439" w:rsidRPr="005A63A3" w:rsidRDefault="00E60E77" w:rsidP="00DD0BA3">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sunsetting o</w:t>
            </w:r>
            <w:r>
              <w:rPr>
                <w:i/>
                <w:color w:val="646464"/>
                <w:sz w:val="20"/>
                <w:szCs w:val="20"/>
              </w:rPr>
              <w:t xml:space="preserve">f the program in September 2021. The State </w:t>
            </w:r>
            <w:r w:rsidR="00DD0BA3">
              <w:rPr>
                <w:i/>
                <w:color w:val="646464"/>
                <w:sz w:val="20"/>
                <w:szCs w:val="20"/>
              </w:rPr>
              <w:t>has transitioned most</w:t>
            </w:r>
            <w:r>
              <w:rPr>
                <w:i/>
                <w:color w:val="646464"/>
                <w:sz w:val="20"/>
                <w:szCs w:val="20"/>
              </w:rPr>
              <w:t xml:space="preserve">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76B2F931">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5EACC1DF"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sidRPr="00EF3FFF">
              <w:rPr>
                <w:i/>
                <w:color w:val="646464"/>
                <w:sz w:val="20"/>
                <w:szCs w:val="20"/>
              </w:rPr>
              <w:t>Due to staffing changes at ODMHSAS, the agency is re-evaluating the timeline for expansion of bed availability tracking.</w:t>
            </w:r>
          </w:p>
        </w:tc>
      </w:tr>
      <w:tr w:rsidR="00DC6439" w:rsidRPr="005A63A3" w14:paraId="7CEFD391" w14:textId="77777777" w:rsidTr="76B2F931">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052CB8CB" w:rsidR="00982F33" w:rsidRDefault="0024714A" w:rsidP="00E332DA">
            <w:pPr>
              <w:rPr>
                <w:i/>
                <w:color w:val="646464"/>
                <w:sz w:val="20"/>
                <w:szCs w:val="20"/>
              </w:rPr>
            </w:pPr>
            <w:r>
              <w:rPr>
                <w:i/>
                <w:color w:val="646464"/>
                <w:sz w:val="20"/>
                <w:szCs w:val="20"/>
              </w:rPr>
              <w:t>SFY 21</w:t>
            </w:r>
          </w:p>
          <w:p w14:paraId="7919B8C7" w14:textId="77777777" w:rsidR="00982F33"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State Dollars</w:t>
                  </w:r>
                </w:p>
              </w:tc>
            </w:tr>
            <w:tr w:rsidR="009C5C51"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5E64ADAD" w:rsidR="009C5C51" w:rsidRPr="009C5C51" w:rsidRDefault="00C10C3E" w:rsidP="00CB16D6">
                  <w:pPr>
                    <w:jc w:val="right"/>
                    <w:rPr>
                      <w:rFonts w:asciiTheme="minorHAnsi" w:hAnsiTheme="minorHAnsi" w:cstheme="minorHAnsi"/>
                      <w:color w:val="767171" w:themeColor="background2" w:themeShade="80"/>
                      <w:sz w:val="18"/>
                      <w:szCs w:val="18"/>
                    </w:rPr>
                  </w:pPr>
                  <w:r>
                    <w:rPr>
                      <w:rFonts w:asciiTheme="minorHAnsi" w:hAnsiTheme="minorHAnsi" w:cstheme="minorHAnsi"/>
                      <w:color w:val="767171" w:themeColor="background2" w:themeShade="80"/>
                      <w:sz w:val="18"/>
                      <w:szCs w:val="18"/>
                    </w:rPr>
                    <w:t>$</w:t>
                  </w:r>
                  <w:r w:rsidR="009C5C51" w:rsidRPr="009C5C51">
                    <w:rPr>
                      <w:rFonts w:asciiTheme="minorHAnsi" w:hAnsiTheme="minorHAnsi" w:cstheme="minorHAnsi"/>
                      <w:color w:val="767171" w:themeColor="background2" w:themeShade="80"/>
                      <w:sz w:val="18"/>
                      <w:szCs w:val="18"/>
                    </w:rPr>
                    <w:t xml:space="preserve">55,115,363.37 </w:t>
                  </w:r>
                </w:p>
              </w:tc>
            </w:tr>
            <w:tr w:rsidR="009C5C51"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CH</w:t>
                  </w:r>
                  <w:r>
                    <w:rPr>
                      <w:rFonts w:asciiTheme="minorHAnsi" w:hAnsiTheme="minorHAnsi" w:cstheme="minorHAnsi"/>
                      <w:color w:val="767171" w:themeColor="background2" w:themeShade="80"/>
                      <w:sz w:val="18"/>
                      <w:szCs w:val="18"/>
                    </w:rPr>
                    <w:t>I</w:t>
                  </w:r>
                  <w:r w:rsidRPr="009C5C51">
                    <w:rPr>
                      <w:rFonts w:asciiTheme="minorHAnsi" w:hAnsiTheme="minorHAnsi" w:cstheme="minorHAnsi"/>
                      <w:color w:val="767171" w:themeColor="background2" w:themeShade="80"/>
                      <w:sz w:val="18"/>
                      <w:szCs w:val="18"/>
                    </w:rPr>
                    <w:t>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58DD14D6" w:rsidR="009C5C51" w:rsidRPr="009C5C51" w:rsidRDefault="00C10C3E" w:rsidP="00CB16D6">
                  <w:pPr>
                    <w:jc w:val="right"/>
                    <w:rPr>
                      <w:rFonts w:asciiTheme="minorHAnsi" w:hAnsiTheme="minorHAnsi" w:cstheme="minorHAnsi"/>
                      <w:color w:val="767171" w:themeColor="background2" w:themeShade="80"/>
                      <w:sz w:val="18"/>
                      <w:szCs w:val="18"/>
                    </w:rPr>
                  </w:pPr>
                  <w:r>
                    <w:rPr>
                      <w:rFonts w:asciiTheme="minorHAnsi" w:hAnsiTheme="minorHAnsi" w:cstheme="minorHAnsi"/>
                      <w:color w:val="767171" w:themeColor="background2" w:themeShade="80"/>
                      <w:sz w:val="18"/>
                      <w:szCs w:val="18"/>
                    </w:rPr>
                    <w:t>$</w:t>
                  </w:r>
                  <w:r w:rsidR="009C5C51" w:rsidRPr="009C5C51">
                    <w:rPr>
                      <w:rFonts w:asciiTheme="minorHAnsi" w:hAnsiTheme="minorHAnsi" w:cstheme="minorHAnsi"/>
                      <w:color w:val="767171" w:themeColor="background2" w:themeShade="80"/>
                      <w:sz w:val="18"/>
                      <w:szCs w:val="18"/>
                    </w:rPr>
                    <w:t xml:space="preserve">7,481,444.98 </w:t>
                  </w:r>
                </w:p>
              </w:tc>
            </w:tr>
            <w:tr w:rsidR="009C5C51"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0ABD78A8" w:rsidR="009C5C51" w:rsidRPr="009C5C51" w:rsidRDefault="00C10C3E" w:rsidP="00CB16D6">
                  <w:pPr>
                    <w:jc w:val="right"/>
                    <w:rPr>
                      <w:rFonts w:asciiTheme="minorHAnsi" w:hAnsiTheme="minorHAnsi" w:cstheme="minorHAnsi"/>
                      <w:color w:val="767171" w:themeColor="background2" w:themeShade="80"/>
                      <w:sz w:val="18"/>
                      <w:szCs w:val="18"/>
                    </w:rPr>
                  </w:pPr>
                  <w:r>
                    <w:rPr>
                      <w:rFonts w:asciiTheme="minorHAnsi" w:hAnsiTheme="minorHAnsi" w:cstheme="minorHAnsi"/>
                      <w:color w:val="767171" w:themeColor="background2" w:themeShade="80"/>
                      <w:sz w:val="18"/>
                      <w:szCs w:val="18"/>
                    </w:rPr>
                    <w:t>$</w:t>
                  </w:r>
                  <w:r w:rsidR="009C5C51" w:rsidRPr="009C5C51">
                    <w:rPr>
                      <w:rFonts w:asciiTheme="minorHAnsi" w:hAnsiTheme="minorHAnsi" w:cstheme="minorHAnsi"/>
                      <w:color w:val="767171" w:themeColor="background2" w:themeShade="80"/>
                      <w:sz w:val="18"/>
                      <w:szCs w:val="18"/>
                    </w:rPr>
                    <w:t xml:space="preserve">4,002,923.21 </w:t>
                  </w:r>
                </w:p>
              </w:tc>
            </w:tr>
            <w:tr w:rsidR="009C5C51"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63FFD252" w:rsidR="009C5C51" w:rsidRPr="009C5C51" w:rsidRDefault="00C10C3E" w:rsidP="00CB16D6">
                  <w:pPr>
                    <w:jc w:val="right"/>
                    <w:rPr>
                      <w:rFonts w:asciiTheme="minorHAnsi" w:hAnsiTheme="minorHAnsi" w:cstheme="minorHAnsi"/>
                      <w:color w:val="767171" w:themeColor="background2" w:themeShade="80"/>
                      <w:sz w:val="18"/>
                      <w:szCs w:val="18"/>
                    </w:rPr>
                  </w:pPr>
                  <w:r>
                    <w:rPr>
                      <w:rFonts w:asciiTheme="minorHAnsi" w:hAnsiTheme="minorHAnsi" w:cstheme="minorHAnsi"/>
                      <w:color w:val="767171" w:themeColor="background2" w:themeShade="80"/>
                      <w:sz w:val="18"/>
                      <w:szCs w:val="18"/>
                    </w:rPr>
                    <w:t>$</w:t>
                  </w:r>
                  <w:r w:rsidR="009C5C51" w:rsidRPr="009C5C51">
                    <w:rPr>
                      <w:rFonts w:asciiTheme="minorHAnsi" w:hAnsiTheme="minorHAnsi" w:cstheme="minorHAnsi"/>
                      <w:color w:val="767171" w:themeColor="background2" w:themeShade="80"/>
                      <w:sz w:val="18"/>
                      <w:szCs w:val="18"/>
                    </w:rPr>
                    <w:t xml:space="preserve">23,352,811.67 </w:t>
                  </w:r>
                </w:p>
              </w:tc>
            </w:tr>
            <w:tr w:rsidR="009C5C51"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521A7631" w:rsidR="009C5C51" w:rsidRPr="009C5C51" w:rsidRDefault="00CB16D6" w:rsidP="00CB16D6">
                  <w:pPr>
                    <w:jc w:val="right"/>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w:t>
                  </w:r>
                  <w:r w:rsidR="009C5C51" w:rsidRPr="009C5C51">
                    <w:rPr>
                      <w:rFonts w:asciiTheme="minorHAnsi" w:hAnsiTheme="minorHAnsi" w:cstheme="minorHAnsi"/>
                      <w:b/>
                      <w:color w:val="767171" w:themeColor="background2" w:themeShade="80"/>
                      <w:sz w:val="18"/>
                      <w:szCs w:val="18"/>
                    </w:rPr>
                    <w:t xml:space="preserve">89,952,543.23 </w:t>
                  </w:r>
                </w:p>
              </w:tc>
            </w:tr>
          </w:tbl>
          <w:p w14:paraId="407C83D0" w14:textId="1348AB1E" w:rsidR="00DC6439" w:rsidRPr="005A63A3" w:rsidRDefault="00DC6439" w:rsidP="00E332DA">
            <w:pPr>
              <w:rPr>
                <w:i/>
                <w:color w:val="646464"/>
                <w:sz w:val="20"/>
                <w:szCs w:val="20"/>
              </w:rPr>
            </w:pPr>
          </w:p>
        </w:tc>
      </w:tr>
      <w:tr w:rsidR="003112C8" w:rsidRPr="005A63A3" w14:paraId="6A27ADCB"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47FB9EAA" w:rsidR="003112C8" w:rsidRPr="00497436" w:rsidRDefault="0024714A" w:rsidP="4BFC6D2E">
            <w:pPr>
              <w:rPr>
                <w:i/>
                <w:iCs/>
                <w:color w:val="767171" w:themeColor="background2" w:themeShade="80"/>
                <w:sz w:val="20"/>
                <w:szCs w:val="20"/>
              </w:rPr>
            </w:pPr>
            <w:r>
              <w:rPr>
                <w:i/>
                <w:iCs/>
                <w:color w:val="767171" w:themeColor="background2" w:themeShade="80"/>
                <w:sz w:val="20"/>
                <w:szCs w:val="20"/>
              </w:rPr>
              <w:t>The amount for SFY 21</w:t>
            </w:r>
            <w:r w:rsidR="009C5C51" w:rsidRPr="00497436">
              <w:rPr>
                <w:i/>
                <w:iCs/>
                <w:color w:val="767171" w:themeColor="background2" w:themeShade="80"/>
                <w:sz w:val="20"/>
                <w:szCs w:val="20"/>
              </w:rPr>
              <w:t xml:space="preserve"> represents an increase of approximately $8 million dollar</w:t>
            </w:r>
            <w:r>
              <w:rPr>
                <w:i/>
                <w:iCs/>
                <w:color w:val="767171" w:themeColor="background2" w:themeShade="80"/>
                <w:sz w:val="20"/>
                <w:szCs w:val="20"/>
              </w:rPr>
              <w:t>s compared to SFY 20</w:t>
            </w:r>
            <w:r w:rsidR="009C5C51" w:rsidRPr="00497436">
              <w:rPr>
                <w:i/>
                <w:iCs/>
                <w:color w:val="767171" w:themeColor="background2" w:themeShade="80"/>
                <w:sz w:val="20"/>
                <w:szCs w:val="20"/>
              </w:rPr>
              <w:t xml:space="preserve">. </w:t>
            </w:r>
            <w:r w:rsidR="00497436" w:rsidRPr="00497436">
              <w:rPr>
                <w:i/>
                <w:iCs/>
                <w:color w:val="767171" w:themeColor="background2" w:themeShade="80"/>
                <w:sz w:val="20"/>
                <w:szCs w:val="20"/>
              </w:rPr>
              <w:t xml:space="preserve">The increases in the CCBHC amount and decrease in the </w:t>
            </w:r>
            <w:proofErr w:type="gramStart"/>
            <w:r w:rsidR="00497436" w:rsidRPr="00497436">
              <w:rPr>
                <w:i/>
                <w:iCs/>
                <w:color w:val="767171" w:themeColor="background2" w:themeShade="80"/>
                <w:sz w:val="20"/>
                <w:szCs w:val="20"/>
              </w:rPr>
              <w:t>Health</w:t>
            </w:r>
            <w:proofErr w:type="gramEnd"/>
            <w:r w:rsidR="00497436" w:rsidRPr="00497436">
              <w:rPr>
                <w:i/>
                <w:iCs/>
                <w:color w:val="767171" w:themeColor="background2" w:themeShade="80"/>
                <w:sz w:val="20"/>
                <w:szCs w:val="20"/>
              </w:rPr>
              <w:t xml:space="preserve"> Home amount represent the State's expansion of the CCBHC </w:t>
            </w:r>
            <w:r w:rsidR="00824DE1">
              <w:rPr>
                <w:i/>
                <w:iCs/>
                <w:color w:val="767171" w:themeColor="background2" w:themeShade="80"/>
                <w:sz w:val="20"/>
                <w:szCs w:val="20"/>
              </w:rPr>
              <w:t>program previous to</w:t>
            </w:r>
            <w:r w:rsidR="00497436" w:rsidRPr="00497436">
              <w:rPr>
                <w:i/>
                <w:iCs/>
                <w:color w:val="767171" w:themeColor="background2" w:themeShade="80"/>
                <w:sz w:val="20"/>
                <w:szCs w:val="20"/>
              </w:rPr>
              <w:t xml:space="preserve"> the sunset of the Health Home progr</w:t>
            </w:r>
            <w:r w:rsidR="00BA77EF">
              <w:rPr>
                <w:i/>
                <w:iCs/>
                <w:color w:val="767171" w:themeColor="background2" w:themeShade="80"/>
                <w:sz w:val="20"/>
                <w:szCs w:val="20"/>
              </w:rPr>
              <w:t>am in SFY 22</w:t>
            </w:r>
            <w:r w:rsidR="00497436" w:rsidRPr="00497436">
              <w:rPr>
                <w:i/>
                <w:iCs/>
                <w:color w:val="767171" w:themeColor="background2" w:themeShade="80"/>
                <w:sz w:val="20"/>
                <w:szCs w:val="20"/>
              </w:rPr>
              <w:t>.</w:t>
            </w:r>
          </w:p>
        </w:tc>
      </w:tr>
      <w:tr w:rsidR="003112C8" w:rsidRPr="005A63A3" w14:paraId="0BC00ED3"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4063F30B" w:rsidR="00220FCE" w:rsidRPr="00BC6197" w:rsidRDefault="00220FCE" w:rsidP="00220FCE">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w:t>
            </w:r>
            <w:r w:rsidR="00D60E28">
              <w:rPr>
                <w:i/>
                <w:iCs/>
                <w:color w:val="767171" w:themeColor="background2" w:themeShade="80"/>
                <w:sz w:val="20"/>
                <w:szCs w:val="20"/>
              </w:rPr>
              <w:t xml:space="preserve"> to</w:t>
            </w:r>
            <w:r w:rsidRPr="2596A878">
              <w:rPr>
                <w:i/>
                <w:iCs/>
                <w:color w:val="767171" w:themeColor="background2" w:themeShade="80"/>
                <w:sz w:val="20"/>
                <w:szCs w:val="20"/>
              </w:rPr>
              <w:t xml:space="preserve"> allow for triage and referral for all adult callers. Another goal of this system is to assist law enforcement to appropriately refer and manage crisis situations.</w:t>
            </w:r>
          </w:p>
          <w:p w14:paraId="07C04DE4" w14:textId="77777777" w:rsidR="003112C8" w:rsidRPr="005A63A3" w:rsidRDefault="003112C8" w:rsidP="003112C8">
            <w:pPr>
              <w:rPr>
                <w:i/>
                <w:color w:val="646464"/>
                <w:sz w:val="20"/>
                <w:szCs w:val="20"/>
                <w:highlight w:val="blue"/>
              </w:rPr>
            </w:pPr>
          </w:p>
        </w:tc>
      </w:tr>
      <w:tr w:rsidR="003112C8" w:rsidRPr="005A63A3" w14:paraId="70A9D3D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96F50D6"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0C601044" w:rsidR="003112C8" w:rsidRPr="005A63A3" w:rsidRDefault="001738C3" w:rsidP="00C14F06">
            <w:pPr>
              <w:rPr>
                <w:i/>
                <w:color w:val="646464"/>
                <w:sz w:val="20"/>
                <w:szCs w:val="20"/>
              </w:rPr>
            </w:pPr>
            <w:r>
              <w:rPr>
                <w:i/>
                <w:color w:val="646464"/>
                <w:sz w:val="20"/>
                <w:szCs w:val="20"/>
              </w:rPr>
              <w:t xml:space="preserve">The State </w:t>
            </w:r>
            <w:r w:rsidR="00C14F06">
              <w:rPr>
                <w:i/>
                <w:color w:val="646464"/>
                <w:sz w:val="20"/>
                <w:szCs w:val="20"/>
              </w:rPr>
              <w:t xml:space="preserve">received approval of </w:t>
            </w:r>
            <w:r w:rsidR="00EC235D">
              <w:rPr>
                <w:i/>
                <w:color w:val="646464"/>
                <w:sz w:val="20"/>
                <w:szCs w:val="20"/>
              </w:rPr>
              <w:t>its SPA to add adult partial hospitalizat</w:t>
            </w:r>
            <w:r w:rsidR="00C14F06">
              <w:rPr>
                <w:i/>
                <w:color w:val="646464"/>
                <w:sz w:val="20"/>
                <w:szCs w:val="20"/>
              </w:rPr>
              <w:t>ion program coverage on June 10</w:t>
            </w:r>
            <w:r w:rsidR="00EC235D">
              <w:rPr>
                <w:i/>
                <w:color w:val="646464"/>
                <w:sz w:val="20"/>
                <w:szCs w:val="20"/>
              </w:rPr>
              <w:t>, 2022. Coverage will include both SMI and SUD populations.</w:t>
            </w:r>
          </w:p>
        </w:tc>
      </w:tr>
      <w:tr w:rsidR="003112C8" w:rsidRPr="005A63A3" w14:paraId="12BD0E5E" w14:textId="77777777" w:rsidTr="76B2F931">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76B2F931">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3B9BB2AF" w:rsidR="003112C8" w:rsidRPr="005A63A3" w:rsidRDefault="21591D5A" w:rsidP="76B2F931">
            <w:pPr>
              <w:rPr>
                <w:i/>
                <w:iCs/>
                <w:color w:val="646464"/>
                <w:sz w:val="20"/>
                <w:szCs w:val="20"/>
              </w:rPr>
            </w:pPr>
            <w:r w:rsidRPr="00FB1983">
              <w:rPr>
                <w:i/>
                <w:iCs/>
                <w:color w:val="767171" w:themeColor="background2" w:themeShade="80"/>
                <w:sz w:val="20"/>
                <w:szCs w:val="20"/>
              </w:rPr>
              <w:t xml:space="preserve">State staff worked with its third-party/independent evaluator (PHPG) on the budget neutrality design for the separate 1115 SMI/SUD waiver. The budget neutrality </w:t>
            </w:r>
            <w:r w:rsidR="6296112C" w:rsidRPr="00FB1983">
              <w:rPr>
                <w:i/>
                <w:iCs/>
                <w:color w:val="767171" w:themeColor="background2" w:themeShade="80"/>
                <w:sz w:val="20"/>
                <w:szCs w:val="20"/>
              </w:rPr>
              <w:t xml:space="preserve">design </w:t>
            </w:r>
            <w:r w:rsidRPr="00FB1983">
              <w:rPr>
                <w:i/>
                <w:iCs/>
                <w:color w:val="767171" w:themeColor="background2" w:themeShade="80"/>
                <w:sz w:val="20"/>
                <w:szCs w:val="20"/>
              </w:rPr>
              <w:t>for this 1115 waiver demonstration</w:t>
            </w:r>
            <w:r w:rsidR="4A93BE13" w:rsidRPr="00FB1983">
              <w:rPr>
                <w:i/>
                <w:iCs/>
                <w:color w:val="767171" w:themeColor="background2" w:themeShade="80"/>
                <w:sz w:val="20"/>
                <w:szCs w:val="20"/>
              </w:rPr>
              <w:t xml:space="preserve"> </w:t>
            </w:r>
            <w:r w:rsidR="00211C3A" w:rsidRPr="00FB1983">
              <w:rPr>
                <w:i/>
                <w:iCs/>
                <w:color w:val="767171" w:themeColor="background2" w:themeShade="80"/>
                <w:sz w:val="20"/>
                <w:szCs w:val="20"/>
              </w:rPr>
              <w:t>was</w:t>
            </w:r>
            <w:r w:rsidR="4A93BE13" w:rsidRPr="00FB1983">
              <w:rPr>
                <w:i/>
                <w:iCs/>
                <w:color w:val="767171" w:themeColor="background2" w:themeShade="80"/>
                <w:sz w:val="20"/>
                <w:szCs w:val="20"/>
              </w:rPr>
              <w:t xml:space="preserve"> submitted</w:t>
            </w:r>
            <w:r w:rsidRPr="00FB1983">
              <w:rPr>
                <w:i/>
                <w:iCs/>
                <w:color w:val="767171" w:themeColor="background2" w:themeShade="80"/>
                <w:sz w:val="20"/>
                <w:szCs w:val="20"/>
              </w:rPr>
              <w:t xml:space="preserve"> </w:t>
            </w:r>
            <w:r w:rsidR="001C1A54" w:rsidRPr="00FB1983">
              <w:rPr>
                <w:i/>
                <w:iCs/>
                <w:color w:val="767171" w:themeColor="background2" w:themeShade="80"/>
                <w:sz w:val="20"/>
                <w:szCs w:val="20"/>
              </w:rPr>
              <w:t xml:space="preserve">on </w:t>
            </w:r>
            <w:r w:rsidRPr="00FB1983">
              <w:rPr>
                <w:i/>
                <w:iCs/>
                <w:color w:val="767171" w:themeColor="background2" w:themeShade="80"/>
                <w:sz w:val="20"/>
                <w:szCs w:val="20"/>
              </w:rPr>
              <w:t xml:space="preserve">and </w:t>
            </w:r>
            <w:r w:rsidR="03439E94" w:rsidRPr="00FB1983">
              <w:rPr>
                <w:i/>
                <w:iCs/>
                <w:color w:val="767171" w:themeColor="background2" w:themeShade="80"/>
                <w:sz w:val="20"/>
                <w:szCs w:val="20"/>
              </w:rPr>
              <w:t>State staff continue to support the independent evaluator to ensure necessary data is included</w:t>
            </w:r>
            <w:r w:rsidR="00D60E28" w:rsidRPr="00FB1983">
              <w:rPr>
                <w:i/>
                <w:iCs/>
                <w:color w:val="767171" w:themeColor="background2" w:themeShade="80"/>
                <w:sz w:val="20"/>
                <w:szCs w:val="20"/>
              </w:rPr>
              <w:t xml:space="preserve"> for the upcoming budget neutrality quarterly report</w:t>
            </w:r>
            <w:r w:rsidRPr="00FB1983">
              <w:rPr>
                <w:i/>
                <w:iCs/>
                <w:color w:val="767171" w:themeColor="background2" w:themeShade="80"/>
                <w:sz w:val="20"/>
                <w:szCs w:val="20"/>
              </w:rPr>
              <w:t>.</w:t>
            </w:r>
          </w:p>
        </w:tc>
      </w:tr>
      <w:tr w:rsidR="003112C8" w:rsidRPr="005A63A3" w14:paraId="58FEBED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lastRenderedPageBreak/>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76B2F931">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00220FCE">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estimated impacts within later quarters and/or demonstration year calculations</w:t>
            </w:r>
            <w:r w:rsidRPr="00561ED3">
              <w:rPr>
                <w:i/>
                <w:color w:val="646464"/>
                <w:sz w:val="20"/>
                <w:szCs w:val="20"/>
              </w:rPr>
              <w:t>.</w:t>
            </w:r>
          </w:p>
        </w:tc>
      </w:tr>
      <w:tr w:rsidR="003112C8" w:rsidRPr="005A63A3" w14:paraId="5CDC92C5" w14:textId="77777777" w:rsidTr="76B2F931">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76B2F931">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76B2F931">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lastRenderedPageBreak/>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Default="00BC04B9" w:rsidP="00BC04B9">
            <w:pPr>
              <w:rPr>
                <w:i/>
                <w:color w:val="646464"/>
                <w:sz w:val="20"/>
                <w:szCs w:val="20"/>
              </w:rPr>
            </w:pPr>
            <w:r>
              <w:rPr>
                <w:i/>
                <w:color w:val="646464"/>
                <w:sz w:val="20"/>
                <w:szCs w:val="20"/>
              </w:rPr>
              <w:t>Medicaid expansion support</w:t>
            </w:r>
            <w:r w:rsidR="00C052B6">
              <w:rPr>
                <w:i/>
                <w:color w:val="646464"/>
                <w:sz w:val="20"/>
                <w:szCs w:val="20"/>
              </w:rPr>
              <w:t>s</w:t>
            </w:r>
            <w:r>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w:t>
            </w:r>
            <w:proofErr w:type="gramStart"/>
            <w:r w:rsidRPr="005A63A3">
              <w:rPr>
                <w:sz w:val="20"/>
                <w:szCs w:val="20"/>
              </w:rPr>
              <w:t>e.g.</w:t>
            </w:r>
            <w:proofErr w:type="gramEnd"/>
            <w:r w:rsidRPr="005A63A3">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w:t>
            </w:r>
            <w:proofErr w:type="gramStart"/>
            <w:r w:rsidRPr="005A63A3">
              <w:rPr>
                <w:sz w:val="20"/>
                <w:szCs w:val="20"/>
              </w:rPr>
              <w:t>e.g.</w:t>
            </w:r>
            <w:proofErr w:type="gramEnd"/>
            <w:r w:rsidRPr="005A63A3">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76B2F931">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76B2F931">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76B2F931">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695CFED1" w:rsidR="003112C8" w:rsidRPr="00EC235D" w:rsidRDefault="0016354D" w:rsidP="00EC235D">
            <w:pPr>
              <w:rPr>
                <w:i/>
                <w:iCs/>
                <w:color w:val="FF0000"/>
                <w:sz w:val="20"/>
                <w:szCs w:val="20"/>
              </w:rPr>
            </w:pPr>
            <w:r w:rsidRPr="001A7CB1">
              <w:rPr>
                <w:rFonts w:cstheme="minorHAnsi"/>
                <w:i/>
                <w:iCs/>
                <w:color w:val="646464"/>
                <w:sz w:val="20"/>
              </w:rPr>
              <w:t>The State received CMS approval of its evaluation design on June 10, 2022.</w:t>
            </w:r>
          </w:p>
        </w:tc>
      </w:tr>
      <w:tr w:rsidR="00EC235D" w:rsidRPr="005A63A3" w14:paraId="052CB56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4EDA92FB" w:rsidR="00EC235D" w:rsidRPr="00EC235D" w:rsidRDefault="0016354D" w:rsidP="00EC235D">
            <w:pPr>
              <w:rPr>
                <w:rFonts w:eastAsia="Calibri"/>
                <w:i/>
                <w:iCs/>
                <w:color w:val="FF0000"/>
                <w:sz w:val="20"/>
                <w:szCs w:val="20"/>
              </w:rPr>
            </w:pPr>
            <w:r w:rsidRPr="001A7CB1">
              <w:rPr>
                <w:rFonts w:cstheme="minorHAnsi"/>
                <w:i/>
                <w:iCs/>
                <w:color w:val="646464"/>
                <w:sz w:val="20"/>
              </w:rPr>
              <w:t>The State received CMS approval of its evaluation design on June 10, 2022.</w:t>
            </w:r>
          </w:p>
        </w:tc>
      </w:tr>
      <w:tr w:rsidR="00EC235D" w:rsidRPr="005A63A3" w14:paraId="4DB7327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lastRenderedPageBreak/>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The evaluation design was due on June 20, 2021.</w:t>
            </w:r>
          </w:p>
          <w:p w14:paraId="384FF0BA" w14:textId="77777777"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The mid-point assessment is due on August 15, 2023.</w:t>
            </w:r>
          </w:p>
          <w:p w14:paraId="06F9508F" w14:textId="4F90624C"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 xml:space="preserve">The interim evaluation report is due on </w:t>
            </w:r>
            <w:r w:rsidR="00185E81" w:rsidRPr="00FB1983">
              <w:rPr>
                <w:i/>
                <w:iCs/>
                <w:color w:val="767171" w:themeColor="background2" w:themeShade="80"/>
                <w:sz w:val="20"/>
                <w:szCs w:val="20"/>
              </w:rPr>
              <w:t xml:space="preserve">December 31, </w:t>
            </w:r>
            <w:proofErr w:type="gramStart"/>
            <w:r w:rsidR="00185E81" w:rsidRPr="00FB1983">
              <w:rPr>
                <w:i/>
                <w:iCs/>
                <w:color w:val="767171" w:themeColor="background2" w:themeShade="80"/>
                <w:sz w:val="20"/>
                <w:szCs w:val="20"/>
              </w:rPr>
              <w:t>2024</w:t>
            </w:r>
            <w:proofErr w:type="gramEnd"/>
            <w:r w:rsidRPr="00FB1983">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76B2F931">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76B2F931">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lastRenderedPageBreak/>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76B2F931">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7777777"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t xml:space="preserve">The MPT, FUH-CH, FUH-AD, FUA-AD, FUM-AD, AAP, and </w:t>
      </w:r>
      <w:proofErr w:type="gramStart"/>
      <w:r w:rsidRPr="00D87C2A">
        <w:rPr>
          <w:i/>
          <w:iCs/>
          <w:sz w:val="20"/>
          <w:szCs w:val="20"/>
        </w:rPr>
        <w:t>APM  measures</w:t>
      </w:r>
      <w:proofErr w:type="gramEnd"/>
      <w:r w:rsidRPr="00D87C2A">
        <w:rPr>
          <w:i/>
          <w:iCs/>
          <w:sz w:val="20"/>
          <w:szCs w:val="20"/>
        </w:rPr>
        <w:t xml:space="preserve"> (#13, 14, 15, 16, 17, 18, 7, 8, 9, 10, 26, 29) are Healthcare Effectiveness Data and Information</w:t>
      </w:r>
      <w:r>
        <w:rPr>
          <w:i/>
          <w:iCs/>
          <w:sz w:val="20"/>
          <w:szCs w:val="20"/>
        </w:rPr>
        <w:t xml:space="preserve"> </w:t>
      </w:r>
      <w:r w:rsidRPr="00D87C2A">
        <w:rPr>
          <w:i/>
          <w:iCs/>
          <w:sz w:val="20"/>
          <w:szCs w:val="20"/>
        </w:rPr>
        <w:t xml:space="preserve">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D87C2A">
        <w:rPr>
          <w:i/>
          <w:iCs/>
          <w:sz w:val="20"/>
          <w:szCs w:val="20"/>
        </w:rPr>
        <w:t>warranties</w:t>
      </w:r>
      <w:proofErr w:type="gramEnd"/>
      <w:r w:rsidRPr="00D87C2A">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Kasie McCarty" w:date="2022-05-10T12:23:00Z" w:initials="KM">
    <w:p w14:paraId="54841C70" w14:textId="6450AA38" w:rsidR="003B0800" w:rsidRDefault="003B0800">
      <w:pPr>
        <w:pStyle w:val="CommentText"/>
      </w:pPr>
      <w:r>
        <w:rPr>
          <w:rStyle w:val="CommentReference"/>
        </w:rPr>
        <w:annotationRef/>
      </w:r>
      <w:r>
        <w:t>Needs Adolph’s review update</w:t>
      </w:r>
    </w:p>
  </w:comment>
  <w:comment w:id="9" w:author="Nicholas Petschel" w:date="2022-05-11T09:56:00Z" w:initials="NP">
    <w:p w14:paraId="0B18A9C4" w14:textId="0E260EAA" w:rsidR="43C5E90B" w:rsidRDefault="43C5E90B">
      <w:pPr>
        <w:pStyle w:val="CommentText"/>
      </w:pPr>
      <w:r>
        <w:t>Resolved 5.11.22, no changes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41C70" w15:done="1"/>
  <w15:commentEx w15:paraId="0B18A9C4" w15:paraIdParent="54841C7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7DE" w16cex:dateUtc="2022-05-10T17:23:00Z"/>
  <w16cex:commentExtensible w16cex:durableId="51C89BB6" w16cex:dateUtc="2022-05-11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41C70" w16cid:durableId="2624D7DE"/>
  <w16cid:commentId w16cid:paraId="0B18A9C4" w16cid:durableId="51C89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15AA" w14:textId="77777777" w:rsidR="008A01C2" w:rsidRDefault="008A01C2" w:rsidP="009F1BBD">
      <w:r>
        <w:separator/>
      </w:r>
    </w:p>
  </w:endnote>
  <w:endnote w:type="continuationSeparator" w:id="0">
    <w:p w14:paraId="19613BF1" w14:textId="77777777" w:rsidR="008A01C2" w:rsidRDefault="008A01C2"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55175909"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659B6">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1DB267E0"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659B6">
          <w:rPr>
            <w:noProof/>
          </w:rPr>
          <w:t>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F56B" w14:textId="77777777" w:rsidR="008A01C2" w:rsidRDefault="008A01C2" w:rsidP="009F1BBD">
      <w:r>
        <w:separator/>
      </w:r>
    </w:p>
  </w:footnote>
  <w:footnote w:type="continuationSeparator" w:id="0">
    <w:p w14:paraId="0CAD678D" w14:textId="77777777" w:rsidR="008A01C2" w:rsidRDefault="008A01C2"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4861953">
    <w:abstractNumId w:val="27"/>
  </w:num>
  <w:num w:numId="2" w16cid:durableId="235214340">
    <w:abstractNumId w:val="13"/>
  </w:num>
  <w:num w:numId="3" w16cid:durableId="1674795057">
    <w:abstractNumId w:val="26"/>
  </w:num>
  <w:num w:numId="4" w16cid:durableId="486630902">
    <w:abstractNumId w:val="0"/>
  </w:num>
  <w:num w:numId="5" w16cid:durableId="53089671">
    <w:abstractNumId w:val="3"/>
  </w:num>
  <w:num w:numId="6" w16cid:durableId="2139373400">
    <w:abstractNumId w:val="10"/>
  </w:num>
  <w:num w:numId="7" w16cid:durableId="1505168590">
    <w:abstractNumId w:val="8"/>
  </w:num>
  <w:num w:numId="8" w16cid:durableId="786462262">
    <w:abstractNumId w:val="7"/>
  </w:num>
  <w:num w:numId="9" w16cid:durableId="1082222588">
    <w:abstractNumId w:val="20"/>
  </w:num>
  <w:num w:numId="10" w16cid:durableId="66077239">
    <w:abstractNumId w:val="1"/>
  </w:num>
  <w:num w:numId="11" w16cid:durableId="210074282">
    <w:abstractNumId w:val="19"/>
  </w:num>
  <w:num w:numId="12" w16cid:durableId="602734825">
    <w:abstractNumId w:val="11"/>
  </w:num>
  <w:num w:numId="13" w16cid:durableId="375740960">
    <w:abstractNumId w:val="24"/>
  </w:num>
  <w:num w:numId="14" w16cid:durableId="553202269">
    <w:abstractNumId w:val="2"/>
  </w:num>
  <w:num w:numId="15" w16cid:durableId="1112162735">
    <w:abstractNumId w:val="17"/>
  </w:num>
  <w:num w:numId="16" w16cid:durableId="681862564">
    <w:abstractNumId w:val="22"/>
  </w:num>
  <w:num w:numId="17" w16cid:durableId="1043673412">
    <w:abstractNumId w:val="25"/>
  </w:num>
  <w:num w:numId="18" w16cid:durableId="944771787">
    <w:abstractNumId w:val="6"/>
  </w:num>
  <w:num w:numId="19" w16cid:durableId="1682589814">
    <w:abstractNumId w:val="12"/>
  </w:num>
  <w:num w:numId="20" w16cid:durableId="2087335024">
    <w:abstractNumId w:val="5"/>
  </w:num>
  <w:num w:numId="21" w16cid:durableId="1109356602">
    <w:abstractNumId w:val="14"/>
  </w:num>
  <w:num w:numId="22" w16cid:durableId="481315645">
    <w:abstractNumId w:val="9"/>
  </w:num>
  <w:num w:numId="23" w16cid:durableId="1783920633">
    <w:abstractNumId w:val="23"/>
  </w:num>
  <w:num w:numId="24" w16cid:durableId="585572580">
    <w:abstractNumId w:val="15"/>
  </w:num>
  <w:num w:numId="25" w16cid:durableId="1505903146">
    <w:abstractNumId w:val="16"/>
  </w:num>
  <w:num w:numId="26" w16cid:durableId="230119911">
    <w:abstractNumId w:val="18"/>
  </w:num>
  <w:num w:numId="27" w16cid:durableId="304356216">
    <w:abstractNumId w:val="4"/>
  </w:num>
  <w:num w:numId="28" w16cid:durableId="2016953066">
    <w:abstractNumId w:val="2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ie McCarty">
    <w15:presenceInfo w15:providerId="None" w15:userId="Kasie McCarty"/>
  </w15:person>
  <w15:person w15:author="Nicholas Petschel">
    <w15:presenceInfo w15:providerId="AD" w15:userId="S::nicholas.petschel@okhca.org::d158635f-0fb6-4743-9c7f-0971fad9a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2C3B"/>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29BA"/>
    <w:rsid w:val="001632B3"/>
    <w:rsid w:val="0016354D"/>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A54"/>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1C3A"/>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E4"/>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706"/>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5D08"/>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01C2"/>
    <w:rsid w:val="008A132B"/>
    <w:rsid w:val="008A1C85"/>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2149"/>
    <w:rsid w:val="009C23B7"/>
    <w:rsid w:val="009C2495"/>
    <w:rsid w:val="009C515F"/>
    <w:rsid w:val="009C556C"/>
    <w:rsid w:val="009C5677"/>
    <w:rsid w:val="009C57D6"/>
    <w:rsid w:val="009C5C51"/>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1983"/>
    <w:rsid w:val="00FB3163"/>
    <w:rsid w:val="00FB3567"/>
    <w:rsid w:val="00FB39C2"/>
    <w:rsid w:val="00FB3C75"/>
    <w:rsid w:val="00FB4175"/>
    <w:rsid w:val="00FB4225"/>
    <w:rsid w:val="00FB7234"/>
    <w:rsid w:val="00FC448F"/>
    <w:rsid w:val="00FC675B"/>
    <w:rsid w:val="00FC68E3"/>
    <w:rsid w:val="00FC6A06"/>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3439E94"/>
    <w:rsid w:val="03E5EB96"/>
    <w:rsid w:val="0411B8B4"/>
    <w:rsid w:val="04B9BB71"/>
    <w:rsid w:val="05188712"/>
    <w:rsid w:val="07329FE5"/>
    <w:rsid w:val="07495976"/>
    <w:rsid w:val="07C4C0BE"/>
    <w:rsid w:val="08E529D7"/>
    <w:rsid w:val="098C7E84"/>
    <w:rsid w:val="09ADA98B"/>
    <w:rsid w:val="0B76D4E4"/>
    <w:rsid w:val="0BA4BFB3"/>
    <w:rsid w:val="0C222FED"/>
    <w:rsid w:val="0C687055"/>
    <w:rsid w:val="0D38EE82"/>
    <w:rsid w:val="0D9C3436"/>
    <w:rsid w:val="10CBC69D"/>
    <w:rsid w:val="10E18CBF"/>
    <w:rsid w:val="110D0649"/>
    <w:rsid w:val="113AB003"/>
    <w:rsid w:val="11FE4AC3"/>
    <w:rsid w:val="13DAF4AC"/>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4D941"/>
    <w:rsid w:val="29980794"/>
    <w:rsid w:val="313D0333"/>
    <w:rsid w:val="31C73315"/>
    <w:rsid w:val="34306D26"/>
    <w:rsid w:val="34EF7DAD"/>
    <w:rsid w:val="37465782"/>
    <w:rsid w:val="37594709"/>
    <w:rsid w:val="377EE002"/>
    <w:rsid w:val="37C08C1D"/>
    <w:rsid w:val="380F0D92"/>
    <w:rsid w:val="386E4CF0"/>
    <w:rsid w:val="3888885D"/>
    <w:rsid w:val="391AB063"/>
    <w:rsid w:val="3A0A1D51"/>
    <w:rsid w:val="3A2C2299"/>
    <w:rsid w:val="3A59CF34"/>
    <w:rsid w:val="3B6F36AC"/>
    <w:rsid w:val="3BFD2C40"/>
    <w:rsid w:val="3C5BA149"/>
    <w:rsid w:val="3DD52A28"/>
    <w:rsid w:val="3EADAC86"/>
    <w:rsid w:val="3EE51658"/>
    <w:rsid w:val="3F121C30"/>
    <w:rsid w:val="3F33C15C"/>
    <w:rsid w:val="3FB03B84"/>
    <w:rsid w:val="3FEDAD0A"/>
    <w:rsid w:val="3FF6EE2A"/>
    <w:rsid w:val="411B566D"/>
    <w:rsid w:val="4152B82D"/>
    <w:rsid w:val="41F67888"/>
    <w:rsid w:val="430DE7CD"/>
    <w:rsid w:val="43C5E90B"/>
    <w:rsid w:val="44B8197B"/>
    <w:rsid w:val="45B56E94"/>
    <w:rsid w:val="45F9646A"/>
    <w:rsid w:val="468F2C49"/>
    <w:rsid w:val="46965CA7"/>
    <w:rsid w:val="4718082B"/>
    <w:rsid w:val="47861F38"/>
    <w:rsid w:val="47F0B57B"/>
    <w:rsid w:val="49D033E9"/>
    <w:rsid w:val="4A3A5CBC"/>
    <w:rsid w:val="4A7EA2EA"/>
    <w:rsid w:val="4A93BE13"/>
    <w:rsid w:val="4BFC6D2E"/>
    <w:rsid w:val="4C1B4A4A"/>
    <w:rsid w:val="4DF560BC"/>
    <w:rsid w:val="4EC0FC9D"/>
    <w:rsid w:val="4F920CB9"/>
    <w:rsid w:val="5034D42C"/>
    <w:rsid w:val="50C0CE89"/>
    <w:rsid w:val="523CA78D"/>
    <w:rsid w:val="52B78C33"/>
    <w:rsid w:val="52C8D1DF"/>
    <w:rsid w:val="53E60CF9"/>
    <w:rsid w:val="541C863F"/>
    <w:rsid w:val="57FA9414"/>
    <w:rsid w:val="583D896D"/>
    <w:rsid w:val="585EA561"/>
    <w:rsid w:val="58BB5F4E"/>
    <w:rsid w:val="5ACC7EBB"/>
    <w:rsid w:val="5B370B02"/>
    <w:rsid w:val="5CBDED69"/>
    <w:rsid w:val="5CD565A5"/>
    <w:rsid w:val="5F961A10"/>
    <w:rsid w:val="5FD45A7C"/>
    <w:rsid w:val="6296112C"/>
    <w:rsid w:val="6546B141"/>
    <w:rsid w:val="6873D905"/>
    <w:rsid w:val="690724DF"/>
    <w:rsid w:val="6A65C955"/>
    <w:rsid w:val="6ACEB9ED"/>
    <w:rsid w:val="6B220F48"/>
    <w:rsid w:val="6B751F68"/>
    <w:rsid w:val="6CB1B8CF"/>
    <w:rsid w:val="6E6C875D"/>
    <w:rsid w:val="6F377620"/>
    <w:rsid w:val="6F8BB2C9"/>
    <w:rsid w:val="6FD0A422"/>
    <w:rsid w:val="7033FF57"/>
    <w:rsid w:val="70431071"/>
    <w:rsid w:val="70527CF5"/>
    <w:rsid w:val="727C1349"/>
    <w:rsid w:val="72970AE6"/>
    <w:rsid w:val="73709E69"/>
    <w:rsid w:val="740E9038"/>
    <w:rsid w:val="74AA4E9F"/>
    <w:rsid w:val="74D66611"/>
    <w:rsid w:val="74E3A26D"/>
    <w:rsid w:val="76640C55"/>
    <w:rsid w:val="76B2F931"/>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2" ma:contentTypeDescription="Create a new document." ma:contentTypeScope="" ma:versionID="277c0a9a387141d133b0dfd187c9b6cc">
  <xsd:schema xmlns:xsd="http://www.w3.org/2001/XMLSchema" xmlns:xs="http://www.w3.org/2001/XMLSchema" xmlns:p="http://schemas.microsoft.com/office/2006/metadata/properties" xmlns:ns2="dd24fdd3-b52c-409c-8948-f0742e7d5e35" targetNamespace="http://schemas.microsoft.com/office/2006/metadata/properties" ma:root="true" ma:fieldsID="61db6687c362cc0f56684d977ab1896e" ns2:_="">
    <xsd:import namespace="dd24fdd3-b52c-409c-8948-f0742e7d5e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fdd3-b52c-409c-8948-f0742e7d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6D32C-57CA-4243-B817-D7132221387D}"/>
</file>

<file path=customXml/itemProps2.xml><?xml version="1.0" encoding="utf-8"?>
<ds:datastoreItem xmlns:ds="http://schemas.openxmlformats.org/officeDocument/2006/customXml" ds:itemID="{4A8CA39E-743C-4AF4-BD00-2CE0B0E3B3BB}">
  <ds:schemaRefs>
    <ds:schemaRef ds:uri="http://www.w3.org/XML/1998/namespace"/>
    <ds:schemaRef ds:uri="857da743-9654-4381-b406-1a17045787b5"/>
    <ds:schemaRef ds:uri="http://purl.org/dc/elements/1.1/"/>
    <ds:schemaRef ds:uri="http://purl.org/dc/terms/"/>
    <ds:schemaRef ds:uri="http://schemas.microsoft.com/sharepoint/v3"/>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d8778a2-8fba-4589-95c3-322250c434bc"/>
  </ds:schemaRefs>
</ds:datastoreItem>
</file>

<file path=customXml/itemProps3.xml><?xml version="1.0" encoding="utf-8"?>
<ds:datastoreItem xmlns:ds="http://schemas.openxmlformats.org/officeDocument/2006/customXml" ds:itemID="{89873C61-2945-4BCC-93BA-3F903ED95E23}">
  <ds:schemaRefs>
    <ds:schemaRef ds:uri="http://schemas.openxmlformats.org/officeDocument/2006/bibliography"/>
  </ds:schemaRefs>
</ds:datastoreItem>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Medicaid Section 1115 Serious Mental Illness and Serious Emotional Disturbance (SMI/SED) Demonstrations Monitoring Report Template (Version 2.0)</vt:lpstr>
    </vt:vector>
  </TitlesOfParts>
  <Company>CMS</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2</cp:revision>
  <cp:lastPrinted>2019-10-07T11:33:00Z</cp:lastPrinted>
  <dcterms:created xsi:type="dcterms:W3CDTF">2022-10-19T13:54:00Z</dcterms:created>
  <dcterms:modified xsi:type="dcterms:W3CDTF">2022-10-19T13:54:00Z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